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ook w:val="04A0"/>
      </w:tblPr>
      <w:tblGrid>
        <w:gridCol w:w="3168"/>
        <w:gridCol w:w="7514"/>
      </w:tblGrid>
      <w:tr w:rsidR="005A1E69" w:rsidTr="00020BEB">
        <w:trPr>
          <w:trHeight w:val="432"/>
        </w:trPr>
        <w:tc>
          <w:tcPr>
            <w:tcW w:w="1483" w:type="pct"/>
          </w:tcPr>
          <w:p w:rsidR="005A1E69" w:rsidRPr="00020BEB" w:rsidRDefault="005A1E69" w:rsidP="00E60F8C">
            <w:pPr>
              <w:rPr>
                <w:b/>
              </w:rPr>
            </w:pPr>
            <w:r w:rsidRPr="00020BEB">
              <w:rPr>
                <w:b/>
              </w:rPr>
              <w:t>COURSE CODE</w:t>
            </w:r>
          </w:p>
        </w:tc>
        <w:tc>
          <w:tcPr>
            <w:tcW w:w="3517" w:type="pct"/>
          </w:tcPr>
          <w:p w:rsidR="005A1E69" w:rsidRDefault="004C1E1F" w:rsidP="00E60F8C">
            <w:r>
              <w:t>EG501V</w:t>
            </w:r>
          </w:p>
        </w:tc>
      </w:tr>
      <w:tr w:rsidR="005A1E69" w:rsidTr="00020BEB">
        <w:trPr>
          <w:trHeight w:val="432"/>
        </w:trPr>
        <w:tc>
          <w:tcPr>
            <w:tcW w:w="1483" w:type="pct"/>
          </w:tcPr>
          <w:p w:rsidR="005A1E69" w:rsidRPr="00020BEB" w:rsidRDefault="005A1E69" w:rsidP="00E60F8C">
            <w:pPr>
              <w:rPr>
                <w:b/>
              </w:rPr>
            </w:pPr>
            <w:r w:rsidRPr="00020BEB">
              <w:rPr>
                <w:b/>
              </w:rPr>
              <w:t>COURSE TITLE</w:t>
            </w:r>
          </w:p>
        </w:tc>
        <w:tc>
          <w:tcPr>
            <w:tcW w:w="3517" w:type="pct"/>
          </w:tcPr>
          <w:p w:rsidR="005A1E69" w:rsidRDefault="004C1E1F" w:rsidP="00E60F8C">
            <w:r>
              <w:t>Computational Fluid Dynamics</w:t>
            </w:r>
          </w:p>
        </w:tc>
      </w:tr>
      <w:tr w:rsidR="005A1E69" w:rsidTr="00020BEB">
        <w:trPr>
          <w:trHeight w:val="432"/>
        </w:trPr>
        <w:tc>
          <w:tcPr>
            <w:tcW w:w="1483" w:type="pct"/>
          </w:tcPr>
          <w:p w:rsidR="005A1E69" w:rsidRPr="00020BEB" w:rsidRDefault="005A1E69" w:rsidP="00E60F8C">
            <w:pPr>
              <w:rPr>
                <w:b/>
              </w:rPr>
            </w:pPr>
            <w:r w:rsidRPr="00020BEB">
              <w:rPr>
                <w:b/>
              </w:rPr>
              <w:t>COURSE CO-ORDINATOR</w:t>
            </w:r>
          </w:p>
        </w:tc>
        <w:tc>
          <w:tcPr>
            <w:tcW w:w="3517" w:type="pct"/>
          </w:tcPr>
          <w:p w:rsidR="005A1E69" w:rsidRDefault="005A1E69" w:rsidP="00E60F8C"/>
        </w:tc>
      </w:tr>
    </w:tbl>
    <w:p w:rsidR="001B03A4" w:rsidRPr="001B03A4" w:rsidRDefault="001B03A4" w:rsidP="00E60F8C">
      <w:pPr>
        <w:rPr>
          <w:b/>
          <w:u w:val="single"/>
        </w:rPr>
      </w:pPr>
    </w:p>
    <w:p w:rsidR="001B03A4" w:rsidRPr="001B03A4" w:rsidRDefault="001B03A4" w:rsidP="00E60F8C">
      <w:pPr>
        <w:rPr>
          <w:b/>
          <w:sz w:val="28"/>
          <w:szCs w:val="28"/>
          <w:u w:val="single"/>
        </w:rPr>
      </w:pPr>
      <w:r w:rsidRPr="001B03A4">
        <w:rPr>
          <w:b/>
          <w:sz w:val="28"/>
          <w:szCs w:val="28"/>
          <w:u w:val="single"/>
        </w:rPr>
        <w:t>OVERVIEW</w:t>
      </w:r>
    </w:p>
    <w:tbl>
      <w:tblPr>
        <w:tblStyle w:val="TableGrid"/>
        <w:tblW w:w="5000" w:type="pct"/>
        <w:tblLook w:val="04A0"/>
      </w:tblPr>
      <w:tblGrid>
        <w:gridCol w:w="10682"/>
      </w:tblGrid>
      <w:tr w:rsidR="00DF567E" w:rsidRPr="00020BEB" w:rsidTr="001B03A4">
        <w:tc>
          <w:tcPr>
            <w:tcW w:w="5000" w:type="pct"/>
          </w:tcPr>
          <w:p w:rsidR="00DF567E" w:rsidRPr="00020BEB" w:rsidRDefault="00DF567E" w:rsidP="00E60F8C">
            <w:pPr>
              <w:jc w:val="both"/>
              <w:rPr>
                <w:b/>
              </w:rPr>
            </w:pPr>
            <w:r w:rsidRPr="00020BEB">
              <w:rPr>
                <w:b/>
              </w:rPr>
              <w:t>COURSE OVERVIEW</w:t>
            </w:r>
          </w:p>
        </w:tc>
      </w:tr>
      <w:tr w:rsidR="00DF567E" w:rsidTr="001B03A4">
        <w:tc>
          <w:tcPr>
            <w:tcW w:w="5000" w:type="pct"/>
          </w:tcPr>
          <w:p w:rsidR="001B35AE" w:rsidRDefault="001B35AE" w:rsidP="001B35AE">
            <w:pPr>
              <w:jc w:val="both"/>
              <w:rPr>
                <w:rFonts w:cstheme="minorHAnsi"/>
              </w:rPr>
            </w:pPr>
          </w:p>
          <w:p w:rsidR="001B35AE" w:rsidRPr="001B35AE" w:rsidRDefault="001B35AE" w:rsidP="001B35AE">
            <w:pPr>
              <w:jc w:val="both"/>
              <w:rPr>
                <w:rFonts w:cstheme="minorHAnsi"/>
                <w:b/>
                <w:i/>
                <w:color w:val="FF0000"/>
              </w:rPr>
            </w:pPr>
            <w:r w:rsidRPr="001B35AE">
              <w:rPr>
                <w:rFonts w:cstheme="minorHAnsi"/>
                <w:b/>
                <w:i/>
                <w:color w:val="FF0000"/>
              </w:rPr>
              <w:t>[80-100 word limit]</w:t>
            </w:r>
          </w:p>
          <w:p w:rsidR="001B35AE" w:rsidRPr="001B35AE" w:rsidRDefault="001B35AE" w:rsidP="001B35AE">
            <w:pPr>
              <w:jc w:val="both"/>
              <w:rPr>
                <w:rFonts w:cstheme="minorHAnsi"/>
                <w:b/>
                <w:i/>
              </w:rPr>
            </w:pPr>
            <w:r w:rsidRPr="001B35AE">
              <w:rPr>
                <w:rFonts w:cstheme="minorHAnsi"/>
                <w:b/>
                <w:i/>
              </w:rPr>
              <w:t>The Course Overview is a marketing description.  The overview should provide a concise relevant and helpful summary to allow students to quickly understand the basics and about the course and make an informed choice about whether it is the right option for them (this may be expanded upon in the Course Description and Further Information and Notes sections as appropriate).</w:t>
            </w:r>
          </w:p>
          <w:p w:rsidR="00DF567E" w:rsidRDefault="00DF567E" w:rsidP="00E60F8C">
            <w:pPr>
              <w:jc w:val="both"/>
            </w:pPr>
          </w:p>
          <w:p w:rsidR="00DF567E" w:rsidRDefault="004C1E1F" w:rsidP="004C1E1F">
            <w:pPr>
              <w:pStyle w:val="Default"/>
              <w:jc w:val="both"/>
            </w:pPr>
            <w:r w:rsidRPr="00786703">
              <w:rPr>
                <w:rFonts w:asciiTheme="minorHAnsi" w:hAnsiTheme="minorHAnsi" w:cstheme="minorHAnsi"/>
              </w:rPr>
              <w:t xml:space="preserve">The course aims to provide understanding of main principles and techniques underpinning computational fluid dynamics (CFD) combining numerical methods with practical experience </w:t>
            </w:r>
            <w:r>
              <w:rPr>
                <w:rFonts w:asciiTheme="minorHAnsi" w:hAnsiTheme="minorHAnsi" w:cstheme="minorHAnsi"/>
              </w:rPr>
              <w:t>using</w:t>
            </w:r>
            <w:r w:rsidRPr="00786703">
              <w:rPr>
                <w:rFonts w:asciiTheme="minorHAnsi" w:hAnsiTheme="minorHAnsi" w:cstheme="minorHAnsi"/>
              </w:rPr>
              <w:t xml:space="preserve"> appropriate software. The course develops a foundation for understanding, developing and analysing successful simulations of fluid flows applicable to a broad range of applications.</w:t>
            </w:r>
          </w:p>
          <w:p w:rsidR="00DF567E" w:rsidRDefault="00DF567E" w:rsidP="00E60F8C">
            <w:pPr>
              <w:jc w:val="both"/>
            </w:pPr>
          </w:p>
          <w:p w:rsidR="00DF567E" w:rsidRDefault="00DF567E" w:rsidP="00E60F8C">
            <w:pPr>
              <w:jc w:val="both"/>
            </w:pPr>
          </w:p>
          <w:p w:rsidR="00DF567E" w:rsidRDefault="00DF567E" w:rsidP="00E60F8C">
            <w:pPr>
              <w:jc w:val="both"/>
            </w:pPr>
          </w:p>
          <w:p w:rsidR="00DF567E" w:rsidRDefault="00DF567E" w:rsidP="00E60F8C">
            <w:pPr>
              <w:jc w:val="both"/>
            </w:pPr>
          </w:p>
        </w:tc>
      </w:tr>
      <w:tr w:rsidR="005A1E69" w:rsidRPr="00020BEB" w:rsidTr="001B03A4">
        <w:tc>
          <w:tcPr>
            <w:tcW w:w="5000" w:type="pct"/>
          </w:tcPr>
          <w:p w:rsidR="005A1E69" w:rsidRPr="00020BEB" w:rsidRDefault="005A1E69" w:rsidP="00E60F8C">
            <w:pPr>
              <w:jc w:val="both"/>
              <w:rPr>
                <w:b/>
              </w:rPr>
            </w:pPr>
            <w:r w:rsidRPr="00020BEB">
              <w:rPr>
                <w:b/>
              </w:rPr>
              <w:t>WHAT COURSE(S) MUST HAVE BEEN TAKEN BEFORE THIS COURSE?</w:t>
            </w:r>
          </w:p>
        </w:tc>
      </w:tr>
      <w:tr w:rsidR="005A1E69" w:rsidTr="001B03A4">
        <w:trPr>
          <w:trHeight w:val="728"/>
        </w:trPr>
        <w:tc>
          <w:tcPr>
            <w:tcW w:w="5000" w:type="pct"/>
          </w:tcPr>
          <w:p w:rsidR="004C1E1F" w:rsidRPr="008247B9" w:rsidRDefault="008247B9" w:rsidP="004C1E1F">
            <w:pPr>
              <w:pStyle w:val="Default"/>
              <w:ind w:left="180" w:hanging="180"/>
              <w:jc w:val="both"/>
              <w:rPr>
                <w:rFonts w:asciiTheme="minorHAnsi" w:hAnsiTheme="minorHAnsi" w:cstheme="minorHAnsi"/>
              </w:rPr>
            </w:pPr>
            <w:r w:rsidRPr="008247B9">
              <w:rPr>
                <w:rFonts w:asciiTheme="minorHAnsi" w:hAnsiTheme="minorHAnsi" w:cstheme="minorHAnsi"/>
              </w:rPr>
              <w:t xml:space="preserve">Pre-Requisite: </w:t>
            </w:r>
            <w:r w:rsidRPr="008247B9">
              <w:rPr>
                <w:rFonts w:asciiTheme="minorHAnsi" w:hAnsiTheme="minorHAnsi" w:cstheme="minorHAnsi"/>
              </w:rPr>
              <w:t xml:space="preserve">EG3007 (Engineering, Analysis and Methods) and EG3018 (Fluid Mechanics A) OR registered for </w:t>
            </w:r>
            <w:proofErr w:type="spellStart"/>
            <w:r w:rsidRPr="008247B9">
              <w:rPr>
                <w:rFonts w:asciiTheme="minorHAnsi" w:hAnsiTheme="minorHAnsi" w:cstheme="minorHAnsi"/>
              </w:rPr>
              <w:t>PGCert</w:t>
            </w:r>
            <w:proofErr w:type="spellEnd"/>
            <w:r w:rsidRPr="008247B9">
              <w:rPr>
                <w:rFonts w:asciiTheme="minorHAnsi" w:hAnsiTheme="minorHAnsi" w:cstheme="minorHAnsi"/>
              </w:rPr>
              <w:t xml:space="preserve">, </w:t>
            </w:r>
            <w:proofErr w:type="spellStart"/>
            <w:r w:rsidRPr="008247B9">
              <w:rPr>
                <w:rFonts w:asciiTheme="minorHAnsi" w:hAnsiTheme="minorHAnsi" w:cstheme="minorHAnsi"/>
              </w:rPr>
              <w:t>PgDip</w:t>
            </w:r>
            <w:proofErr w:type="spellEnd"/>
            <w:r w:rsidRPr="008247B9">
              <w:rPr>
                <w:rFonts w:asciiTheme="minorHAnsi" w:hAnsiTheme="minorHAnsi" w:cstheme="minorHAnsi"/>
              </w:rPr>
              <w:t xml:space="preserve"> or MSc in Process Safety OR registered for </w:t>
            </w:r>
            <w:proofErr w:type="spellStart"/>
            <w:r w:rsidRPr="008247B9">
              <w:rPr>
                <w:rFonts w:asciiTheme="minorHAnsi" w:hAnsiTheme="minorHAnsi" w:cstheme="minorHAnsi"/>
              </w:rPr>
              <w:t>PGCert</w:t>
            </w:r>
            <w:proofErr w:type="spellEnd"/>
            <w:r w:rsidRPr="008247B9">
              <w:rPr>
                <w:rFonts w:asciiTheme="minorHAnsi" w:hAnsiTheme="minorHAnsi" w:cstheme="minorHAnsi"/>
              </w:rPr>
              <w:t xml:space="preserve">, </w:t>
            </w:r>
            <w:proofErr w:type="spellStart"/>
            <w:r w:rsidRPr="008247B9">
              <w:rPr>
                <w:rFonts w:asciiTheme="minorHAnsi" w:hAnsiTheme="minorHAnsi" w:cstheme="minorHAnsi"/>
              </w:rPr>
              <w:t>PgDip</w:t>
            </w:r>
            <w:proofErr w:type="spellEnd"/>
            <w:r w:rsidRPr="008247B9">
              <w:rPr>
                <w:rFonts w:asciiTheme="minorHAnsi" w:hAnsiTheme="minorHAnsi" w:cstheme="minorHAnsi"/>
              </w:rPr>
              <w:t xml:space="preserve"> or MSc in Subsea Engineering.</w:t>
            </w:r>
          </w:p>
          <w:p w:rsidR="005A1E69" w:rsidRPr="008247B9" w:rsidRDefault="005A1E69" w:rsidP="00E60F8C">
            <w:pPr>
              <w:jc w:val="both"/>
              <w:rPr>
                <w:sz w:val="24"/>
                <w:szCs w:val="24"/>
              </w:rPr>
            </w:pPr>
          </w:p>
        </w:tc>
      </w:tr>
      <w:tr w:rsidR="005A1E69" w:rsidRPr="00020BEB" w:rsidTr="001B03A4">
        <w:tc>
          <w:tcPr>
            <w:tcW w:w="5000" w:type="pct"/>
          </w:tcPr>
          <w:p w:rsidR="005A1E69" w:rsidRPr="00020BEB" w:rsidRDefault="005A1E69" w:rsidP="00E60F8C">
            <w:pPr>
              <w:jc w:val="both"/>
              <w:rPr>
                <w:b/>
              </w:rPr>
            </w:pPr>
            <w:r w:rsidRPr="00020BEB">
              <w:rPr>
                <w:b/>
              </w:rPr>
              <w:t>WHAT OTHER COURSES MUST BE TAKEN WITH THIS COURSE?</w:t>
            </w:r>
          </w:p>
        </w:tc>
      </w:tr>
      <w:tr w:rsidR="005A1E69" w:rsidTr="001B03A4">
        <w:trPr>
          <w:trHeight w:val="728"/>
        </w:trPr>
        <w:tc>
          <w:tcPr>
            <w:tcW w:w="5000" w:type="pct"/>
          </w:tcPr>
          <w:p w:rsidR="005A1E69" w:rsidRDefault="005A1E69" w:rsidP="00E60F8C">
            <w:pPr>
              <w:jc w:val="both"/>
            </w:pPr>
          </w:p>
        </w:tc>
      </w:tr>
      <w:tr w:rsidR="005A1E69" w:rsidRPr="00020BEB" w:rsidTr="001B03A4">
        <w:tc>
          <w:tcPr>
            <w:tcW w:w="5000" w:type="pct"/>
          </w:tcPr>
          <w:p w:rsidR="005A1E69" w:rsidRPr="00020BEB" w:rsidRDefault="005A1E69" w:rsidP="00E60F8C">
            <w:pPr>
              <w:jc w:val="both"/>
              <w:rPr>
                <w:b/>
              </w:rPr>
            </w:pPr>
            <w:r w:rsidRPr="00020BEB">
              <w:rPr>
                <w:b/>
              </w:rPr>
              <w:t>WHAT COURSES CANNOT BE TAKEN WITH THIS COURSE?</w:t>
            </w:r>
          </w:p>
        </w:tc>
      </w:tr>
      <w:tr w:rsidR="005A1E69" w:rsidTr="001B03A4">
        <w:trPr>
          <w:trHeight w:val="728"/>
        </w:trPr>
        <w:tc>
          <w:tcPr>
            <w:tcW w:w="5000" w:type="pct"/>
          </w:tcPr>
          <w:p w:rsidR="005A1E69" w:rsidRDefault="005A1E69" w:rsidP="00E60F8C">
            <w:pPr>
              <w:jc w:val="both"/>
            </w:pPr>
          </w:p>
        </w:tc>
      </w:tr>
      <w:tr w:rsidR="005A1E69" w:rsidRPr="00020BEB" w:rsidTr="001B03A4">
        <w:tc>
          <w:tcPr>
            <w:tcW w:w="5000" w:type="pct"/>
          </w:tcPr>
          <w:p w:rsidR="005A1E69" w:rsidRPr="00020BEB" w:rsidRDefault="001B03A4" w:rsidP="00E60F8C">
            <w:pPr>
              <w:jc w:val="both"/>
              <w:rPr>
                <w:b/>
              </w:rPr>
            </w:pPr>
            <w:r w:rsidRPr="00020BEB">
              <w:rPr>
                <w:b/>
              </w:rPr>
              <w:t>ARE THERE A LIMITED NUMBER OF PLACES AVAILABLE?</w:t>
            </w:r>
          </w:p>
        </w:tc>
      </w:tr>
      <w:tr w:rsidR="005A1E69" w:rsidTr="001B03A4">
        <w:trPr>
          <w:trHeight w:val="728"/>
        </w:trPr>
        <w:tc>
          <w:tcPr>
            <w:tcW w:w="5000" w:type="pct"/>
          </w:tcPr>
          <w:p w:rsidR="005A1E69" w:rsidRDefault="005A1E69" w:rsidP="00E60F8C">
            <w:pPr>
              <w:jc w:val="both"/>
            </w:pPr>
          </w:p>
          <w:p w:rsidR="001B03A4" w:rsidRDefault="001B03A4" w:rsidP="00E60F8C">
            <w:pPr>
              <w:jc w:val="both"/>
            </w:pPr>
            <w:r>
              <w:t xml:space="preserve">NO </w:t>
            </w:r>
          </w:p>
        </w:tc>
      </w:tr>
    </w:tbl>
    <w:p w:rsidR="001B03A4" w:rsidRDefault="001B03A4" w:rsidP="00E60F8C"/>
    <w:p w:rsidR="001B03A4" w:rsidRPr="001B03A4" w:rsidRDefault="001B03A4" w:rsidP="00E60F8C">
      <w:pPr>
        <w:rPr>
          <w:b/>
          <w:sz w:val="28"/>
          <w:szCs w:val="28"/>
          <w:u w:val="single"/>
        </w:rPr>
      </w:pPr>
      <w:r>
        <w:rPr>
          <w:b/>
          <w:sz w:val="28"/>
          <w:szCs w:val="28"/>
          <w:u w:val="single"/>
        </w:rPr>
        <w:t>DESCRIPTION</w:t>
      </w:r>
    </w:p>
    <w:tbl>
      <w:tblPr>
        <w:tblStyle w:val="TableGrid"/>
        <w:tblW w:w="5000" w:type="pct"/>
        <w:tblLook w:val="04A0"/>
      </w:tblPr>
      <w:tblGrid>
        <w:gridCol w:w="10682"/>
      </w:tblGrid>
      <w:tr w:rsidR="005A1E69" w:rsidRPr="00020BEB" w:rsidTr="001B03A4">
        <w:tc>
          <w:tcPr>
            <w:tcW w:w="5000" w:type="pct"/>
          </w:tcPr>
          <w:p w:rsidR="005A1E69" w:rsidRPr="00020BEB" w:rsidRDefault="005A1E69" w:rsidP="00E60F8C">
            <w:pPr>
              <w:jc w:val="both"/>
              <w:rPr>
                <w:b/>
              </w:rPr>
            </w:pPr>
            <w:r w:rsidRPr="00020BEB">
              <w:rPr>
                <w:b/>
              </w:rPr>
              <w:t>COURSE DESCRIPTION</w:t>
            </w:r>
          </w:p>
        </w:tc>
      </w:tr>
      <w:tr w:rsidR="005A1E69" w:rsidTr="001B03A4">
        <w:tc>
          <w:tcPr>
            <w:tcW w:w="5000" w:type="pct"/>
          </w:tcPr>
          <w:p w:rsidR="001B35AE" w:rsidRDefault="001B35AE" w:rsidP="00E60F8C">
            <w:pPr>
              <w:jc w:val="both"/>
              <w:rPr>
                <w:rFonts w:cstheme="minorHAnsi"/>
                <w:b/>
                <w:i/>
              </w:rPr>
            </w:pPr>
          </w:p>
          <w:p w:rsidR="005A1E69" w:rsidRPr="001B35AE" w:rsidRDefault="001B35AE" w:rsidP="00E60F8C">
            <w:pPr>
              <w:jc w:val="both"/>
              <w:rPr>
                <w:b/>
                <w:i/>
              </w:rPr>
            </w:pPr>
            <w:r w:rsidRPr="001B35AE">
              <w:rPr>
                <w:rFonts w:cstheme="minorHAnsi"/>
                <w:b/>
                <w:i/>
              </w:rPr>
              <w:t>There is no word limit for these sections.  Please do not add information to these sections that repeats or contradicts approved curriculum or assessment requirements which have been added to other relevant sections of the catalogue.</w:t>
            </w:r>
          </w:p>
          <w:p w:rsidR="004C1E1F" w:rsidRPr="00786703" w:rsidRDefault="004C1E1F" w:rsidP="004C1E1F">
            <w:pPr>
              <w:pStyle w:val="Default"/>
              <w:jc w:val="both"/>
              <w:rPr>
                <w:rFonts w:asciiTheme="minorHAnsi" w:hAnsiTheme="minorHAnsi" w:cstheme="minorHAnsi"/>
              </w:rPr>
            </w:pPr>
            <w:r w:rsidRPr="00786703">
              <w:rPr>
                <w:rFonts w:asciiTheme="minorHAnsi" w:hAnsiTheme="minorHAnsi" w:cstheme="minorHAnsi"/>
              </w:rPr>
              <w:t xml:space="preserve">The course </w:t>
            </w:r>
            <w:r>
              <w:rPr>
                <w:rFonts w:asciiTheme="minorHAnsi" w:hAnsiTheme="minorHAnsi" w:cstheme="minorHAnsi"/>
              </w:rPr>
              <w:t>will</w:t>
            </w:r>
            <w:r w:rsidRPr="00786703">
              <w:rPr>
                <w:rFonts w:asciiTheme="minorHAnsi" w:hAnsiTheme="minorHAnsi" w:cstheme="minorHAnsi"/>
              </w:rPr>
              <w:t xml:space="preserve"> provide insight into physical phenomena in environmental and industrial fluid flows via numerical </w:t>
            </w:r>
            <w:r>
              <w:rPr>
                <w:rFonts w:asciiTheme="minorHAnsi" w:hAnsiTheme="minorHAnsi" w:cstheme="minorHAnsi"/>
              </w:rPr>
              <w:t>simulations</w:t>
            </w:r>
            <w:r w:rsidRPr="00786703">
              <w:rPr>
                <w:rFonts w:asciiTheme="minorHAnsi" w:hAnsiTheme="minorHAnsi" w:cstheme="minorHAnsi"/>
              </w:rPr>
              <w:t>. Whist this motivates the use of computational technologies, even advanced CFD software may lead to incorrect predictions of fluid flow behaviour if used without sufficient understanding of the underlying algorithms and methods. This course introduces students to computational methods for solving distinct type of partial differential equations (PDE) that arise in fluid dynamic studies.</w:t>
            </w:r>
          </w:p>
          <w:p w:rsidR="004C1E1F" w:rsidRPr="00786703" w:rsidRDefault="004C1E1F" w:rsidP="004C1E1F">
            <w:pPr>
              <w:pStyle w:val="Default"/>
              <w:jc w:val="both"/>
              <w:rPr>
                <w:rFonts w:asciiTheme="minorHAnsi" w:hAnsiTheme="minorHAnsi" w:cstheme="minorHAnsi"/>
              </w:rPr>
            </w:pPr>
          </w:p>
          <w:p w:rsidR="005A1E69" w:rsidRDefault="004C1E1F" w:rsidP="00E60F8C">
            <w:pPr>
              <w:jc w:val="both"/>
            </w:pPr>
            <w:r w:rsidRPr="00786703">
              <w:rPr>
                <w:rFonts w:cstheme="minorHAnsi"/>
              </w:rPr>
              <w:lastRenderedPageBreak/>
              <w:t xml:space="preserve">This course will involve </w:t>
            </w:r>
            <w:r>
              <w:rPr>
                <w:rFonts w:cstheme="minorHAnsi"/>
              </w:rPr>
              <w:t>fundamentals of</w:t>
            </w:r>
            <w:r w:rsidRPr="00786703">
              <w:rPr>
                <w:rFonts w:cstheme="minorHAnsi"/>
              </w:rPr>
              <w:t xml:space="preserve"> numerical analysis</w:t>
            </w:r>
            <w:r>
              <w:rPr>
                <w:rFonts w:cstheme="minorHAnsi"/>
              </w:rPr>
              <w:t xml:space="preserve"> of PDE</w:t>
            </w:r>
            <w:r w:rsidRPr="00786703">
              <w:rPr>
                <w:rFonts w:cstheme="minorHAnsi"/>
              </w:rPr>
              <w:t>, introduction to computational linear algebra, discretisation techniques and numerical schemes to solve time-dependent PDE problems, error control and stability analysis</w:t>
            </w:r>
            <w:r>
              <w:rPr>
                <w:rFonts w:cstheme="minorHAnsi"/>
              </w:rPr>
              <w:t xml:space="preserve">, </w:t>
            </w:r>
            <w:r w:rsidRPr="00786703">
              <w:rPr>
                <w:rFonts w:cstheme="minorHAnsi"/>
              </w:rPr>
              <w:t xml:space="preserve">mesh-generation </w:t>
            </w:r>
            <w:r>
              <w:rPr>
                <w:rFonts w:cstheme="minorHAnsi"/>
              </w:rPr>
              <w:t>methods and turbulence models</w:t>
            </w:r>
            <w:r w:rsidRPr="00786703">
              <w:rPr>
                <w:rFonts w:cstheme="minorHAnsi"/>
              </w:rPr>
              <w:t>.</w:t>
            </w:r>
            <w:r>
              <w:rPr>
                <w:rFonts w:cstheme="minorHAnsi"/>
              </w:rPr>
              <w:t xml:space="preserve"> Hands-on sessions with industry standard software are used to develop CFD skills.</w:t>
            </w:r>
          </w:p>
          <w:p w:rsidR="005A1E69" w:rsidRDefault="005A1E69" w:rsidP="00E60F8C">
            <w:pPr>
              <w:jc w:val="both"/>
            </w:pPr>
          </w:p>
          <w:p w:rsidR="005A1E69" w:rsidRDefault="005A1E69" w:rsidP="00E60F8C">
            <w:pPr>
              <w:jc w:val="both"/>
            </w:pPr>
          </w:p>
        </w:tc>
      </w:tr>
    </w:tbl>
    <w:p w:rsidR="005A1E69" w:rsidRDefault="005A1E69" w:rsidP="00E60F8C">
      <w:pPr>
        <w:jc w:val="both"/>
      </w:pPr>
    </w:p>
    <w:tbl>
      <w:tblPr>
        <w:tblStyle w:val="TableGrid"/>
        <w:tblW w:w="5000" w:type="pct"/>
        <w:tblLook w:val="04A0"/>
      </w:tblPr>
      <w:tblGrid>
        <w:gridCol w:w="10682"/>
      </w:tblGrid>
      <w:tr w:rsidR="001B35AE" w:rsidRPr="00020BEB" w:rsidTr="001B35AE">
        <w:tc>
          <w:tcPr>
            <w:tcW w:w="5000" w:type="pct"/>
          </w:tcPr>
          <w:p w:rsidR="001B35AE" w:rsidRPr="00020BEB" w:rsidRDefault="001B35AE" w:rsidP="004C1E1F">
            <w:pPr>
              <w:jc w:val="both"/>
              <w:rPr>
                <w:b/>
              </w:rPr>
            </w:pPr>
            <w:r>
              <w:rPr>
                <w:b/>
              </w:rPr>
              <w:t xml:space="preserve">FURTHER INFORMATION &amp; NOTES </w:t>
            </w:r>
          </w:p>
        </w:tc>
      </w:tr>
      <w:tr w:rsidR="001B35AE" w:rsidTr="001B35AE">
        <w:trPr>
          <w:trHeight w:val="728"/>
        </w:trPr>
        <w:tc>
          <w:tcPr>
            <w:tcW w:w="5000" w:type="pct"/>
          </w:tcPr>
          <w:p w:rsidR="001B35AE" w:rsidRPr="001B35AE" w:rsidRDefault="001B35AE" w:rsidP="004C1E1F">
            <w:pPr>
              <w:jc w:val="both"/>
              <w:rPr>
                <w:b/>
                <w:i/>
              </w:rPr>
            </w:pPr>
            <w:r w:rsidRPr="001B35AE">
              <w:rPr>
                <w:b/>
                <w:i/>
              </w:rPr>
              <w:t>ie for students taking MSc Oil &amp; Gas Engineering programme</w:t>
            </w:r>
          </w:p>
        </w:tc>
      </w:tr>
    </w:tbl>
    <w:p w:rsidR="001B35AE" w:rsidRDefault="001B35AE"/>
    <w:tbl>
      <w:tblPr>
        <w:tblStyle w:val="TableGrid"/>
        <w:tblW w:w="5000" w:type="pct"/>
        <w:tblLook w:val="04A0"/>
      </w:tblPr>
      <w:tblGrid>
        <w:gridCol w:w="10682"/>
      </w:tblGrid>
      <w:tr w:rsidR="005A1E69" w:rsidRPr="00020BEB" w:rsidTr="001B03A4">
        <w:tc>
          <w:tcPr>
            <w:tcW w:w="5000" w:type="pct"/>
          </w:tcPr>
          <w:p w:rsidR="005A1E69" w:rsidRPr="00020BEB" w:rsidRDefault="001B03A4" w:rsidP="00E60F8C">
            <w:pPr>
              <w:jc w:val="both"/>
              <w:rPr>
                <w:b/>
              </w:rPr>
            </w:pPr>
            <w:r w:rsidRPr="00020BEB">
              <w:rPr>
                <w:b/>
              </w:rPr>
              <w:t>DEGREE PROGRAMMES FOR WHICH THIS COURSE IS COMPULSORY</w:t>
            </w:r>
          </w:p>
        </w:tc>
      </w:tr>
      <w:tr w:rsidR="005A1E69" w:rsidTr="001B03A4">
        <w:trPr>
          <w:trHeight w:val="728"/>
        </w:trPr>
        <w:tc>
          <w:tcPr>
            <w:tcW w:w="5000" w:type="pct"/>
          </w:tcPr>
          <w:p w:rsidR="008247B9" w:rsidRDefault="008247B9" w:rsidP="008247B9">
            <w:pPr>
              <w:jc w:val="both"/>
            </w:pPr>
            <w:r>
              <w:t>This course is compulsory for all the following programmes:</w:t>
            </w:r>
          </w:p>
          <w:p w:rsidR="008247B9" w:rsidRDefault="008247B9" w:rsidP="008247B9">
            <w:pPr>
              <w:jc w:val="both"/>
            </w:pPr>
            <w:r>
              <w:t>(a) Degree of Master of Engineering in Chemical Engineering;</w:t>
            </w:r>
          </w:p>
          <w:p w:rsidR="008247B9" w:rsidRDefault="008247B9" w:rsidP="008247B9">
            <w:pPr>
              <w:jc w:val="both"/>
            </w:pPr>
            <w:r>
              <w:t>(b) Degree of Master of Engineering in Mechanical Engineering;</w:t>
            </w:r>
          </w:p>
          <w:p w:rsidR="008247B9" w:rsidRDefault="008247B9" w:rsidP="008247B9">
            <w:pPr>
              <w:jc w:val="both"/>
            </w:pPr>
            <w:r>
              <w:t>(c) MSc in Process Safety Engineering.</w:t>
            </w:r>
          </w:p>
          <w:p w:rsidR="005A1E69" w:rsidRDefault="005A1E69" w:rsidP="008247B9">
            <w:pPr>
              <w:jc w:val="both"/>
            </w:pPr>
          </w:p>
        </w:tc>
      </w:tr>
    </w:tbl>
    <w:p w:rsidR="005A1E69" w:rsidRDefault="005A1E69" w:rsidP="00E60F8C">
      <w:pPr>
        <w:jc w:val="both"/>
      </w:pPr>
    </w:p>
    <w:p w:rsidR="001B03A4" w:rsidRPr="001B03A4" w:rsidRDefault="001B03A4" w:rsidP="00E60F8C">
      <w:pPr>
        <w:jc w:val="both"/>
        <w:rPr>
          <w:b/>
          <w:sz w:val="28"/>
          <w:szCs w:val="28"/>
          <w:u w:val="single"/>
        </w:rPr>
      </w:pPr>
      <w:r w:rsidRPr="001B03A4">
        <w:rPr>
          <w:b/>
          <w:sz w:val="28"/>
          <w:szCs w:val="28"/>
          <w:u w:val="single"/>
        </w:rPr>
        <w:t>TEACHING</w:t>
      </w:r>
    </w:p>
    <w:tbl>
      <w:tblPr>
        <w:tblStyle w:val="TableGrid"/>
        <w:tblW w:w="5000" w:type="pct"/>
        <w:tblLook w:val="04A0"/>
      </w:tblPr>
      <w:tblGrid>
        <w:gridCol w:w="10682"/>
      </w:tblGrid>
      <w:tr w:rsidR="005A1E69" w:rsidRPr="00020BEB" w:rsidTr="001B03A4">
        <w:tc>
          <w:tcPr>
            <w:tcW w:w="5000" w:type="pct"/>
          </w:tcPr>
          <w:p w:rsidR="005A1E69" w:rsidRPr="00020BEB" w:rsidRDefault="001B03A4" w:rsidP="00E60F8C">
            <w:pPr>
              <w:jc w:val="both"/>
              <w:rPr>
                <w:b/>
              </w:rPr>
            </w:pPr>
            <w:r w:rsidRPr="00020BEB">
              <w:rPr>
                <w:b/>
              </w:rPr>
              <w:t>TEACHING TIME</w:t>
            </w:r>
          </w:p>
        </w:tc>
      </w:tr>
      <w:tr w:rsidR="005A1E69" w:rsidTr="00020BEB">
        <w:trPr>
          <w:trHeight w:val="728"/>
        </w:trPr>
        <w:tc>
          <w:tcPr>
            <w:tcW w:w="5000" w:type="pct"/>
          </w:tcPr>
          <w:p w:rsidR="00020BEB" w:rsidRDefault="00020BEB" w:rsidP="00020BEB">
            <w:pPr>
              <w:rPr>
                <w:b/>
                <w:i/>
              </w:rPr>
            </w:pPr>
          </w:p>
          <w:p w:rsidR="005A1E69" w:rsidRPr="001B03A4" w:rsidRDefault="001B03A4" w:rsidP="001B35AE">
            <w:pPr>
              <w:rPr>
                <w:b/>
                <w:i/>
              </w:rPr>
            </w:pPr>
            <w:r w:rsidRPr="001B03A4">
              <w:rPr>
                <w:b/>
                <w:i/>
              </w:rPr>
              <w:t xml:space="preserve">Ignore this field – this will be populated at </w:t>
            </w:r>
            <w:r w:rsidR="001B35AE">
              <w:rPr>
                <w:b/>
                <w:i/>
              </w:rPr>
              <w:t>a later date</w:t>
            </w:r>
          </w:p>
        </w:tc>
      </w:tr>
      <w:tr w:rsidR="005A1E69" w:rsidRPr="00020BEB" w:rsidTr="001B03A4">
        <w:tc>
          <w:tcPr>
            <w:tcW w:w="5000" w:type="pct"/>
          </w:tcPr>
          <w:p w:rsidR="005A1E69" w:rsidRPr="00020BEB" w:rsidRDefault="001B03A4" w:rsidP="00E60F8C">
            <w:pPr>
              <w:jc w:val="both"/>
              <w:rPr>
                <w:b/>
              </w:rPr>
            </w:pPr>
            <w:r w:rsidRPr="00020BEB">
              <w:rPr>
                <w:b/>
              </w:rPr>
              <w:t>TEACHING BREAKDOWN</w:t>
            </w:r>
          </w:p>
        </w:tc>
      </w:tr>
      <w:tr w:rsidR="005A1E69" w:rsidTr="00C23922">
        <w:trPr>
          <w:trHeight w:val="728"/>
        </w:trPr>
        <w:tc>
          <w:tcPr>
            <w:tcW w:w="5000" w:type="pct"/>
            <w:vAlign w:val="center"/>
          </w:tcPr>
          <w:p w:rsidR="005A1E69" w:rsidRDefault="00020BEB" w:rsidP="001B35AE">
            <w:r w:rsidRPr="001B03A4">
              <w:rPr>
                <w:b/>
                <w:i/>
              </w:rPr>
              <w:t xml:space="preserve">Ignore this field – this will be populated at </w:t>
            </w:r>
            <w:r>
              <w:rPr>
                <w:b/>
                <w:i/>
              </w:rPr>
              <w:t xml:space="preserve">a later date </w:t>
            </w:r>
          </w:p>
        </w:tc>
      </w:tr>
    </w:tbl>
    <w:p w:rsidR="005A1E69" w:rsidRDefault="005A1E69" w:rsidP="00E60F8C">
      <w:pPr>
        <w:jc w:val="both"/>
      </w:pPr>
    </w:p>
    <w:p w:rsidR="001B03A4" w:rsidRPr="001B03A4" w:rsidRDefault="001B03A4" w:rsidP="00E60F8C">
      <w:pPr>
        <w:jc w:val="both"/>
        <w:rPr>
          <w:b/>
          <w:sz w:val="28"/>
          <w:szCs w:val="28"/>
          <w:u w:val="single"/>
        </w:rPr>
      </w:pPr>
      <w:r w:rsidRPr="001B03A4">
        <w:rPr>
          <w:b/>
          <w:sz w:val="28"/>
          <w:szCs w:val="28"/>
          <w:u w:val="single"/>
        </w:rPr>
        <w:t>ASSESSMENT</w:t>
      </w:r>
    </w:p>
    <w:tbl>
      <w:tblPr>
        <w:tblStyle w:val="TableGrid"/>
        <w:tblW w:w="5000" w:type="pct"/>
        <w:tblLook w:val="04A0"/>
      </w:tblPr>
      <w:tblGrid>
        <w:gridCol w:w="10682"/>
      </w:tblGrid>
      <w:tr w:rsidR="001B03A4" w:rsidRPr="00020BEB" w:rsidTr="001B03A4">
        <w:tc>
          <w:tcPr>
            <w:tcW w:w="5000" w:type="pct"/>
          </w:tcPr>
          <w:p w:rsidR="001B03A4" w:rsidRPr="00020BEB" w:rsidRDefault="001B03A4" w:rsidP="00E60F8C">
            <w:pPr>
              <w:jc w:val="both"/>
              <w:rPr>
                <w:b/>
              </w:rPr>
            </w:pPr>
            <w:r w:rsidRPr="00020BEB">
              <w:rPr>
                <w:b/>
              </w:rPr>
              <w:t>ASSESSMENT</w:t>
            </w:r>
          </w:p>
        </w:tc>
      </w:tr>
      <w:tr w:rsidR="001B03A4" w:rsidTr="001B03A4">
        <w:trPr>
          <w:trHeight w:val="728"/>
        </w:trPr>
        <w:tc>
          <w:tcPr>
            <w:tcW w:w="5000" w:type="pct"/>
          </w:tcPr>
          <w:p w:rsidR="008247B9" w:rsidRDefault="001B35AE" w:rsidP="008247B9">
            <w:pPr>
              <w:jc w:val="both"/>
            </w:pPr>
            <w:r>
              <w:t xml:space="preserve"> </w:t>
            </w:r>
            <w:r w:rsidR="008247B9">
              <w:t>1 two-hour written examination paper (40%) and continuous assessment (60%). </w:t>
            </w:r>
          </w:p>
          <w:p w:rsidR="008247B9" w:rsidRDefault="008247B9" w:rsidP="008247B9">
            <w:pPr>
              <w:jc w:val="both"/>
            </w:pPr>
          </w:p>
          <w:p w:rsidR="008247B9" w:rsidRDefault="008247B9" w:rsidP="008247B9">
            <w:pPr>
              <w:jc w:val="both"/>
            </w:pPr>
            <w:r>
              <w:t>The continuous assessment (CA) will consist of 2 components:</w:t>
            </w:r>
          </w:p>
          <w:p w:rsidR="008247B9" w:rsidRDefault="008247B9" w:rsidP="008247B9">
            <w:pPr>
              <w:tabs>
                <w:tab w:val="left" w:pos="285"/>
              </w:tabs>
              <w:jc w:val="both"/>
            </w:pPr>
            <w:r>
              <w:t>•</w:t>
            </w:r>
            <w:r>
              <w:tab/>
              <w:t>Problem solving programming exercise (20%);</w:t>
            </w:r>
          </w:p>
          <w:p w:rsidR="008247B9" w:rsidRDefault="008247B9" w:rsidP="008247B9">
            <w:pPr>
              <w:tabs>
                <w:tab w:val="left" w:pos="285"/>
              </w:tabs>
              <w:jc w:val="both"/>
            </w:pPr>
            <w:r>
              <w:t>•</w:t>
            </w:r>
            <w:r>
              <w:tab/>
              <w:t>Individual reports on assigned Engineering problem involving CFD simulation (40%).</w:t>
            </w:r>
          </w:p>
          <w:p w:rsidR="008247B9" w:rsidRDefault="008247B9" w:rsidP="008247B9">
            <w:pPr>
              <w:jc w:val="both"/>
            </w:pPr>
          </w:p>
          <w:p w:rsidR="001B35AE" w:rsidRDefault="008247B9" w:rsidP="008247B9">
            <w:pPr>
              <w:jc w:val="both"/>
            </w:pPr>
            <w:r>
              <w:t>Students are required to pass both the examination and the continuous assessment in order to pass the course. A fail in the exam will not be condoned by a pass in other elements of assessment. In the case of a fail in any element of assessment the overall course grade will be limited to E1.</w:t>
            </w:r>
          </w:p>
        </w:tc>
      </w:tr>
      <w:tr w:rsidR="001B03A4" w:rsidRPr="00020BEB" w:rsidTr="001B03A4">
        <w:tc>
          <w:tcPr>
            <w:tcW w:w="5000" w:type="pct"/>
          </w:tcPr>
          <w:p w:rsidR="001B03A4" w:rsidRPr="00020BEB" w:rsidRDefault="001B03A4" w:rsidP="00E60F8C">
            <w:pPr>
              <w:jc w:val="both"/>
              <w:rPr>
                <w:b/>
              </w:rPr>
            </w:pPr>
            <w:r w:rsidRPr="00020BEB">
              <w:rPr>
                <w:b/>
              </w:rPr>
              <w:t>FORMATIVE ASSESSMENT</w:t>
            </w:r>
          </w:p>
        </w:tc>
      </w:tr>
      <w:tr w:rsidR="001B03A4" w:rsidTr="001B03A4">
        <w:trPr>
          <w:trHeight w:val="728"/>
        </w:trPr>
        <w:tc>
          <w:tcPr>
            <w:tcW w:w="5000" w:type="pct"/>
          </w:tcPr>
          <w:p w:rsidR="001B03A4" w:rsidRDefault="001B03A4" w:rsidP="00E60F8C">
            <w:pPr>
              <w:jc w:val="both"/>
            </w:pPr>
          </w:p>
        </w:tc>
      </w:tr>
      <w:tr w:rsidR="001B03A4" w:rsidRPr="00020BEB" w:rsidTr="001B03A4">
        <w:tc>
          <w:tcPr>
            <w:tcW w:w="5000" w:type="pct"/>
          </w:tcPr>
          <w:p w:rsidR="001B03A4" w:rsidRPr="00020BEB" w:rsidRDefault="001B03A4" w:rsidP="00E60F8C">
            <w:pPr>
              <w:jc w:val="both"/>
              <w:rPr>
                <w:b/>
              </w:rPr>
            </w:pPr>
            <w:r w:rsidRPr="00020BEB">
              <w:rPr>
                <w:b/>
              </w:rPr>
              <w:t>FEEDBACK</w:t>
            </w:r>
          </w:p>
        </w:tc>
      </w:tr>
      <w:tr w:rsidR="001B03A4" w:rsidTr="001B03A4">
        <w:trPr>
          <w:trHeight w:val="728"/>
        </w:trPr>
        <w:tc>
          <w:tcPr>
            <w:tcW w:w="5000" w:type="pct"/>
          </w:tcPr>
          <w:p w:rsidR="00C23922" w:rsidRPr="001B35AE" w:rsidRDefault="00C23922" w:rsidP="00C23922">
            <w:pPr>
              <w:pStyle w:val="NormalWeb"/>
              <w:shd w:val="clear" w:color="auto" w:fill="FFFFFF"/>
              <w:rPr>
                <w:rFonts w:asciiTheme="minorHAnsi" w:hAnsiTheme="minorHAnsi" w:cstheme="minorHAnsi"/>
                <w:b/>
                <w:i/>
                <w:color w:val="000000"/>
                <w:sz w:val="22"/>
                <w:szCs w:val="22"/>
              </w:rPr>
            </w:pPr>
            <w:r w:rsidRPr="001B35AE">
              <w:rPr>
                <w:rFonts w:asciiTheme="minorHAnsi" w:hAnsiTheme="minorHAnsi" w:cstheme="minorHAnsi"/>
                <w:b/>
                <w:i/>
                <w:sz w:val="22"/>
                <w:szCs w:val="22"/>
              </w:rPr>
              <w:t xml:space="preserve">ie </w:t>
            </w:r>
            <w:r w:rsidRPr="001B35AE">
              <w:rPr>
                <w:rFonts w:asciiTheme="minorHAnsi" w:hAnsiTheme="minorHAnsi" w:cstheme="minorHAnsi"/>
                <w:b/>
                <w:i/>
                <w:color w:val="000000"/>
                <w:sz w:val="22"/>
                <w:szCs w:val="22"/>
              </w:rPr>
              <w:t>The course includes a workgroup exercise on assessment of essays.  Students must sit a mock exam in-class.  Students receive individual, written feedback on their coursework. We also provide whole-class feedback via MyAberdeen.  We also put model answers/mark schemes for all coursework and the mock exams on MyAberdeen to give students the chance to self-assess their own performance.</w:t>
            </w:r>
          </w:p>
          <w:p w:rsidR="008247B9" w:rsidRPr="008247B9" w:rsidRDefault="008247B9" w:rsidP="008247B9">
            <w:pPr>
              <w:pStyle w:val="NormalWeb"/>
              <w:shd w:val="clear" w:color="auto" w:fill="FFFFFF"/>
              <w:tabs>
                <w:tab w:val="left" w:pos="315"/>
              </w:tabs>
              <w:spacing w:before="0" w:beforeAutospacing="0" w:after="0" w:afterAutospacing="0"/>
              <w:ind w:left="187" w:hanging="187"/>
              <w:jc w:val="both"/>
              <w:rPr>
                <w:rFonts w:asciiTheme="minorHAnsi" w:hAnsiTheme="minorHAnsi" w:cstheme="minorHAnsi"/>
                <w:i/>
                <w:color w:val="000000"/>
              </w:rPr>
            </w:pPr>
            <w:r w:rsidRPr="008247B9">
              <w:rPr>
                <w:rFonts w:ascii="Verdana" w:hAnsi="Verdana"/>
                <w:i/>
                <w:color w:val="000000"/>
                <w:sz w:val="19"/>
                <w:szCs w:val="19"/>
              </w:rPr>
              <w:t>•</w:t>
            </w:r>
            <w:r w:rsidRPr="008247B9">
              <w:rPr>
                <w:rFonts w:ascii="Verdana" w:hAnsi="Verdana"/>
                <w:i/>
                <w:color w:val="000000"/>
                <w:sz w:val="19"/>
                <w:szCs w:val="19"/>
              </w:rPr>
              <w:tab/>
            </w:r>
            <w:r w:rsidRPr="008247B9">
              <w:rPr>
                <w:rFonts w:asciiTheme="minorHAnsi" w:hAnsiTheme="minorHAnsi" w:cstheme="minorHAnsi"/>
                <w:i/>
                <w:color w:val="000000"/>
              </w:rPr>
              <w:t xml:space="preserve">Students can receive feedback on their progress with the Course on request at the weekly </w:t>
            </w:r>
            <w:r w:rsidRPr="008247B9">
              <w:rPr>
                <w:rFonts w:asciiTheme="minorHAnsi" w:hAnsiTheme="minorHAnsi" w:cstheme="minorHAnsi"/>
                <w:i/>
                <w:color w:val="000000"/>
              </w:rPr>
              <w:lastRenderedPageBreak/>
              <w:t>tutorial/feedback sessions;</w:t>
            </w:r>
          </w:p>
          <w:p w:rsidR="008247B9" w:rsidRPr="008247B9" w:rsidRDefault="008247B9" w:rsidP="008247B9">
            <w:pPr>
              <w:pStyle w:val="NormalWeb"/>
              <w:shd w:val="clear" w:color="auto" w:fill="FFFFFF"/>
              <w:tabs>
                <w:tab w:val="left" w:pos="315"/>
              </w:tabs>
              <w:spacing w:before="0" w:beforeAutospacing="0" w:after="0" w:afterAutospacing="0"/>
              <w:ind w:left="187" w:hanging="187"/>
              <w:jc w:val="both"/>
              <w:rPr>
                <w:rFonts w:asciiTheme="minorHAnsi" w:hAnsiTheme="minorHAnsi" w:cstheme="minorHAnsi"/>
                <w:i/>
                <w:color w:val="000000"/>
              </w:rPr>
            </w:pPr>
            <w:r w:rsidRPr="008247B9">
              <w:rPr>
                <w:rFonts w:asciiTheme="minorHAnsi" w:hAnsiTheme="minorHAnsi" w:cstheme="minorHAnsi"/>
                <w:i/>
                <w:color w:val="000000"/>
              </w:rPr>
              <w:t>•</w:t>
            </w:r>
            <w:r w:rsidRPr="008247B9">
              <w:rPr>
                <w:rFonts w:asciiTheme="minorHAnsi" w:hAnsiTheme="minorHAnsi" w:cstheme="minorHAnsi"/>
                <w:i/>
                <w:color w:val="000000"/>
              </w:rPr>
              <w:tab/>
              <w:t>Students are given feedback through formal marking and return of practical reports;</w:t>
            </w:r>
          </w:p>
          <w:p w:rsidR="00C23922" w:rsidRPr="008247B9" w:rsidRDefault="008247B9" w:rsidP="008247B9">
            <w:pPr>
              <w:pStyle w:val="NormalWeb"/>
              <w:shd w:val="clear" w:color="auto" w:fill="FFFFFF"/>
              <w:tabs>
                <w:tab w:val="left" w:pos="315"/>
              </w:tabs>
              <w:spacing w:before="0" w:beforeAutospacing="0" w:after="0" w:afterAutospacing="0"/>
              <w:ind w:left="187" w:hanging="187"/>
              <w:jc w:val="both"/>
              <w:rPr>
                <w:rFonts w:asciiTheme="minorHAnsi" w:hAnsiTheme="minorHAnsi" w:cstheme="minorHAnsi"/>
                <w:i/>
                <w:color w:val="000000"/>
              </w:rPr>
            </w:pPr>
            <w:r w:rsidRPr="008247B9">
              <w:rPr>
                <w:rFonts w:asciiTheme="minorHAnsi" w:hAnsiTheme="minorHAnsi" w:cstheme="minorHAnsi"/>
                <w:i/>
                <w:color w:val="000000"/>
              </w:rPr>
              <w:t>•</w:t>
            </w:r>
            <w:r w:rsidRPr="008247B9">
              <w:rPr>
                <w:rFonts w:asciiTheme="minorHAnsi" w:hAnsiTheme="minorHAnsi" w:cstheme="minorHAnsi"/>
                <w:i/>
                <w:color w:val="000000"/>
              </w:rPr>
              <w:tab/>
              <w:t>Students requesting feedback on their exam performance should make an appointment within 2 weeks of the publication of the exam results.</w:t>
            </w:r>
          </w:p>
          <w:p w:rsidR="001B03A4" w:rsidRDefault="001B03A4" w:rsidP="00E60F8C">
            <w:pPr>
              <w:jc w:val="both"/>
            </w:pPr>
          </w:p>
          <w:p w:rsidR="00C23922" w:rsidRDefault="00C23922" w:rsidP="00E60F8C">
            <w:pPr>
              <w:jc w:val="both"/>
            </w:pPr>
          </w:p>
          <w:p w:rsidR="00C23922" w:rsidRDefault="00C23922" w:rsidP="00E60F8C">
            <w:pPr>
              <w:jc w:val="both"/>
            </w:pPr>
          </w:p>
          <w:p w:rsidR="00C23922" w:rsidRDefault="00C23922" w:rsidP="00E60F8C">
            <w:pPr>
              <w:jc w:val="both"/>
            </w:pPr>
            <w:bookmarkStart w:id="0" w:name="_GoBack"/>
            <w:bookmarkEnd w:id="0"/>
          </w:p>
        </w:tc>
      </w:tr>
    </w:tbl>
    <w:p w:rsidR="001B03A4" w:rsidRPr="007F32FA" w:rsidRDefault="001B03A4" w:rsidP="00E60F8C">
      <w:pPr>
        <w:jc w:val="both"/>
      </w:pPr>
    </w:p>
    <w:sectPr w:rsidR="001B03A4" w:rsidRPr="007F32FA" w:rsidSect="001B03A4">
      <w:pgSz w:w="11906" w:h="16838" w:code="9"/>
      <w:pgMar w:top="720" w:right="720" w:bottom="720"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EF8"/>
    <w:multiLevelType w:val="hybridMultilevel"/>
    <w:tmpl w:val="5B06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8F31C6"/>
    <w:multiLevelType w:val="hybridMultilevel"/>
    <w:tmpl w:val="2AA2DCE0"/>
    <w:lvl w:ilvl="0" w:tplc="92486D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9021DC"/>
    <w:multiLevelType w:val="hybridMultilevel"/>
    <w:tmpl w:val="50A65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useFELayout/>
  </w:compat>
  <w:rsids>
    <w:rsidRoot w:val="007F32FA"/>
    <w:rsid w:val="00020BEB"/>
    <w:rsid w:val="000964EB"/>
    <w:rsid w:val="0013683E"/>
    <w:rsid w:val="001B03A4"/>
    <w:rsid w:val="001B35AE"/>
    <w:rsid w:val="001E5D90"/>
    <w:rsid w:val="002F5209"/>
    <w:rsid w:val="003D2AA3"/>
    <w:rsid w:val="004C1E1F"/>
    <w:rsid w:val="005A1E69"/>
    <w:rsid w:val="005F14D7"/>
    <w:rsid w:val="006F05F9"/>
    <w:rsid w:val="00754EBC"/>
    <w:rsid w:val="007F32FA"/>
    <w:rsid w:val="008247B9"/>
    <w:rsid w:val="00824FF8"/>
    <w:rsid w:val="0086486C"/>
    <w:rsid w:val="00963CF9"/>
    <w:rsid w:val="009C1A80"/>
    <w:rsid w:val="00C16CBA"/>
    <w:rsid w:val="00C23922"/>
    <w:rsid w:val="00D62AFA"/>
    <w:rsid w:val="00DF567E"/>
    <w:rsid w:val="00E13F5A"/>
    <w:rsid w:val="00E60F8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567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F567E"/>
    <w:pPr>
      <w:ind w:left="720"/>
      <w:contextualSpacing/>
    </w:pPr>
  </w:style>
  <w:style w:type="table" w:styleId="TableGrid">
    <w:name w:val="Table Grid"/>
    <w:basedOn w:val="TableNormal"/>
    <w:uiPriority w:val="59"/>
    <w:rsid w:val="00DF5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239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567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F567E"/>
    <w:pPr>
      <w:ind w:left="720"/>
      <w:contextualSpacing/>
    </w:pPr>
  </w:style>
  <w:style w:type="table" w:styleId="TableGrid">
    <w:name w:val="Table Grid"/>
    <w:basedOn w:val="TableNormal"/>
    <w:uiPriority w:val="59"/>
    <w:rsid w:val="00DF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39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7578739">
      <w:bodyDiv w:val="1"/>
      <w:marLeft w:val="0"/>
      <w:marRight w:val="0"/>
      <w:marTop w:val="0"/>
      <w:marBottom w:val="0"/>
      <w:divBdr>
        <w:top w:val="none" w:sz="0" w:space="0" w:color="auto"/>
        <w:left w:val="none" w:sz="0" w:space="0" w:color="auto"/>
        <w:bottom w:val="none" w:sz="0" w:space="0" w:color="auto"/>
        <w:right w:val="none" w:sz="0" w:space="0" w:color="auto"/>
      </w:divBdr>
      <w:divsChild>
        <w:div w:id="640383274">
          <w:marLeft w:val="270"/>
          <w:marRight w:val="0"/>
          <w:marTop w:val="0"/>
          <w:marBottom w:val="0"/>
          <w:divBdr>
            <w:top w:val="none" w:sz="0" w:space="0" w:color="auto"/>
            <w:left w:val="none" w:sz="0" w:space="0" w:color="auto"/>
            <w:bottom w:val="none" w:sz="0" w:space="0" w:color="auto"/>
            <w:right w:val="none" w:sz="0" w:space="0" w:color="auto"/>
          </w:divBdr>
          <w:divsChild>
            <w:div w:id="1065759842">
              <w:marLeft w:val="0"/>
              <w:marRight w:val="0"/>
              <w:marTop w:val="0"/>
              <w:marBottom w:val="0"/>
              <w:divBdr>
                <w:top w:val="none" w:sz="0" w:space="0" w:color="auto"/>
                <w:left w:val="none" w:sz="0" w:space="0" w:color="auto"/>
                <w:bottom w:val="none" w:sz="0" w:space="0" w:color="auto"/>
                <w:right w:val="none" w:sz="0" w:space="0" w:color="auto"/>
              </w:divBdr>
              <w:divsChild>
                <w:div w:id="1536573516">
                  <w:marLeft w:val="0"/>
                  <w:marRight w:val="0"/>
                  <w:marTop w:val="0"/>
                  <w:marBottom w:val="0"/>
                  <w:divBdr>
                    <w:top w:val="none" w:sz="0" w:space="0" w:color="auto"/>
                    <w:left w:val="dotted" w:sz="6" w:space="6" w:color="77224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Buckingham, Yvonne C.</dc:creator>
  <cp:lastModifiedBy>Melo de almeida Gomes, Jefferson Luis</cp:lastModifiedBy>
  <cp:revision>2</cp:revision>
  <dcterms:created xsi:type="dcterms:W3CDTF">2015-03-02T18:56:00Z</dcterms:created>
  <dcterms:modified xsi:type="dcterms:W3CDTF">2015-03-02T18:56:00Z</dcterms:modified>
</cp:coreProperties>
</file>