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hAnsi="Times New Roman"/>
          <w:b/>
          <w:bCs/>
          <w:color w:val="000000"/>
          <w:sz w:val="24"/>
          <w:szCs w:val="24"/>
          <w:lang w:val="en-US"/>
        </w:rPr>
        <w:t>UNIVERSITY OF ABERDEEN, SCHOOL OF ENGINEERING</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 xml:space="preserve">COURSE HANDBOOK  </w:t>
        <w:tab/>
        <w:tab/>
        <w:t>SESSION 2013-14</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36"/>
          <w:szCs w:val="36"/>
          <w:lang w:val="en-US"/>
        </w:rPr>
        <w:t>EG3521 Engineering Thermodynamics</w:t>
      </w:r>
    </w:p>
    <w:p>
      <w:pPr>
        <w:pStyle w:val="style0"/>
        <w:spacing w:after="0" w:before="0" w:line="100" w:lineRule="atLeast"/>
      </w:pPr>
      <w:r>
        <w:rPr>
          <w:rFonts w:ascii="Times New Roman" w:hAnsi="Times New Roman"/>
          <w:b/>
          <w:bCs/>
          <w:color w:val="000000"/>
          <w:sz w:val="36"/>
          <w:szCs w:val="36"/>
          <w:lang w:val="en-US"/>
        </w:rPr>
      </w:r>
    </w:p>
    <w:p>
      <w:pPr>
        <w:pStyle w:val="style0"/>
        <w:spacing w:after="0" w:before="0" w:line="100" w:lineRule="atLeast"/>
      </w:pPr>
      <w:r>
        <w:rPr>
          <w:rFonts w:ascii="Times New Roman" w:hAnsi="Times New Roman"/>
          <w:b/>
          <w:bCs/>
          <w:color w:val="000000"/>
          <w:sz w:val="24"/>
          <w:szCs w:val="24"/>
          <w:lang w:val="en-US"/>
        </w:rPr>
        <w:t>CREDIT POINTS</w:t>
      </w:r>
    </w:p>
    <w:p>
      <w:pPr>
        <w:pStyle w:val="style0"/>
        <w:spacing w:after="0" w:before="0" w:line="100" w:lineRule="atLeast"/>
        <w:ind w:firstLine="720" w:left="0" w:right="0"/>
      </w:pPr>
      <w:r>
        <w:rPr>
          <w:rFonts w:ascii="Times New Roman" w:hAnsi="Times New Roman"/>
          <w:color w:val="000000"/>
          <w:sz w:val="24"/>
          <w:szCs w:val="24"/>
          <w:lang w:val="en-US"/>
        </w:rPr>
        <w:t>10</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COURSE CO-ORDINATOR</w:t>
      </w:r>
    </w:p>
    <w:p>
      <w:pPr>
        <w:pStyle w:val="style0"/>
        <w:spacing w:after="0" w:before="0" w:line="100" w:lineRule="atLeast"/>
        <w:ind w:firstLine="720" w:left="0" w:right="0"/>
      </w:pPr>
      <w:r>
        <w:rPr>
          <w:rFonts w:ascii="Times New Roman" w:hAnsi="Times New Roman"/>
          <w:color w:val="000000"/>
          <w:sz w:val="24"/>
          <w:szCs w:val="24"/>
          <w:lang w:val="en-US"/>
        </w:rPr>
        <w:t xml:space="preserve">Dr Jeff Gomes </w:t>
        <w:tab/>
        <w:tab/>
        <w:tab/>
        <w:tab/>
        <w:tab/>
        <w:t xml:space="preserve">Email: </w:t>
      </w:r>
      <w:hyperlink r:id="rId2">
        <w:r>
          <w:rPr>
            <w:rStyle w:val="style23"/>
            <w:rFonts w:ascii="Times New Roman" w:hAnsi="Times New Roman"/>
            <w:sz w:val="24"/>
            <w:szCs w:val="24"/>
            <w:lang w:val="en-US"/>
          </w:rPr>
          <w:t>jefferson.gomes@abdn.ac.uk</w:t>
        </w:r>
      </w:hyperlink>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COURSE ORGANISER</w:t>
      </w:r>
    </w:p>
    <w:p>
      <w:pPr>
        <w:pStyle w:val="style0"/>
        <w:spacing w:after="0" w:before="0" w:line="100" w:lineRule="atLeast"/>
        <w:ind w:firstLine="720" w:left="0" w:right="0"/>
      </w:pPr>
      <w:r>
        <w:rPr>
          <w:rFonts w:ascii="Times New Roman" w:hAnsi="Times New Roman"/>
          <w:color w:val="000000"/>
          <w:sz w:val="24"/>
          <w:szCs w:val="24"/>
          <w:lang w:val="en-US"/>
        </w:rPr>
        <w:t>Dr Jeff Gomes</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CONTRIBUTORS</w:t>
      </w:r>
    </w:p>
    <w:p>
      <w:pPr>
        <w:pStyle w:val="style0"/>
        <w:spacing w:after="0" w:before="0" w:line="100" w:lineRule="atLeast"/>
        <w:ind w:firstLine="720" w:left="0" w:right="0"/>
      </w:pPr>
      <w:r>
        <w:rPr>
          <w:rFonts w:ascii="Times New Roman" w:hAnsi="Times New Roman"/>
          <w:color w:val="000000"/>
          <w:sz w:val="24"/>
          <w:szCs w:val="24"/>
          <w:lang w:val="en-US"/>
        </w:rPr>
        <w:t>Drs Jeff Gomes and Peter Hicks</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SCRUTINEER</w:t>
      </w:r>
    </w:p>
    <w:p>
      <w:pPr>
        <w:pStyle w:val="style0"/>
        <w:spacing w:after="0" w:before="0" w:line="100" w:lineRule="atLeast"/>
        <w:ind w:firstLine="720" w:left="0" w:right="0"/>
      </w:pPr>
      <w:r>
        <w:rPr>
          <w:rFonts w:ascii="Times New Roman" w:hAnsi="Times New Roman"/>
          <w:color w:val="000000"/>
          <w:sz w:val="24"/>
          <w:szCs w:val="24"/>
          <w:lang w:val="en-US"/>
        </w:rPr>
        <w:t>Prof Jos Derksen</w:t>
        <w:tab/>
        <w:tab/>
        <w:tab/>
        <w:tab/>
        <w:t xml:space="preserve">            Email: </w:t>
      </w:r>
      <w:r>
        <w:rPr>
          <w:rFonts w:ascii="Times New Roman" w:hAnsi="Times New Roman"/>
          <w:color w:val="0000FF"/>
          <w:sz w:val="24"/>
          <w:szCs w:val="24"/>
          <w:lang w:val="en-US"/>
        </w:rPr>
        <w:t>jderksen@abdn.ac.uk</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PRE-REQUISITE</w:t>
      </w:r>
    </w:p>
    <w:p>
      <w:pPr>
        <w:pStyle w:val="style0"/>
        <w:spacing w:after="0" w:before="0" w:line="100" w:lineRule="atLeast"/>
        <w:ind w:firstLine="720" w:left="0" w:right="0"/>
      </w:pPr>
      <w:r>
        <w:rPr>
          <w:rFonts w:ascii="Times New Roman" w:hAnsi="Times New Roman"/>
          <w:color w:val="000000"/>
          <w:sz w:val="24"/>
          <w:szCs w:val="24"/>
          <w:lang w:val="en-US"/>
        </w:rPr>
        <w:t>EG2003</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CO-REQUISITE</w:t>
      </w:r>
    </w:p>
    <w:p>
      <w:pPr>
        <w:pStyle w:val="style0"/>
        <w:spacing w:after="0" w:before="0" w:line="100" w:lineRule="atLeast"/>
      </w:pPr>
      <w:r>
        <w:rPr>
          <w:rFonts w:ascii="Times New Roman" w:hAnsi="Times New Roman"/>
          <w:color w:val="000000"/>
          <w:sz w:val="24"/>
          <w:szCs w:val="24"/>
          <w:lang w:val="en-US"/>
        </w:rPr>
        <w:t>None</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COURSES FOR WHICH THIS COURSE IS A PRE-REQUISITE</w:t>
      </w:r>
    </w:p>
    <w:p>
      <w:pPr>
        <w:pStyle w:val="style0"/>
        <w:spacing w:after="0" w:before="0" w:line="100" w:lineRule="atLeast"/>
      </w:pPr>
      <w:r>
        <w:rPr>
          <w:rFonts w:ascii="Times New Roman" w:hAnsi="Times New Roman"/>
          <w:color w:val="000000"/>
          <w:sz w:val="24"/>
          <w:szCs w:val="24"/>
          <w:lang w:val="en-US"/>
        </w:rPr>
        <w:t>EG40JK</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NOTE</w:t>
      </w:r>
    </w:p>
    <w:p>
      <w:pPr>
        <w:pStyle w:val="style0"/>
        <w:spacing w:after="0" w:before="0" w:line="100" w:lineRule="atLeast"/>
        <w:jc w:val="both"/>
      </w:pPr>
      <w:r>
        <w:rPr>
          <w:rFonts w:ascii="Times New Roman" w:hAnsi="Times New Roman"/>
          <w:color w:val="000000"/>
          <w:sz w:val="24"/>
          <w:szCs w:val="24"/>
          <w:lang w:val="en-US"/>
        </w:rPr>
        <w:t>Except with the permission of the Head of School of Engineering, this course is available only to students following an Honours degree programme in engineering.</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AIMS</w:t>
      </w:r>
    </w:p>
    <w:p>
      <w:pPr>
        <w:pStyle w:val="style0"/>
        <w:spacing w:after="0" w:before="0" w:line="100" w:lineRule="atLeast"/>
        <w:jc w:val="both"/>
      </w:pPr>
      <w:r>
        <w:rPr>
          <w:rFonts w:ascii="Times New Roman" w:hAnsi="Times New Roman"/>
          <w:color w:val="000000"/>
          <w:sz w:val="24"/>
          <w:szCs w:val="24"/>
          <w:lang w:val="en-US"/>
        </w:rPr>
        <w:t>This course aims to provide Mechanical Engineering students with an in-depth treatment of: 1) the applications of thermodynamics to flow processes; 2) the production of power from heat; 3) refrigeration and liquefaction processes.  The course also gives a broad introduction to psychrometry with an applications focus on heating, ventilation and air conditioning.</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DESCRIPTION</w:t>
      </w:r>
    </w:p>
    <w:p>
      <w:pPr>
        <w:pStyle w:val="style0"/>
        <w:spacing w:after="0" w:before="0" w:line="100" w:lineRule="atLeast"/>
        <w:jc w:val="both"/>
      </w:pPr>
      <w:r>
        <w:rPr>
          <w:rFonts w:ascii="Times New Roman" w:hAnsi="Times New Roman"/>
          <w:color w:val="000000"/>
          <w:sz w:val="24"/>
          <w:szCs w:val="24"/>
          <w:lang w:val="en-US"/>
        </w:rPr>
        <w:t>The course begins with a detailed discussion of the Production of Power from Heat which includes: revision of the Carnot-engine cycle and the basic steam power plant; the Rankine cycle; modifications of the Rankine cycle to increase efficiency including superheat/re-heat &amp; feed water heating; steam power plants &amp; internal combustion engines; internal combustion engines including the Otto Engine, the Diesel engine and the gas-turbine engine (Brayton cycle).  Following on from the production of power from heat is a module on Refrigeration and Liquefaction processes which use power to move heat from low temperature to high temperature, this module includes: the Carnot refrigerator; the vapour-compression cycle; refrigerant choice; absorption refrigeration; the Linde liquefaction process; the Claude liquefaction process.  The course continues with applications of thermodynamics to flow processes including: duct flow of compressible fluids in pipes, nozzles and throttling devices; Turbines; Compression processes including compressors, pumps and ejectors. The course concludes with a module on Psychrometry which includes: basic definitions; wet bulb temperature; adiabatic saturation temperature; humidity data for the air-water system (humidity-temperature chart &amp; humidity-enthalpy diagram); mixing of humid streams; humidification &amp; dehumidification.</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LEARNING OUTCOMES</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color w:val="000000"/>
          <w:sz w:val="24"/>
          <w:szCs w:val="24"/>
          <w:lang w:val="en-US"/>
        </w:rPr>
        <w:t>By the end of the course students should:</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A: have knowledge and understanding of:</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Balance equations used in the analysis of duct flow of compressible fluids.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Fundamental thermodynamics of turbine expansion processes including the application of the 1</w:t>
      </w:r>
      <w:r>
        <w:rPr>
          <w:rFonts w:ascii="Times New Roman" w:hAnsi="Times New Roman"/>
          <w:color w:val="000000"/>
          <w:sz w:val="24"/>
          <w:szCs w:val="24"/>
          <w:vertAlign w:val="superscript"/>
          <w:lang w:val="en-US"/>
        </w:rPr>
        <w:t>st</w:t>
      </w:r>
      <w:r>
        <w:rPr>
          <w:rFonts w:ascii="Times New Roman" w:hAnsi="Times New Roman"/>
          <w:color w:val="000000"/>
          <w:sz w:val="24"/>
          <w:szCs w:val="24"/>
          <w:lang w:val="en-US"/>
        </w:rPr>
        <w:t xml:space="preserve"> law for a steady flow process.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Fundamental thermodynamics of compression processes including the application the 1</w:t>
      </w:r>
      <w:r>
        <w:rPr>
          <w:rFonts w:ascii="Times New Roman" w:hAnsi="Times New Roman"/>
          <w:color w:val="000000"/>
          <w:sz w:val="24"/>
          <w:szCs w:val="24"/>
          <w:vertAlign w:val="superscript"/>
          <w:lang w:val="en-US"/>
        </w:rPr>
        <w:t>st</w:t>
      </w:r>
      <w:r>
        <w:rPr>
          <w:rFonts w:ascii="Times New Roman" w:hAnsi="Times New Roman"/>
          <w:color w:val="000000"/>
          <w:sz w:val="24"/>
          <w:szCs w:val="24"/>
          <w:lang w:val="en-US"/>
        </w:rPr>
        <w:t xml:space="preserve"> law for a steady flow process.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Carnot cycle and why it is not practical to operate.</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Rankine cycle and the modifications which can be incorporated to boost its efficiency.</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Otto, Diesel and Gas-turbine (Brayton cycle) engines.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fundamental thermodynamics of refrigeration and liquefaction processes.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quantities used to report the effectiveness of refrigeration processes.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Factors affecting refrigerant choice.</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The Linde and Claude liquefaction processes.</w:t>
      </w:r>
    </w:p>
    <w:p>
      <w:pPr>
        <w:pStyle w:val="style0"/>
        <w:numPr>
          <w:ilvl w:val="0"/>
          <w:numId w:val="5"/>
        </w:numPr>
        <w:spacing w:after="0" w:before="0" w:line="100" w:lineRule="atLeast"/>
        <w:ind w:hanging="357" w:left="714" w:right="0"/>
        <w:jc w:val="both"/>
      </w:pPr>
      <w:r>
        <w:rPr>
          <w:rFonts w:ascii="Times New Roman" w:hAnsi="Times New Roman"/>
          <w:color w:val="000000"/>
          <w:sz w:val="24"/>
          <w:szCs w:val="24"/>
          <w:lang w:val="en-US"/>
        </w:rPr>
        <w:t>Standard terms used in psychrometry, humidification and water cooling.</w:t>
      </w:r>
    </w:p>
    <w:p>
      <w:pPr>
        <w:pStyle w:val="style0"/>
        <w:spacing w:after="0" w:before="0" w:line="100" w:lineRule="atLeast"/>
        <w:ind w:hanging="0" w:left="709" w:right="0"/>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B: have gained intellectual skills so that they are able to:</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Apply balance equations for duct flow of compressible fluids to pipe flow, flow through nozzles and throttling processes.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turbine expansion processes and undertake calculations on such systems.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compression processes including compressors, pumps and ejectors and undertake calculations on such systems.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the Carnot and Rankine cycles using process flow and thermodynamic diagrams.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the modified Rankine cycle using process flow and thermodynamic diagrams.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the Otto, Diesel and Brayton cycles using thermodynamic diagrams.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refrigeration processes using process flow and thermodynamic diagrams.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Select refrigerants and processes for a given refrigeration duty/application.</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Describe liquefaction processes using process flow and thermodynamic diagrams.</w:t>
      </w:r>
    </w:p>
    <w:p>
      <w:pPr>
        <w:pStyle w:val="style0"/>
        <w:numPr>
          <w:ilvl w:val="0"/>
          <w:numId w:val="6"/>
        </w:numPr>
        <w:spacing w:after="0" w:before="0" w:line="100" w:lineRule="atLeast"/>
        <w:ind w:hanging="357" w:left="714" w:right="0"/>
        <w:jc w:val="both"/>
      </w:pPr>
      <w:r>
        <w:rPr>
          <w:rFonts w:ascii="Times New Roman" w:hAnsi="Times New Roman"/>
          <w:bCs/>
          <w:color w:val="000000"/>
          <w:sz w:val="24"/>
          <w:szCs w:val="24"/>
          <w:lang w:val="en-US"/>
        </w:rPr>
        <w:t>Undertake simple heat and mass balances on humidification/dehumidification systems.</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C: have gained practical skills so that they are able to:</w:t>
      </w:r>
    </w:p>
    <w:p>
      <w:pPr>
        <w:pStyle w:val="style0"/>
        <w:numPr>
          <w:ilvl w:val="0"/>
          <w:numId w:val="1"/>
        </w:numPr>
        <w:spacing w:after="0" w:before="0" w:line="100" w:lineRule="atLeast"/>
        <w:jc w:val="both"/>
      </w:pPr>
      <w:r>
        <w:rPr>
          <w:rFonts w:ascii="Times New Roman" w:hAnsi="Times New Roman"/>
          <w:color w:val="000000"/>
          <w:sz w:val="24"/>
          <w:szCs w:val="24"/>
          <w:lang w:val="en-US"/>
        </w:rPr>
        <w:t>Quantitatively analyze systems incorporating duct flow of compressible fluids.</w:t>
      </w:r>
    </w:p>
    <w:p>
      <w:pPr>
        <w:pStyle w:val="style0"/>
        <w:numPr>
          <w:ilvl w:val="0"/>
          <w:numId w:val="1"/>
        </w:numPr>
        <w:spacing w:after="0" w:before="0" w:line="100" w:lineRule="atLeast"/>
        <w:jc w:val="both"/>
      </w:pPr>
      <w:r>
        <w:rPr>
          <w:rFonts w:ascii="Times New Roman" w:hAnsi="Times New Roman"/>
          <w:color w:val="000000"/>
          <w:sz w:val="24"/>
          <w:szCs w:val="24"/>
          <w:lang w:val="en-US"/>
        </w:rPr>
        <w:t>Use standard tables and equations to perform analysis of turbine expansion and compressions processes.</w:t>
      </w:r>
    </w:p>
    <w:p>
      <w:pPr>
        <w:pStyle w:val="style0"/>
        <w:numPr>
          <w:ilvl w:val="0"/>
          <w:numId w:val="1"/>
        </w:numPr>
        <w:spacing w:after="0" w:before="0" w:line="100" w:lineRule="atLeast"/>
        <w:jc w:val="both"/>
      </w:pPr>
      <w:r>
        <w:rPr>
          <w:rFonts w:ascii="Times New Roman" w:hAnsi="Times New Roman"/>
          <w:color w:val="000000"/>
          <w:sz w:val="24"/>
          <w:szCs w:val="24"/>
          <w:lang w:val="en-US"/>
        </w:rPr>
        <w:t>Apply the 1</w:t>
      </w:r>
      <w:r>
        <w:rPr>
          <w:rFonts w:ascii="Times New Roman" w:hAnsi="Times New Roman"/>
          <w:color w:val="000000"/>
          <w:sz w:val="24"/>
          <w:szCs w:val="24"/>
          <w:vertAlign w:val="superscript"/>
          <w:lang w:val="en-US"/>
        </w:rPr>
        <w:t>st</w:t>
      </w:r>
      <w:r>
        <w:rPr>
          <w:rFonts w:ascii="Times New Roman" w:hAnsi="Times New Roman"/>
          <w:color w:val="000000"/>
          <w:sz w:val="24"/>
          <w:szCs w:val="24"/>
          <w:lang w:val="en-US"/>
        </w:rPr>
        <w:t xml:space="preserve"> law of thermodynamics for a steady flow process to a variety of systems incorporating the duct flow of compressible fluids.</w:t>
      </w:r>
    </w:p>
    <w:p>
      <w:pPr>
        <w:pStyle w:val="style0"/>
        <w:numPr>
          <w:ilvl w:val="0"/>
          <w:numId w:val="1"/>
        </w:numPr>
        <w:spacing w:after="0" w:before="0" w:line="100" w:lineRule="atLeast"/>
        <w:jc w:val="both"/>
      </w:pPr>
      <w:r>
        <w:rPr>
          <w:rFonts w:ascii="Times New Roman" w:hAnsi="Times New Roman"/>
          <w:color w:val="000000"/>
          <w:sz w:val="24"/>
          <w:szCs w:val="24"/>
          <w:lang w:val="en-US"/>
        </w:rPr>
        <w:t>Undertake calculations relating to efficiency and the application of the 1</w:t>
      </w:r>
      <w:r>
        <w:rPr>
          <w:rFonts w:ascii="Times New Roman" w:hAnsi="Times New Roman"/>
          <w:color w:val="000000"/>
          <w:sz w:val="24"/>
          <w:szCs w:val="24"/>
          <w:vertAlign w:val="superscript"/>
          <w:lang w:val="en-US"/>
        </w:rPr>
        <w:t>st</w:t>
      </w:r>
      <w:r>
        <w:rPr>
          <w:rFonts w:ascii="Times New Roman" w:hAnsi="Times New Roman"/>
          <w:color w:val="000000"/>
          <w:sz w:val="24"/>
          <w:szCs w:val="24"/>
          <w:lang w:val="en-US"/>
        </w:rPr>
        <w:t xml:space="preserve"> law of thermodynamics for a steady flow process to the individual components of the Rankine and modified Rankine cycle.</w:t>
      </w:r>
    </w:p>
    <w:p>
      <w:pPr>
        <w:pStyle w:val="style0"/>
        <w:numPr>
          <w:ilvl w:val="0"/>
          <w:numId w:val="1"/>
        </w:numPr>
        <w:spacing w:after="0" w:before="0" w:line="100" w:lineRule="atLeast"/>
        <w:jc w:val="both"/>
      </w:pPr>
      <w:r>
        <w:rPr>
          <w:rFonts w:ascii="Times New Roman" w:hAnsi="Times New Roman"/>
          <w:color w:val="000000"/>
          <w:sz w:val="24"/>
          <w:szCs w:val="24"/>
          <w:lang w:val="en-US"/>
        </w:rPr>
        <w:t>Undertake thermodynamic calculations on the Otto, Diesel and Brayton cycles.</w:t>
      </w:r>
    </w:p>
    <w:p>
      <w:pPr>
        <w:pStyle w:val="style0"/>
        <w:numPr>
          <w:ilvl w:val="0"/>
          <w:numId w:val="1"/>
        </w:numPr>
        <w:spacing w:after="0" w:before="0" w:line="100" w:lineRule="atLeast"/>
        <w:jc w:val="both"/>
      </w:pPr>
      <w:r>
        <w:rPr>
          <w:rFonts w:ascii="Times New Roman" w:hAnsi="Times New Roman"/>
          <w:color w:val="000000"/>
          <w:sz w:val="24"/>
          <w:szCs w:val="24"/>
          <w:lang w:val="en-US"/>
        </w:rPr>
        <w:t>Compute the effectiveness of refrigeration processes.</w:t>
      </w:r>
    </w:p>
    <w:p>
      <w:pPr>
        <w:pStyle w:val="style0"/>
        <w:numPr>
          <w:ilvl w:val="0"/>
          <w:numId w:val="1"/>
        </w:numPr>
        <w:spacing w:after="0" w:before="0" w:line="100" w:lineRule="atLeast"/>
        <w:jc w:val="both"/>
      </w:pPr>
      <w:r>
        <w:rPr>
          <w:rFonts w:ascii="Times New Roman" w:hAnsi="Times New Roman"/>
          <w:color w:val="000000"/>
          <w:sz w:val="24"/>
          <w:szCs w:val="24"/>
          <w:lang w:val="en-US"/>
        </w:rPr>
        <w:t>Apply the first law of thermodynamics for a steady flow process to the individual components of a refrigeration/liquefaction process.</w:t>
      </w:r>
    </w:p>
    <w:p>
      <w:pPr>
        <w:pStyle w:val="style0"/>
        <w:numPr>
          <w:ilvl w:val="0"/>
          <w:numId w:val="1"/>
        </w:numPr>
        <w:spacing w:after="0" w:before="0" w:line="100" w:lineRule="atLeast"/>
        <w:jc w:val="both"/>
      </w:pPr>
      <w:r>
        <w:rPr>
          <w:rFonts w:ascii="Times New Roman" w:hAnsi="Times New Roman"/>
          <w:color w:val="000000"/>
          <w:sz w:val="24"/>
          <w:szCs w:val="24"/>
          <w:lang w:val="en-US"/>
        </w:rPr>
        <w:t>Use information sources to procure the data required to undertake thermodynamic calculations on refrigeration/liquefaction processes.</w:t>
      </w:r>
    </w:p>
    <w:p>
      <w:pPr>
        <w:pStyle w:val="style0"/>
        <w:numPr>
          <w:ilvl w:val="0"/>
          <w:numId w:val="1"/>
        </w:numPr>
        <w:spacing w:after="0" w:before="0" w:line="100" w:lineRule="atLeast"/>
        <w:jc w:val="both"/>
      </w:pPr>
      <w:r>
        <w:rPr>
          <w:rFonts w:ascii="Times New Roman" w:hAnsi="Times New Roman"/>
          <w:color w:val="000000"/>
          <w:sz w:val="24"/>
          <w:szCs w:val="24"/>
          <w:lang w:val="en-US"/>
        </w:rPr>
        <w:t>Use psychrometric charts to undertake design and analysis of humidification/dehumidification systems.</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D: have gained or improved transferable skills so that they are able to:</w:t>
      </w:r>
    </w:p>
    <w:p>
      <w:pPr>
        <w:pStyle w:val="style0"/>
        <w:numPr>
          <w:ilvl w:val="0"/>
          <w:numId w:val="2"/>
        </w:numPr>
        <w:spacing w:after="0" w:before="0" w:line="100" w:lineRule="atLeast"/>
      </w:pPr>
      <w:r>
        <w:rPr>
          <w:rFonts w:ascii="Times New Roman" w:hAnsi="Times New Roman"/>
          <w:color w:val="000000"/>
          <w:sz w:val="24"/>
          <w:szCs w:val="24"/>
          <w:lang w:val="en-US"/>
        </w:rPr>
        <w:t>work effectively in a group</w:t>
      </w:r>
    </w:p>
    <w:p>
      <w:pPr>
        <w:pStyle w:val="style0"/>
        <w:numPr>
          <w:ilvl w:val="0"/>
          <w:numId w:val="2"/>
        </w:numPr>
        <w:spacing w:after="0" w:before="0" w:line="100" w:lineRule="atLeast"/>
      </w:pPr>
      <w:r>
        <w:rPr>
          <w:rFonts w:ascii="Times New Roman" w:hAnsi="Times New Roman"/>
          <w:color w:val="000000"/>
          <w:sz w:val="24"/>
          <w:szCs w:val="24"/>
          <w:lang w:val="en-US"/>
        </w:rPr>
        <w:t xml:space="preserve">communicate effectively </w:t>
      </w:r>
      <w:r>
        <w:rPr>
          <w:rFonts w:ascii="Times New Roman" w:hAnsi="Times New Roman"/>
          <w:i/>
          <w:color w:val="000000"/>
          <w:sz w:val="24"/>
          <w:szCs w:val="24"/>
          <w:lang w:val="en-US"/>
        </w:rPr>
        <w:t>via</w:t>
      </w:r>
      <w:r>
        <w:rPr>
          <w:rFonts w:ascii="Times New Roman" w:hAnsi="Times New Roman"/>
          <w:color w:val="000000"/>
          <w:sz w:val="24"/>
          <w:szCs w:val="24"/>
          <w:lang w:val="en-US"/>
        </w:rPr>
        <w:t xml:space="preserve"> technical report</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SYLLABUS</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ind w:hanging="284" w:left="426" w:right="0"/>
        <w:jc w:val="both"/>
      </w:pPr>
      <w:r>
        <w:rPr>
          <w:rFonts w:ascii="Times New Roman" w:hAnsi="Times New Roman"/>
          <w:b/>
          <w:color w:val="000000"/>
          <w:sz w:val="24"/>
          <w:szCs w:val="24"/>
          <w:lang w:val="en-US"/>
        </w:rPr>
        <w:t xml:space="preserve">Module 1: Introduction and Principles: </w:t>
      </w:r>
      <w:r>
        <w:rPr>
          <w:rFonts w:ascii="Times New Roman" w:hAnsi="Times New Roman"/>
          <w:color w:val="000000"/>
          <w:sz w:val="24"/>
          <w:szCs w:val="24"/>
          <w:lang w:val="en-US"/>
        </w:rPr>
        <w:t>First and second laws of thermodynamics; ideal gas processes; steam tables (2 lectures).</w:t>
      </w:r>
    </w:p>
    <w:p>
      <w:pPr>
        <w:pStyle w:val="style0"/>
        <w:spacing w:after="0" w:before="0" w:line="100" w:lineRule="atLeast"/>
        <w:ind w:hanging="284" w:left="426" w:right="0"/>
        <w:jc w:val="both"/>
      </w:pPr>
      <w:r>
        <w:rPr>
          <w:rFonts w:ascii="Times New Roman" w:hAnsi="Times New Roman"/>
          <w:b/>
          <w:color w:val="000000"/>
          <w:sz w:val="24"/>
          <w:szCs w:val="24"/>
          <w:lang w:val="en-US"/>
        </w:rPr>
      </w:r>
    </w:p>
    <w:p>
      <w:pPr>
        <w:pStyle w:val="style0"/>
        <w:spacing w:after="0" w:before="0" w:line="100" w:lineRule="atLeast"/>
        <w:ind w:hanging="284" w:left="426" w:right="0"/>
        <w:jc w:val="both"/>
      </w:pPr>
      <w:r>
        <w:rPr>
          <w:rFonts w:ascii="Times New Roman" w:hAnsi="Times New Roman"/>
          <w:b/>
          <w:color w:val="000000"/>
          <w:sz w:val="24"/>
          <w:szCs w:val="24"/>
          <w:lang w:val="en-US"/>
        </w:rPr>
        <w:t>Module 2: The production of power from heat:</w:t>
      </w:r>
      <w:r>
        <w:rPr>
          <w:rFonts w:ascii="Times New Roman" w:hAnsi="Times New Roman"/>
          <w:color w:val="000000"/>
          <w:sz w:val="24"/>
          <w:szCs w:val="24"/>
          <w:lang w:val="en-US"/>
        </w:rPr>
        <w:t xml:space="preserve"> revision of the Carnot-engine cycle and the basic steam power plant; the Rankine cycle; modifications of the Rankine cycle to increase efficiency including superheat/re-heat &amp; feed water heating; internal combustion engines including the Otto Engine, the Diesel engine and the gas-turbine engine (Brayton cycle). (7 lectures) </w:t>
      </w:r>
    </w:p>
    <w:p>
      <w:pPr>
        <w:pStyle w:val="style0"/>
        <w:spacing w:after="0" w:before="0" w:line="100" w:lineRule="atLeast"/>
        <w:ind w:hanging="284" w:left="426" w:right="0"/>
        <w:jc w:val="both"/>
      </w:pPr>
      <w:r>
        <w:rPr>
          <w:rFonts w:ascii="Times New Roman" w:hAnsi="Times New Roman"/>
          <w:b/>
          <w:color w:val="000000"/>
          <w:sz w:val="24"/>
          <w:szCs w:val="24"/>
          <w:lang w:val="en-US"/>
        </w:rPr>
      </w:r>
    </w:p>
    <w:p>
      <w:pPr>
        <w:pStyle w:val="style0"/>
        <w:spacing w:after="0" w:before="0" w:line="100" w:lineRule="atLeast"/>
        <w:ind w:hanging="284" w:left="426" w:right="0"/>
        <w:jc w:val="both"/>
      </w:pPr>
      <w:r>
        <w:rPr>
          <w:rFonts w:ascii="Times New Roman" w:hAnsi="Times New Roman"/>
          <w:b/>
          <w:color w:val="000000"/>
          <w:sz w:val="24"/>
          <w:szCs w:val="24"/>
          <w:lang w:val="en-US"/>
        </w:rPr>
        <w:t>Module 3: Refrigeration &amp; Liquefaction:</w:t>
      </w:r>
      <w:r>
        <w:rPr>
          <w:rFonts w:ascii="Times New Roman" w:hAnsi="Times New Roman"/>
          <w:color w:val="000000"/>
          <w:sz w:val="24"/>
          <w:szCs w:val="24"/>
          <w:lang w:val="en-US"/>
        </w:rPr>
        <w:t xml:space="preserve"> the Carnot refrigerator; the vapour-compression cycle; refrigerant choice; absorption refrigeration; the Linde liquefaction process; the Claude liquefaction process. (5 lectures)</w:t>
      </w:r>
    </w:p>
    <w:p>
      <w:pPr>
        <w:pStyle w:val="style0"/>
        <w:spacing w:after="0" w:before="0" w:line="100" w:lineRule="atLeast"/>
        <w:ind w:hanging="284" w:left="426" w:right="0"/>
        <w:jc w:val="both"/>
      </w:pPr>
      <w:r>
        <w:rPr>
          <w:rFonts w:ascii="Times New Roman" w:hAnsi="Times New Roman"/>
          <w:color w:val="000000"/>
          <w:sz w:val="24"/>
          <w:szCs w:val="24"/>
          <w:lang w:val="en-US"/>
        </w:rPr>
      </w:r>
    </w:p>
    <w:p>
      <w:pPr>
        <w:pStyle w:val="style0"/>
        <w:spacing w:after="0" w:before="0" w:line="100" w:lineRule="atLeast"/>
        <w:ind w:hanging="284" w:left="426" w:right="0"/>
        <w:jc w:val="both"/>
      </w:pPr>
      <w:r>
        <w:rPr>
          <w:rFonts w:ascii="Times New Roman" w:hAnsi="Times New Roman"/>
          <w:b/>
          <w:color w:val="000000"/>
          <w:sz w:val="24"/>
          <w:szCs w:val="24"/>
          <w:lang w:val="en-US"/>
        </w:rPr>
        <w:t>Module 4: Applications of thermodynamics to flow processes:</w:t>
      </w:r>
      <w:r>
        <w:rPr>
          <w:rFonts w:ascii="Times New Roman" w:hAnsi="Times New Roman"/>
          <w:color w:val="000000"/>
          <w:sz w:val="24"/>
          <w:szCs w:val="24"/>
          <w:lang w:val="en-US"/>
        </w:rPr>
        <w:t xml:space="preserve"> duct flow of compressible fluids in pipes, nozzles and throttling devices; Turbines; Compression processes including compressors, pumps and ejectors. (6 lectures)</w:t>
      </w:r>
    </w:p>
    <w:p>
      <w:pPr>
        <w:pStyle w:val="style0"/>
        <w:spacing w:after="0" w:before="0" w:line="100" w:lineRule="atLeast"/>
        <w:ind w:hanging="284" w:left="426" w:right="0"/>
        <w:jc w:val="both"/>
      </w:pPr>
      <w:r>
        <w:rPr>
          <w:rFonts w:ascii="Times New Roman" w:hAnsi="Times New Roman"/>
          <w:color w:val="000000"/>
          <w:sz w:val="24"/>
          <w:szCs w:val="24"/>
          <w:lang w:val="en-US"/>
        </w:rPr>
      </w:r>
    </w:p>
    <w:p>
      <w:pPr>
        <w:pStyle w:val="style0"/>
        <w:spacing w:after="0" w:before="0" w:line="100" w:lineRule="atLeast"/>
        <w:ind w:hanging="284" w:left="426" w:right="0"/>
        <w:jc w:val="both"/>
      </w:pPr>
      <w:r>
        <w:rPr>
          <w:rFonts w:ascii="Times New Roman" w:hAnsi="Times New Roman"/>
          <w:b/>
          <w:color w:val="000000"/>
          <w:sz w:val="24"/>
          <w:szCs w:val="24"/>
          <w:lang w:val="en-US"/>
        </w:rPr>
        <w:t xml:space="preserve">Module 5: Psychrometry: </w:t>
      </w:r>
      <w:r>
        <w:rPr>
          <w:rFonts w:ascii="Times New Roman" w:hAnsi="Times New Roman"/>
          <w:color w:val="000000"/>
          <w:sz w:val="24"/>
          <w:szCs w:val="24"/>
          <w:lang w:val="en-US"/>
        </w:rPr>
        <w:t>basic definitions; wet bulb temperature; adiabatic saturation temperature; humidity data for the air-water system (humidity-temperature chart &amp; humidity-enthalpy diagram); mixing of humid streams; humidification &amp; dehumidification. (2 lectures)</w:t>
      </w:r>
    </w:p>
    <w:p>
      <w:pPr>
        <w:pStyle w:val="style0"/>
        <w:spacing w:after="0" w:before="0" w:line="100" w:lineRule="atLeast"/>
        <w:ind w:hanging="0" w:left="720" w:right="0"/>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TIMETABLE</w:t>
      </w:r>
    </w:p>
    <w:p>
      <w:pPr>
        <w:pStyle w:val="style35"/>
        <w:numPr>
          <w:ilvl w:val="0"/>
          <w:numId w:val="9"/>
        </w:numPr>
        <w:spacing w:after="0" w:before="0" w:line="100" w:lineRule="atLeast"/>
        <w:ind w:hanging="270" w:left="270" w:right="0"/>
      </w:pPr>
      <w:r>
        <w:rPr>
          <w:rFonts w:ascii="Times New Roman" w:hAnsi="Times New Roman"/>
          <w:color w:val="000000"/>
          <w:sz w:val="24"/>
          <w:szCs w:val="24"/>
          <w:lang w:val="en-US"/>
        </w:rPr>
        <w:t>22 one-hour lectures, 8 one-hour tutorials and 2 three-hour practicals.</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ASSESSMENT</w:t>
      </w:r>
    </w:p>
    <w:p>
      <w:pPr>
        <w:pStyle w:val="style0"/>
        <w:spacing w:after="0" w:before="0" w:line="100" w:lineRule="atLeast"/>
        <w:jc w:val="both"/>
      </w:pPr>
      <w:r>
        <w:rPr>
          <w:rFonts w:ascii="Times New Roman" w:hAnsi="Times New Roman"/>
          <w:i/>
          <w:color w:val="000000"/>
          <w:sz w:val="24"/>
          <w:szCs w:val="24"/>
          <w:lang w:val="en-US"/>
        </w:rPr>
        <w:t>First Attempt:</w:t>
      </w:r>
      <w:r>
        <w:rPr>
          <w:rFonts w:ascii="Times New Roman" w:hAnsi="Times New Roman"/>
          <w:color w:val="000000"/>
          <w:sz w:val="24"/>
          <w:szCs w:val="24"/>
          <w:lang w:val="en-US"/>
        </w:rPr>
        <w:t xml:space="preserve"> 1 three-hour written examination paper (WEP, 80%), continuous assessment (CA, 20%) and Problem-Solving Exercise (PSE, 1 CAS Mark, optional)</w:t>
      </w:r>
    </w:p>
    <w:p>
      <w:pPr>
        <w:pStyle w:val="style0"/>
        <w:spacing w:after="0" w:before="0" w:line="100" w:lineRule="atLeast"/>
        <w:jc w:val="both"/>
      </w:pPr>
      <w:r>
        <w:rPr>
          <w:rFonts w:ascii="Times New Roman" w:hAnsi="Times New Roman"/>
          <w:i/>
          <w:color w:val="000000"/>
          <w:sz w:val="24"/>
          <w:szCs w:val="24"/>
          <w:lang w:val="en-US"/>
        </w:rPr>
        <w:t>Resit:</w:t>
      </w:r>
      <w:r>
        <w:rPr>
          <w:rFonts w:ascii="Times New Roman" w:hAnsi="Times New Roman"/>
          <w:color w:val="000000"/>
          <w:sz w:val="24"/>
          <w:szCs w:val="24"/>
          <w:lang w:val="en-US"/>
        </w:rPr>
        <w:t xml:space="preserve"> 1 three-hour written examination paper (WEP, 80%), continuous assessment (CA, 20%) %) and Problem-Solving Exercise (PSE, 1 CAS Mark, optional) marks.</w:t>
      </w:r>
    </w:p>
    <w:p>
      <w:pPr>
        <w:pStyle w:val="style0"/>
        <w:spacing w:after="0" w:before="0" w:line="100" w:lineRule="atLeast"/>
        <w:jc w:val="both"/>
      </w:pPr>
      <w:r>
        <w:rPr>
          <w:rFonts w:ascii="Times New Roman" w:hAnsi="Times New Roman"/>
          <w:color w:val="000000"/>
          <w:sz w:val="24"/>
          <w:szCs w:val="24"/>
          <w:lang w:val="en-US"/>
        </w:rPr>
        <w:t>Final CAS Mark (FCM) is calculated as:</w:t>
      </w:r>
    </w:p>
    <w:p>
      <w:pPr>
        <w:pStyle w:val="style0"/>
        <w:spacing w:after="0" w:before="0" w:line="100" w:lineRule="atLeast"/>
      </w:pPr>
      <w:r>
        <w:rPr/>
      </w:r>
      <m:oMath xmlns:m="http://schemas.openxmlformats.org/officeDocument/2006/math">
        <m:r>
          <w:rPr>
            <w:rFonts w:ascii="Cambria Math" w:hAnsi="Cambria Math"/>
          </w:rPr>
          <m:t xml:space="preserve">FCM</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20,</m:t>
            </m:r>
            <m:r>
              <w:rPr>
                <w:rFonts w:ascii="Cambria Math" w:hAnsi="Cambria Math"/>
              </w:rPr>
              <m:t xml:space="preserve">0.8WEP</m:t>
            </m:r>
            <m:r>
              <w:rPr>
                <w:rFonts w:ascii="Cambria Math" w:hAnsi="Cambria Math"/>
              </w:rPr>
              <m:t xml:space="preserve">+</m:t>
            </m:r>
            <m:r>
              <w:rPr>
                <w:rFonts w:ascii="Cambria Math" w:hAnsi="Cambria Math"/>
              </w:rPr>
              <m:t xml:space="preserve">0.2CA</m:t>
            </m:r>
            <m:r>
              <w:rPr>
                <w:rFonts w:ascii="Cambria Math" w:hAnsi="Cambria Math"/>
              </w:rPr>
              <m:t xml:space="preserve">+</m:t>
            </m:r>
            <m:r>
              <w:rPr>
                <w:rFonts w:ascii="Cambria Math" w:hAnsi="Cambria Math"/>
              </w:rPr>
              <m:t xml:space="preserve">PSE</m:t>
            </m:r>
          </m:e>
        </m:d>
      </m:oMath>
    </w:p>
    <w:p>
      <w:pPr>
        <w:pStyle w:val="style0"/>
        <w:spacing w:after="0" w:before="0" w:line="100" w:lineRule="atLeast"/>
      </w:pPr>
      <w:r>
        <w:rPr>
          <w:rFonts w:ascii="Times New Roman" w:hAnsi="Times New Roman"/>
          <w:b/>
          <w:bCs/>
          <w:i/>
          <w:iCs/>
          <w:color w:val="000000"/>
          <w:sz w:val="20"/>
          <w:szCs w:val="20"/>
          <w:lang w:val="en-US"/>
        </w:rPr>
      </w:r>
    </w:p>
    <w:p>
      <w:pPr>
        <w:pStyle w:val="style0"/>
        <w:spacing w:after="0" w:before="0" w:line="100" w:lineRule="atLeast"/>
        <w:jc w:val="both"/>
      </w:pPr>
      <w:r>
        <w:rPr>
          <w:rFonts w:ascii="Times New Roman" w:hAnsi="Times New Roman"/>
          <w:color w:val="000000"/>
          <w:sz w:val="24"/>
          <w:szCs w:val="24"/>
          <w:lang w:val="en-US"/>
        </w:rPr>
        <w:t>Penalties for late or non-submission of in-course work are as follows:</w:t>
      </w:r>
    </w:p>
    <w:p>
      <w:pPr>
        <w:pStyle w:val="style35"/>
        <w:numPr>
          <w:ilvl w:val="0"/>
          <w:numId w:val="8"/>
        </w:numPr>
        <w:tabs>
          <w:tab w:leader="none" w:pos="720" w:val="left"/>
        </w:tabs>
        <w:spacing w:after="0" w:before="0" w:line="100" w:lineRule="atLeast"/>
        <w:ind w:hanging="360" w:left="360" w:right="0"/>
        <w:jc w:val="both"/>
      </w:pPr>
      <w:r>
        <w:rPr>
          <w:rFonts w:ascii="Times New Roman" w:hAnsi="Times New Roman"/>
          <w:color w:val="000000"/>
          <w:sz w:val="24"/>
          <w:szCs w:val="24"/>
          <w:lang w:val="en-US"/>
        </w:rPr>
        <w:t>For late submission, 1 CAS mark will be deducted for each late day (including weekends);</w:t>
      </w:r>
    </w:p>
    <w:p>
      <w:pPr>
        <w:pStyle w:val="style35"/>
        <w:numPr>
          <w:ilvl w:val="0"/>
          <w:numId w:val="8"/>
        </w:numPr>
        <w:tabs>
          <w:tab w:leader="none" w:pos="720" w:val="left"/>
        </w:tabs>
        <w:spacing w:after="0" w:before="0" w:line="100" w:lineRule="atLeast"/>
        <w:ind w:hanging="360" w:left="360" w:right="0"/>
        <w:jc w:val="both"/>
      </w:pPr>
      <w:r>
        <w:rPr>
          <w:rFonts w:ascii="Times New Roman" w:hAnsi="Times New Roman"/>
          <w:color w:val="000000"/>
          <w:sz w:val="24"/>
          <w:szCs w:val="24"/>
          <w:lang w:val="en-US"/>
        </w:rPr>
        <w:t>For non-submission, a CAS mark of 0 will be awarded and may lead to a refusal of a Class Certificate.</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jc w:val="both"/>
      </w:pPr>
      <w:r>
        <w:rPr>
          <w:rFonts w:ascii="Times New Roman" w:hAnsi="Times New Roman"/>
          <w:color w:val="000000"/>
          <w:sz w:val="24"/>
          <w:szCs w:val="24"/>
          <w:lang w:val="en-US"/>
        </w:rPr>
        <w:t>If late or non-submission is due to medical or other circumstances out with your control you must submit a medical certificate or other formal evidence to the Engineering School Office as soon as is practicable but no later than the end of Revision Week (44).</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FORMAT OF EXAMINATION</w:t>
      </w:r>
    </w:p>
    <w:p>
      <w:pPr>
        <w:pStyle w:val="style0"/>
        <w:spacing w:after="0" w:before="0" w:line="100" w:lineRule="atLeast"/>
      </w:pPr>
      <w:r>
        <w:rPr>
          <w:rFonts w:ascii="Times New Roman" w:hAnsi="Times New Roman"/>
          <w:color w:val="000000"/>
          <w:sz w:val="24"/>
          <w:szCs w:val="24"/>
          <w:lang w:val="en-US"/>
        </w:rPr>
        <w:t>There will be FIVE questions. All questions carry 20 marks.</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color w:val="000000"/>
          <w:sz w:val="24"/>
          <w:szCs w:val="24"/>
          <w:lang w:val="en-US"/>
        </w:rPr>
        <w:t>Notes:</w:t>
      </w:r>
    </w:p>
    <w:p>
      <w:pPr>
        <w:pStyle w:val="style0"/>
        <w:numPr>
          <w:ilvl w:val="0"/>
          <w:numId w:val="4"/>
        </w:numPr>
        <w:tabs>
          <w:tab w:leader="none" w:pos="540" w:val="left"/>
        </w:tabs>
        <w:spacing w:after="0" w:before="0" w:line="100" w:lineRule="atLeast"/>
        <w:ind w:hanging="90" w:left="270" w:right="0"/>
        <w:jc w:val="both"/>
      </w:pPr>
      <w:r>
        <w:rPr>
          <w:rFonts w:ascii="Times New Roman" w:hAnsi="Times New Roman"/>
          <w:color w:val="000000"/>
          <w:sz w:val="24"/>
          <w:szCs w:val="24"/>
          <w:lang w:val="en-US"/>
        </w:rPr>
        <w:t>Candidates are permitted to use approved calculators. Starting in academic year 2014-15, the School of Engineering list of approved calculators for use in examinations will consist of a single calculator, the Casio FX-991 ES PLUS.  So from September 2014 the only calculator that you may take to your desk in an examination is this Casio calculator.  Note that examiners will be aware of the capabilities of the machine and will assume that you are able to operate this calculator in an examination.  All students should ensure that they have such a calculator and that they are familiar with its operation.</w:t>
      </w:r>
    </w:p>
    <w:p>
      <w:pPr>
        <w:pStyle w:val="style0"/>
        <w:numPr>
          <w:ilvl w:val="0"/>
          <w:numId w:val="4"/>
        </w:numPr>
        <w:tabs>
          <w:tab w:leader="none" w:pos="540" w:val="left"/>
        </w:tabs>
        <w:spacing w:after="0" w:before="0" w:line="100" w:lineRule="atLeast"/>
        <w:ind w:hanging="90" w:left="270" w:right="0"/>
        <w:jc w:val="both"/>
      </w:pPr>
      <w:r>
        <w:rPr>
          <w:rFonts w:ascii="Times New Roman" w:hAnsi="Times New Roman"/>
          <w:color w:val="000000"/>
          <w:sz w:val="24"/>
          <w:szCs w:val="24"/>
          <w:lang w:val="en-US"/>
        </w:rPr>
        <w:t>Candidates are permitted to use psychrometric charts, steam, refrigeration and air thermodynamic  tables, which will be made available to them.</w:t>
      </w:r>
    </w:p>
    <w:p>
      <w:pPr>
        <w:pStyle w:val="style0"/>
        <w:numPr>
          <w:ilvl w:val="0"/>
          <w:numId w:val="4"/>
        </w:numPr>
        <w:tabs>
          <w:tab w:leader="none" w:pos="540" w:val="left"/>
        </w:tabs>
        <w:spacing w:after="0" w:before="0" w:line="100" w:lineRule="atLeast"/>
        <w:ind w:hanging="90" w:left="270" w:right="0"/>
        <w:jc w:val="both"/>
      </w:pPr>
      <w:r>
        <w:rPr>
          <w:rFonts w:ascii="Times New Roman" w:hAnsi="Times New Roman"/>
          <w:color w:val="000000"/>
          <w:sz w:val="24"/>
          <w:szCs w:val="24"/>
          <w:lang w:val="en-US"/>
        </w:rPr>
        <w:t>Steam charts and tables are provided to candidates.</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PLEASE NOTE THE FOLLOWING</w:t>
      </w:r>
    </w:p>
    <w:p>
      <w:pPr>
        <w:pStyle w:val="style0"/>
        <w:numPr>
          <w:ilvl w:val="0"/>
          <w:numId w:val="3"/>
        </w:numPr>
        <w:spacing w:after="0" w:before="0" w:line="100" w:lineRule="atLeast"/>
        <w:ind w:hanging="180" w:left="270" w:right="0"/>
        <w:jc w:val="both"/>
      </w:pPr>
      <w:r>
        <w:rPr>
          <w:rFonts w:ascii="Times New Roman" w:hAnsi="Times New Roman"/>
          <w:color w:val="000000"/>
          <w:sz w:val="24"/>
          <w:szCs w:val="24"/>
          <w:lang w:val="en-US"/>
        </w:rPr>
        <w:t xml:space="preserve">You </w:t>
      </w:r>
      <w:r>
        <w:rPr>
          <w:rFonts w:ascii="Times New Roman" w:hAnsi="Times New Roman"/>
          <w:b/>
          <w:bCs/>
          <w:color w:val="000000"/>
          <w:sz w:val="24"/>
          <w:szCs w:val="24"/>
          <w:lang w:val="en-US"/>
        </w:rPr>
        <w:t xml:space="preserve">must not </w:t>
      </w:r>
      <w:r>
        <w:rPr>
          <w:rFonts w:ascii="Times New Roman" w:hAnsi="Times New Roman"/>
          <w:color w:val="000000"/>
          <w:sz w:val="24"/>
          <w:szCs w:val="24"/>
          <w:lang w:val="en-US"/>
        </w:rPr>
        <w:t xml:space="preserve">have in your possession at the examination any material other than that expressly permitted by the examiner. Where this is permitted, such material </w:t>
      </w:r>
      <w:r>
        <w:rPr>
          <w:rFonts w:ascii="Times New Roman" w:hAnsi="Times New Roman"/>
          <w:b/>
          <w:bCs/>
          <w:color w:val="000000"/>
          <w:sz w:val="24"/>
          <w:szCs w:val="24"/>
          <w:lang w:val="en-US"/>
        </w:rPr>
        <w:t xml:space="preserve">must not </w:t>
      </w:r>
      <w:r>
        <w:rPr>
          <w:rFonts w:ascii="Times New Roman" w:hAnsi="Times New Roman"/>
          <w:color w:val="000000"/>
          <w:sz w:val="24"/>
          <w:szCs w:val="24"/>
          <w:lang w:val="en-US"/>
        </w:rPr>
        <w:t>be amended, annotated or modified in any way.</w:t>
      </w:r>
    </w:p>
    <w:p>
      <w:pPr>
        <w:pStyle w:val="style0"/>
        <w:numPr>
          <w:ilvl w:val="0"/>
          <w:numId w:val="3"/>
        </w:numPr>
        <w:spacing w:after="0" w:before="0" w:line="100" w:lineRule="atLeast"/>
        <w:ind w:hanging="180" w:left="270" w:right="0"/>
        <w:jc w:val="both"/>
      </w:pPr>
      <w:r>
        <w:rPr>
          <w:rFonts w:ascii="Times New Roman" w:hAnsi="Times New Roman"/>
          <w:color w:val="000000"/>
          <w:sz w:val="24"/>
          <w:szCs w:val="24"/>
          <w:lang w:val="en-US"/>
        </w:rPr>
        <w:t xml:space="preserve">During the course of the examination, you </w:t>
      </w:r>
      <w:r>
        <w:rPr>
          <w:rFonts w:ascii="Times New Roman" w:hAnsi="Times New Roman"/>
          <w:b/>
          <w:bCs/>
          <w:color w:val="000000"/>
          <w:sz w:val="24"/>
          <w:szCs w:val="24"/>
          <w:lang w:val="en-US"/>
        </w:rPr>
        <w:t xml:space="preserve">must not </w:t>
      </w:r>
      <w:r>
        <w:rPr>
          <w:rFonts w:ascii="Times New Roman" w:hAnsi="Times New Roman"/>
          <w:color w:val="000000"/>
          <w:sz w:val="24"/>
          <w:szCs w:val="24"/>
          <w:lang w:val="en-US"/>
        </w:rPr>
        <w:t>have in your possession or attempt to access any material that could be determined as giving you an advantage in the examination.</w:t>
      </w:r>
    </w:p>
    <w:p>
      <w:pPr>
        <w:pStyle w:val="style0"/>
        <w:numPr>
          <w:ilvl w:val="0"/>
          <w:numId w:val="3"/>
        </w:numPr>
        <w:spacing w:after="0" w:before="0" w:line="100" w:lineRule="atLeast"/>
        <w:ind w:hanging="180" w:left="270" w:right="0"/>
        <w:jc w:val="both"/>
      </w:pPr>
      <w:r>
        <w:rPr>
          <w:rFonts w:ascii="Times New Roman" w:hAnsi="Times New Roman"/>
          <w:color w:val="000000"/>
          <w:sz w:val="24"/>
          <w:szCs w:val="24"/>
          <w:lang w:val="en-US"/>
        </w:rPr>
        <w:t xml:space="preserve">You </w:t>
      </w:r>
      <w:r>
        <w:rPr>
          <w:rFonts w:ascii="Times New Roman" w:hAnsi="Times New Roman"/>
          <w:b/>
          <w:bCs/>
          <w:color w:val="000000"/>
          <w:sz w:val="24"/>
          <w:szCs w:val="24"/>
          <w:lang w:val="en-US"/>
        </w:rPr>
        <w:t xml:space="preserve">must not </w:t>
      </w:r>
      <w:r>
        <w:rPr>
          <w:rFonts w:ascii="Times New Roman" w:hAnsi="Times New Roman"/>
          <w:color w:val="000000"/>
          <w:sz w:val="24"/>
          <w:szCs w:val="24"/>
          <w:lang w:val="en-US"/>
        </w:rPr>
        <w:t>attempt to communicate with any candidate during the examination, either orally or by passing written material, or by showing material to another candidate, nor must you attempt to view another candidate’s work.</w:t>
      </w:r>
    </w:p>
    <w:p>
      <w:pPr>
        <w:pStyle w:val="style0"/>
        <w:spacing w:after="0" w:before="0" w:line="100" w:lineRule="atLeast"/>
        <w:ind w:hanging="0" w:left="720" w:right="0"/>
      </w:pPr>
      <w:r>
        <w:rPr>
          <w:rFonts w:ascii="Times New Roman" w:hAnsi="Times New Roman"/>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Failure to comply with any of the above will be regarded as cheating and may lead to</w:t>
      </w:r>
    </w:p>
    <w:p>
      <w:pPr>
        <w:pStyle w:val="style0"/>
        <w:spacing w:after="0" w:before="0" w:line="100" w:lineRule="atLeast"/>
      </w:pPr>
      <w:r>
        <w:rPr>
          <w:rFonts w:ascii="Times New Roman" w:hAnsi="Times New Roman"/>
          <w:b/>
          <w:bCs/>
          <w:color w:val="000000"/>
          <w:sz w:val="24"/>
          <w:szCs w:val="24"/>
          <w:lang w:val="en-US"/>
        </w:rPr>
        <w:t>disciplinary action as indicated in the Academic Quality Handbook</w:t>
      </w:r>
    </w:p>
    <w:p>
      <w:pPr>
        <w:pStyle w:val="style0"/>
        <w:spacing w:after="0" w:before="0" w:line="100" w:lineRule="atLeast"/>
      </w:pPr>
      <w:r>
        <w:rPr>
          <w:rFonts w:ascii="Times New Roman" w:hAnsi="Times New Roman"/>
          <w:color w:val="000000"/>
          <w:sz w:val="24"/>
          <w:szCs w:val="24"/>
          <w:lang w:val="en-US"/>
        </w:rPr>
        <w:t>(</w:t>
      </w:r>
      <w:r>
        <w:rPr>
          <w:rFonts w:ascii="Times New Roman" w:hAnsi="Times New Roman"/>
          <w:color w:val="0000FF"/>
          <w:sz w:val="24"/>
          <w:szCs w:val="24"/>
          <w:lang w:val="en-US"/>
        </w:rPr>
        <w:t>http://www.abdn.ac.uk/registry/quality/</w:t>
      </w:r>
      <w:r>
        <w:rPr>
          <w:rFonts w:ascii="Times New Roman" w:hAnsi="Times New Roman"/>
          <w:color w:val="000000"/>
          <w:sz w:val="24"/>
          <w:szCs w:val="24"/>
          <w:lang w:val="en-US"/>
        </w:rPr>
        <w:t>)</w:t>
      </w:r>
      <w:r>
        <w:rPr>
          <w:rFonts w:ascii="Times New Roman" w:hAnsi="Times New Roman"/>
          <w:b/>
          <w:bCs/>
          <w:color w:val="000000"/>
          <w:sz w:val="24"/>
          <w:szCs w:val="24"/>
          <w:lang w:val="en-US"/>
        </w:rPr>
        <w:t>.</w:t>
      </w:r>
    </w:p>
    <w:p>
      <w:pPr>
        <w:pStyle w:val="style0"/>
        <w:spacing w:after="0" w:before="0" w:line="100" w:lineRule="atLeast"/>
      </w:pPr>
      <w:r>
        <w:rPr>
          <w:rFonts w:ascii="Times New Roman" w:hAnsi="Times New Roman"/>
          <w:b/>
          <w:bCs/>
          <w:color w:val="000000"/>
          <w:sz w:val="24"/>
          <w:szCs w:val="24"/>
          <w:lang w:val="en-US"/>
        </w:rPr>
      </w:r>
    </w:p>
    <w:p>
      <w:pPr>
        <w:pStyle w:val="style0"/>
        <w:spacing w:after="0" w:before="0" w:line="100" w:lineRule="atLeast"/>
      </w:pPr>
      <w:r>
        <w:rPr>
          <w:rFonts w:ascii="Times New Roman" w:hAnsi="Times New Roman"/>
          <w:b/>
          <w:bCs/>
          <w:color w:val="000000"/>
          <w:sz w:val="24"/>
          <w:szCs w:val="24"/>
          <w:lang w:val="en-US"/>
        </w:rPr>
        <w:t>RECOMMENDED BOOKS</w:t>
      </w:r>
    </w:p>
    <w:p>
      <w:pPr>
        <w:pStyle w:val="style0"/>
        <w:spacing w:after="0" w:before="0" w:line="100" w:lineRule="atLeast"/>
      </w:pPr>
      <w:r>
        <w:rPr>
          <w:rFonts w:ascii="Times New Roman" w:hAnsi="Times New Roman"/>
          <w:color w:val="000000"/>
          <w:sz w:val="24"/>
          <w:szCs w:val="24"/>
          <w:lang w:val="en-US"/>
        </w:rPr>
        <w:t>This course is well supported by any standard engineering thermodynamics textbook.</w:t>
      </w:r>
    </w:p>
    <w:p>
      <w:pPr>
        <w:pStyle w:val="style0"/>
        <w:spacing w:after="0" w:before="0" w:line="100" w:lineRule="atLeast"/>
      </w:pPr>
      <w:r>
        <w:rPr>
          <w:rFonts w:ascii="Times New Roman" w:hAnsi="Times New Roman"/>
          <w:color w:val="000000"/>
          <w:sz w:val="24"/>
          <w:szCs w:val="24"/>
          <w:lang w:val="en-US"/>
        </w:rPr>
      </w:r>
    </w:p>
    <w:p>
      <w:pPr>
        <w:pStyle w:val="style0"/>
        <w:spacing w:after="0" w:before="0" w:line="100" w:lineRule="atLeast"/>
      </w:pPr>
      <w:r>
        <w:rPr>
          <w:rFonts w:ascii="Times New Roman" w:hAnsi="Times New Roman"/>
          <w:color w:val="000000"/>
          <w:sz w:val="24"/>
          <w:szCs w:val="24"/>
          <w:lang w:val="en-US"/>
        </w:rPr>
        <w:t>Recommendation;</w:t>
      </w:r>
    </w:p>
    <w:p>
      <w:pPr>
        <w:pStyle w:val="style0"/>
        <w:spacing w:after="0" w:before="0" w:line="100" w:lineRule="atLeast"/>
        <w:ind w:hanging="0" w:left="0" w:right="571"/>
        <w:jc w:val="both"/>
      </w:pPr>
      <w:r>
        <w:rPr>
          <w:rFonts w:ascii="Times New Roman" w:hAnsi="Times New Roman"/>
          <w:color w:val="000000"/>
          <w:sz w:val="24"/>
          <w:szCs w:val="24"/>
          <w:lang w:val="en-US"/>
        </w:rPr>
      </w:r>
    </w:p>
    <w:p>
      <w:pPr>
        <w:pStyle w:val="style35"/>
        <w:numPr>
          <w:ilvl w:val="0"/>
          <w:numId w:val="7"/>
        </w:numPr>
        <w:spacing w:after="0" w:before="0" w:line="100" w:lineRule="atLeast"/>
        <w:ind w:hanging="207" w:left="567" w:right="571"/>
        <w:jc w:val="both"/>
      </w:pPr>
      <w:r>
        <w:rPr>
          <w:rFonts w:ascii="Times New Roman" w:hAnsi="Times New Roman"/>
          <w:color w:val="000000"/>
          <w:sz w:val="24"/>
          <w:szCs w:val="24"/>
          <w:lang w:val="en-US"/>
        </w:rPr>
        <w:t>J.M. Smith, H.C. van Ness, M.M. Abbott (2005) Introduction to Chemical Engineering Thermodynamics, Wiley, 7</w:t>
      </w:r>
      <w:r>
        <w:rPr>
          <w:rFonts w:ascii="Times New Roman" w:hAnsi="Times New Roman"/>
          <w:color w:val="000000"/>
          <w:sz w:val="24"/>
          <w:szCs w:val="24"/>
          <w:vertAlign w:val="superscript"/>
          <w:lang w:val="en-US"/>
        </w:rPr>
        <w:t>th</w:t>
      </w:r>
      <w:r>
        <w:rPr>
          <w:rFonts w:ascii="Times New Roman" w:hAnsi="Times New Roman"/>
          <w:color w:val="000000"/>
          <w:sz w:val="24"/>
          <w:szCs w:val="24"/>
          <w:lang w:val="en-US"/>
        </w:rPr>
        <w:t xml:space="preserve"> Edition;</w:t>
      </w:r>
    </w:p>
    <w:p>
      <w:pPr>
        <w:pStyle w:val="style35"/>
        <w:numPr>
          <w:ilvl w:val="0"/>
          <w:numId w:val="7"/>
        </w:numPr>
        <w:spacing w:after="0" w:before="0" w:line="100" w:lineRule="atLeast"/>
        <w:ind w:hanging="207" w:left="567" w:right="571"/>
        <w:jc w:val="both"/>
      </w:pPr>
      <w:r>
        <w:rPr>
          <w:rFonts w:ascii="Times New Roman" w:hAnsi="Times New Roman"/>
          <w:sz w:val="24"/>
          <w:szCs w:val="24"/>
        </w:rPr>
        <w:t>I. Muller, W.H. Muller (2009) Fundamentals of Thermodynamics and Applications, Springer;</w:t>
      </w:r>
    </w:p>
    <w:p>
      <w:pPr>
        <w:pStyle w:val="style35"/>
        <w:numPr>
          <w:ilvl w:val="0"/>
          <w:numId w:val="7"/>
        </w:numPr>
        <w:spacing w:after="0" w:before="0" w:line="100" w:lineRule="atLeast"/>
        <w:ind w:hanging="207" w:left="567" w:right="571"/>
        <w:jc w:val="both"/>
      </w:pPr>
      <w:r>
        <w:rPr>
          <w:rFonts w:ascii="Times New Roman" w:hAnsi="Times New Roman"/>
          <w:sz w:val="24"/>
          <w:szCs w:val="24"/>
        </w:rPr>
        <w:t>Y.A. Cengel, M.A. Boles (2010) Thermodynamics – An Engineering Approach, McGraw-Hill Higher Education, 7</w:t>
      </w:r>
      <w:r>
        <w:rPr>
          <w:rFonts w:ascii="Times New Roman" w:hAnsi="Times New Roman"/>
          <w:sz w:val="24"/>
          <w:szCs w:val="24"/>
          <w:vertAlign w:val="superscript"/>
        </w:rPr>
        <w:t>th</w:t>
      </w:r>
      <w:r>
        <w:rPr>
          <w:rFonts w:ascii="Times New Roman" w:hAnsi="Times New Roman"/>
          <w:sz w:val="24"/>
          <w:szCs w:val="24"/>
        </w:rPr>
        <w:t xml:space="preserve"> Edition;</w:t>
      </w:r>
    </w:p>
    <w:p>
      <w:pPr>
        <w:pStyle w:val="style35"/>
        <w:numPr>
          <w:ilvl w:val="0"/>
          <w:numId w:val="7"/>
        </w:numPr>
        <w:spacing w:after="0" w:before="0" w:line="100" w:lineRule="atLeast"/>
        <w:ind w:hanging="207" w:left="567" w:right="571"/>
        <w:jc w:val="both"/>
      </w:pPr>
      <w:r>
        <w:rPr>
          <w:rFonts w:ascii="Times New Roman" w:hAnsi="Times New Roman"/>
          <w:sz w:val="24"/>
          <w:szCs w:val="24"/>
        </w:rPr>
        <w:t>H. Devoe (2012) Thermodynamics and Chemistry, Free PDF Textbook, 2nd Edition;</w:t>
      </w:r>
    </w:p>
    <w:p>
      <w:pPr>
        <w:pStyle w:val="style35"/>
        <w:numPr>
          <w:ilvl w:val="0"/>
          <w:numId w:val="7"/>
        </w:numPr>
        <w:spacing w:after="0" w:before="0" w:line="100" w:lineRule="atLeast"/>
        <w:ind w:hanging="207" w:left="567" w:right="571"/>
        <w:jc w:val="both"/>
      </w:pPr>
      <w:r>
        <w:rPr>
          <w:rFonts w:ascii="Times New Roman" w:hAnsi="Times New Roman"/>
          <w:sz w:val="24"/>
          <w:szCs w:val="24"/>
        </w:rPr>
        <w:t>R.K. Rajput (2007) Engineering Thermodynamics, Laxmi Publications Ltd, 3</w:t>
      </w:r>
      <w:r>
        <w:rPr>
          <w:rFonts w:ascii="Times New Roman" w:hAnsi="Times New Roman"/>
          <w:sz w:val="24"/>
          <w:szCs w:val="24"/>
          <w:vertAlign w:val="superscript"/>
        </w:rPr>
        <w:t>rd</w:t>
      </w:r>
      <w:r>
        <w:rPr>
          <w:rFonts w:ascii="Times New Roman" w:hAnsi="Times New Roman"/>
          <w:sz w:val="24"/>
          <w:szCs w:val="24"/>
        </w:rPr>
        <w:t xml:space="preserve"> Edition;</w:t>
      </w:r>
    </w:p>
    <w:p>
      <w:pPr>
        <w:pStyle w:val="style35"/>
        <w:numPr>
          <w:ilvl w:val="0"/>
          <w:numId w:val="7"/>
        </w:numPr>
        <w:spacing w:after="0" w:before="0" w:line="100" w:lineRule="atLeast"/>
        <w:ind w:hanging="207" w:left="567" w:right="571"/>
        <w:jc w:val="both"/>
      </w:pPr>
      <w:r>
        <w:rPr>
          <w:rFonts w:ascii="Times New Roman" w:hAnsi="Times New Roman"/>
          <w:sz w:val="24"/>
          <w:szCs w:val="24"/>
        </w:rPr>
        <w:t>M.J. Moran, H.N. Saphiro, D.D. Boettner, M.B. Bailey (2012) Principles of Engineering Thermodynamics, Wiley, 7</w:t>
      </w:r>
      <w:r>
        <w:rPr>
          <w:rFonts w:ascii="Times New Roman" w:hAnsi="Times New Roman"/>
          <w:sz w:val="24"/>
          <w:szCs w:val="24"/>
          <w:vertAlign w:val="superscript"/>
        </w:rPr>
        <w:t>th</w:t>
      </w:r>
      <w:r>
        <w:rPr>
          <w:rFonts w:ascii="Times New Roman" w:hAnsi="Times New Roman"/>
          <w:sz w:val="24"/>
          <w:szCs w:val="24"/>
        </w:rPr>
        <w:t xml:space="preserve"> Edition.</w:t>
      </w:r>
    </w:p>
    <w:p>
      <w:pPr>
        <w:pStyle w:val="style0"/>
        <w:widowControl/>
        <w:spacing w:after="200" w:before="0" w:line="276" w:lineRule="auto"/>
      </w:pPr>
      <w:r>
        <w:rPr/>
      </w:r>
    </w:p>
    <w:sectPr>
      <w:headerReference r:id="rId3" w:type="default"/>
      <w:footerReference r:id="rId4" w:type="default"/>
      <w:type w:val="nextPage"/>
      <w:pgSz w:h="15840" w:w="12240"/>
      <w:pgMar w:bottom="1440" w:footer="720" w:gutter="0" w:header="72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widowControl/>
      <w:spacing w:after="200" w:before="0" w:line="276" w:lineRule="auto"/>
    </w:pPr>
    <w:r>
      <w:rPr>
        <w:b/>
        <w:i/>
        <w:sz w:val="24"/>
        <w:szCs w:val="24"/>
      </w:rPr>
      <w:tab/>
    </w:r>
    <w:r>
      <w:rPr>
        <w:b/>
      </w:rPr>
      <w:t xml:space="preserve">Page </w:t>
    </w:r>
    <w:r>
      <w:rPr>
        <w:b/>
      </w:rPr>
      <w:fldChar w:fldCharType="begin"/>
    </w:r>
    <w:r>
      <w:instrText> PAGE </w:instrText>
    </w:r>
    <w:r>
      <w:fldChar w:fldCharType="separate"/>
    </w:r>
    <w:r>
      <w:t>5</w:t>
    </w:r>
    <w:r>
      <w:fldChar w:fldCharType="end"/>
    </w:r>
    <w:r>
      <w:rPr>
        <w:b/>
      </w:rPr>
      <w:t xml:space="preserve"> of </w:t>
    </w:r>
    <w:r>
      <w:rPr>
        <w:b/>
      </w:rPr>
      <w:fldChar w:fldCharType="begin"/>
    </w:r>
    <w:r>
      <w:instrText> NUMPAGES </w:instrText>
    </w:r>
    <w:r>
      <w:fldChar w:fldCharType="separate"/>
    </w:r>
    <w:r>
      <w:t>5</w:t>
    </w:r>
    <w:r>
      <w:fldChar w:fldCharType="end"/>
    </w:r>
    <w:r>
      <w:rPr>
        <w:b/>
        <w:i/>
        <w:sz w:val="24"/>
        <w:szCs w:val="24"/>
      </w:rPr>
      <w:tab/>
      <w:t>3-Feb-14</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tabs>
        <w:tab w:leader="none" w:pos="4680" w:val="center"/>
      </w:tabs>
    </w:pPr>
    <w:r>
      <w:rPr>
        <w:b/>
        <w:i/>
        <w:sz w:val="20"/>
        <w:szCs w:val="20"/>
      </w:rPr>
      <w:t>Course Handbook 2013/14</w:t>
      <w:tab/>
      <w:tab/>
      <w:t>EG3521</w:t>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low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low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Calibri" w:hAnsi="Calibri"/>
      <w:color w:val="auto"/>
      <w:sz w:val="22"/>
      <w:szCs w:val="22"/>
      <w:lang w:bidi="ar-SA" w:eastAsia="en-US" w:val="en-GB"/>
    </w:rPr>
  </w:style>
  <w:style w:styleId="style15" w:type="character">
    <w:name w:val="Default Paragraph Font"/>
    <w:next w:val="style15"/>
    <w:rPr/>
  </w:style>
  <w:style w:styleId="style16" w:type="character">
    <w:name w:val="Header Char"/>
    <w:basedOn w:val="style15"/>
    <w:next w:val="style16"/>
    <w:rPr>
      <w:lang w:val="en-GB"/>
    </w:rPr>
  </w:style>
  <w:style w:styleId="style17" w:type="character">
    <w:name w:val="Footer Char"/>
    <w:basedOn w:val="style15"/>
    <w:next w:val="style17"/>
    <w:rPr>
      <w:lang w:val="en-GB"/>
    </w:rPr>
  </w:style>
  <w:style w:styleId="style18" w:type="character">
    <w:name w:val="Balloon Text Char"/>
    <w:basedOn w:val="style15"/>
    <w:next w:val="style18"/>
    <w:rPr>
      <w:rFonts w:ascii="Tahoma" w:cs="Tahoma" w:hAnsi="Tahoma"/>
      <w:sz w:val="16"/>
      <w:szCs w:val="16"/>
      <w:lang w:val="en-GB"/>
    </w:rPr>
  </w:style>
  <w:style w:styleId="style19" w:type="character">
    <w:name w:val="Date Char"/>
    <w:basedOn w:val="style15"/>
    <w:next w:val="style19"/>
    <w:rPr>
      <w:rFonts w:ascii="Times New Roman" w:eastAsia="Times New Roman" w:hAnsi="Times New Roman"/>
      <w:color w:val="000000"/>
      <w:sz w:val="24"/>
      <w:lang w:eastAsia="en-US"/>
    </w:rPr>
  </w:style>
  <w:style w:styleId="style20" w:type="character">
    <w:name w:val="annotation reference"/>
    <w:basedOn w:val="style15"/>
    <w:next w:val="style20"/>
    <w:rPr>
      <w:sz w:val="16"/>
      <w:szCs w:val="16"/>
    </w:rPr>
  </w:style>
  <w:style w:styleId="style21" w:type="character">
    <w:name w:val="Comment Text Char"/>
    <w:basedOn w:val="style15"/>
    <w:next w:val="style21"/>
    <w:rPr>
      <w:lang w:eastAsia="en-US"/>
    </w:rPr>
  </w:style>
  <w:style w:styleId="style22" w:type="character">
    <w:name w:val="Comment Subject Char"/>
    <w:basedOn w:val="style21"/>
    <w:next w:val="style22"/>
    <w:rPr>
      <w:b/>
      <w:bCs/>
    </w:rPr>
  </w:style>
  <w:style w:styleId="style23" w:type="character">
    <w:name w:val="Internet Link"/>
    <w:basedOn w:val="style15"/>
    <w:next w:val="style23"/>
    <w:rPr>
      <w:color w:val="0000FF"/>
      <w:u w:val="single"/>
      <w:lang w:bidi="en-US" w:eastAsia="en-US" w:val="en-US"/>
    </w:rPr>
  </w:style>
  <w:style w:styleId="style24" w:type="character">
    <w:name w:val="Placeholder Text"/>
    <w:basedOn w:val="style15"/>
    <w:next w:val="style24"/>
    <w:rPr>
      <w:color w:val="808080"/>
    </w:rPr>
  </w:style>
  <w:style w:styleId="style25" w:type="character">
    <w:name w:val="ListLabel 1"/>
    <w:next w:val="style25"/>
    <w:rPr>
      <w:rFonts w:cs="Courier New"/>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Date"/>
    <w:basedOn w:val="style0"/>
    <w:next w:val="style34"/>
    <w:pPr>
      <w:widowControl w:val="false"/>
      <w:spacing w:after="100" w:before="100" w:line="100" w:lineRule="atLeast"/>
    </w:pPr>
    <w:rPr>
      <w:rFonts w:ascii="Times New Roman" w:eastAsia="Times New Roman" w:hAnsi="Times New Roman"/>
      <w:color w:val="000000"/>
      <w:sz w:val="24"/>
      <w:szCs w:val="20"/>
    </w:rPr>
  </w:style>
  <w:style w:styleId="style35" w:type="paragraph">
    <w:name w:val="List Paragraph"/>
    <w:basedOn w:val="style0"/>
    <w:next w:val="style35"/>
    <w:pPr>
      <w:ind w:hanging="0" w:left="720" w:right="0"/>
    </w:pPr>
    <w:rPr/>
  </w:style>
  <w:style w:styleId="style36" w:type="paragraph">
    <w:name w:val="annotation text"/>
    <w:basedOn w:val="style0"/>
    <w:next w:val="style36"/>
    <w:pPr/>
    <w:rPr>
      <w:sz w:val="20"/>
      <w:szCs w:val="20"/>
    </w:rPr>
  </w:style>
  <w:style w:styleId="style37" w:type="paragraph">
    <w:name w:val="annotation subject"/>
    <w:basedOn w:val="style36"/>
    <w:next w:val="style37"/>
    <w:pPr/>
    <w:rPr>
      <w:b/>
      <w:bCs/>
    </w:rPr>
  </w:style>
  <w:style w:styleId="style38" w:type="paragraph">
    <w:name w:val="Preformatted Text"/>
    <w:basedOn w:val="style0"/>
    <w:next w:val="style38"/>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vboxsrv\Dropbox\Lectures\Thermodynamics\GeneralNotes\jefferson.gomes@abdn.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2014-03-14T18:53:00.00Z</dcterms:created>
  <dc:creator>Akisanya, Dr Alfred R.</dc:creator>
  <cp:lastModifiedBy>Melo de almeida Gomes, Jefferson Luis</cp:lastModifiedBy>
  <cp:lastPrinted>2013-02-11T20:15:00.00Z</cp:lastPrinted>
  <dcterms:modified xsi:type="dcterms:W3CDTF">2014-03-14T19:21:00.00Z</dcterms:modified>
  <cp:revision>4</cp:revision>
</cp:coreProperties>
</file>