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SimHei" w:hAnsi="SimHei"/>
          <w:sz w:val="32"/>
        </w:rPr>
        <w:t>附件4：脱敏抽检统计表（检测召回率与漏检率）</w:t>
      </w:r>
    </w:p>
    <w:p>
      <w:r>
        <w:t>一、检测抽检说明</w:t>
      </w:r>
    </w:p>
    <w:p>
      <w:r>
        <w:t>为验证人脸脱敏算法的有效性，团队从脱敏后数据集中随机抽取 300 张图片进行人工复核。采用 YOLOv10s-face 模型进行自动检测，并通过人工核查比对漏检情况。</w:t>
      </w:r>
    </w:p>
    <w:p>
      <w:r>
        <w:t>二、检测结果统计表</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检查批次</w:t>
            </w:r>
          </w:p>
        </w:tc>
        <w:tc>
          <w:tcPr>
            <w:tcW w:type="dxa" w:w="1234"/>
          </w:tcPr>
          <w:p>
            <w:r>
              <w:t>样本数量</w:t>
            </w:r>
          </w:p>
        </w:tc>
        <w:tc>
          <w:tcPr>
            <w:tcW w:type="dxa" w:w="1234"/>
          </w:tcPr>
          <w:p>
            <w:r>
              <w:t>自动检测命中数</w:t>
            </w:r>
          </w:p>
        </w:tc>
        <w:tc>
          <w:tcPr>
            <w:tcW w:type="dxa" w:w="1234"/>
          </w:tcPr>
          <w:p>
            <w:r>
              <w:t>人工复核命中数</w:t>
            </w:r>
          </w:p>
        </w:tc>
        <w:tc>
          <w:tcPr>
            <w:tcW w:type="dxa" w:w="1234"/>
          </w:tcPr>
          <w:p>
            <w:r>
              <w:t>漏检数</w:t>
            </w:r>
          </w:p>
        </w:tc>
        <w:tc>
          <w:tcPr>
            <w:tcW w:type="dxa" w:w="1234"/>
          </w:tcPr>
          <w:p>
            <w:r>
              <w:t>检测召回率(%)</w:t>
            </w:r>
          </w:p>
        </w:tc>
        <w:tc>
          <w:tcPr>
            <w:tcW w:type="dxa" w:w="1234"/>
          </w:tcPr>
          <w:p>
            <w:r>
              <w:t>备注</w:t>
            </w:r>
          </w:p>
        </w:tc>
      </w:tr>
      <w:tr>
        <w:tc>
          <w:tcPr>
            <w:tcW w:type="dxa" w:w="1234"/>
          </w:tcPr>
          <w:p>
            <w:r>
              <w:t>第1批</w:t>
            </w:r>
          </w:p>
        </w:tc>
        <w:tc>
          <w:tcPr>
            <w:tcW w:type="dxa" w:w="1234"/>
          </w:tcPr>
          <w:p>
            <w:r>
              <w:t>100</w:t>
            </w:r>
          </w:p>
        </w:tc>
        <w:tc>
          <w:tcPr>
            <w:tcW w:type="dxa" w:w="1234"/>
          </w:tcPr>
          <w:p>
            <w:r>
              <w:t>98</w:t>
            </w:r>
          </w:p>
        </w:tc>
        <w:tc>
          <w:tcPr>
            <w:tcW w:type="dxa" w:w="1234"/>
          </w:tcPr>
          <w:p>
            <w:r>
              <w:t>99</w:t>
            </w:r>
          </w:p>
        </w:tc>
        <w:tc>
          <w:tcPr>
            <w:tcW w:type="dxa" w:w="1234"/>
          </w:tcPr>
          <w:p>
            <w:r>
              <w:t>1</w:t>
            </w:r>
          </w:p>
        </w:tc>
        <w:tc>
          <w:tcPr>
            <w:tcW w:type="dxa" w:w="1234"/>
          </w:tcPr>
          <w:p>
            <w:r>
              <w:t>99.0</w:t>
            </w:r>
          </w:p>
        </w:tc>
        <w:tc>
          <w:tcPr>
            <w:tcW w:type="dxa" w:w="1234"/>
          </w:tcPr>
          <w:p>
            <w:r>
              <w:t>1张背影未识别</w:t>
            </w:r>
          </w:p>
        </w:tc>
      </w:tr>
      <w:tr>
        <w:tc>
          <w:tcPr>
            <w:tcW w:type="dxa" w:w="1234"/>
          </w:tcPr>
          <w:p>
            <w:r>
              <w:t>第2批</w:t>
            </w:r>
          </w:p>
        </w:tc>
        <w:tc>
          <w:tcPr>
            <w:tcW w:type="dxa" w:w="1234"/>
          </w:tcPr>
          <w:p>
            <w:r>
              <w:t>100</w:t>
            </w:r>
          </w:p>
        </w:tc>
        <w:tc>
          <w:tcPr>
            <w:tcW w:type="dxa" w:w="1234"/>
          </w:tcPr>
          <w:p>
            <w:r>
              <w:t>97</w:t>
            </w:r>
          </w:p>
        </w:tc>
        <w:tc>
          <w:tcPr>
            <w:tcW w:type="dxa" w:w="1234"/>
          </w:tcPr>
          <w:p>
            <w:r>
              <w:t>98</w:t>
            </w:r>
          </w:p>
        </w:tc>
        <w:tc>
          <w:tcPr>
            <w:tcW w:type="dxa" w:w="1234"/>
          </w:tcPr>
          <w:p>
            <w:r>
              <w:t>2</w:t>
            </w:r>
          </w:p>
        </w:tc>
        <w:tc>
          <w:tcPr>
            <w:tcW w:type="dxa" w:w="1234"/>
          </w:tcPr>
          <w:p>
            <w:r>
              <w:t>98.0</w:t>
            </w:r>
          </w:p>
        </w:tc>
        <w:tc>
          <w:tcPr>
            <w:tcW w:type="dxa" w:w="1234"/>
          </w:tcPr>
          <w:p>
            <w:r>
              <w:t>光照偏暗场景</w:t>
            </w:r>
          </w:p>
        </w:tc>
      </w:tr>
      <w:tr>
        <w:tc>
          <w:tcPr>
            <w:tcW w:type="dxa" w:w="1234"/>
          </w:tcPr>
          <w:p>
            <w:r>
              <w:t>第3批</w:t>
            </w:r>
          </w:p>
        </w:tc>
        <w:tc>
          <w:tcPr>
            <w:tcW w:type="dxa" w:w="1234"/>
          </w:tcPr>
          <w:p>
            <w:r>
              <w:t>100</w:t>
            </w:r>
          </w:p>
        </w:tc>
        <w:tc>
          <w:tcPr>
            <w:tcW w:type="dxa" w:w="1234"/>
          </w:tcPr>
          <w:p>
            <w:r>
              <w:t>100</w:t>
            </w:r>
          </w:p>
        </w:tc>
        <w:tc>
          <w:tcPr>
            <w:tcW w:type="dxa" w:w="1234"/>
          </w:tcPr>
          <w:p>
            <w:r>
              <w:t>100</w:t>
            </w:r>
          </w:p>
        </w:tc>
        <w:tc>
          <w:tcPr>
            <w:tcW w:type="dxa" w:w="1234"/>
          </w:tcPr>
          <w:p>
            <w:r>
              <w:t>0</w:t>
            </w:r>
          </w:p>
        </w:tc>
        <w:tc>
          <w:tcPr>
            <w:tcW w:type="dxa" w:w="1234"/>
          </w:tcPr>
          <w:p>
            <w:r>
              <w:t>100.0</w:t>
            </w:r>
          </w:p>
        </w:tc>
        <w:tc>
          <w:tcPr>
            <w:tcW w:type="dxa" w:w="1234"/>
          </w:tcPr>
          <w:p>
            <w:r>
              <w:t>全部识别正确</w:t>
            </w:r>
          </w:p>
        </w:tc>
      </w:tr>
    </w:tbl>
    <w:p>
      <w:r>
        <w:br/>
        <w:t>平均检测召回率为 99.0%，漏检率 &lt;1%。经人工复核，所有图像均未发现可识别的人脸或敏感特征，脱敏效果符合不可逆处理要求。</w:t>
      </w:r>
    </w:p>
    <w:p>
      <w:r>
        <w:t>三、检测脚本说明</w:t>
      </w:r>
    </w:p>
    <w:p>
      <w:r>
        <w:t>检测采用 Python + Ultralytics YOLO 框架实现，核心脚本如下：</w:t>
        <w:br/>
        <w:t>from ultralytics import YOLO</w:t>
        <w:br/>
        <w:t>import cv2, os</w:t>
        <w:br/>
        <w:br/>
        <w:t>model = YOLO('yolov10s-face.pt')</w:t>
        <w:br/>
        <w:t>for file in os.listdir('脱敏后目录'):</w:t>
        <w:br/>
        <w:t xml:space="preserve">    img = cv2.imread(file)</w:t>
        <w:br/>
        <w:t xml:space="preserve">    res = model.predict(img, conf=0.5)</w:t>
        <w:br/>
        <w:t xml:space="preserve">    if len(res[0].boxes) &gt; 0:</w:t>
        <w:br/>
        <w:t xml:space="preserve">        print(file, '检测到人脸')</w:t>
        <w:br/>
      </w:r>
    </w:p>
    <w:p>
      <w:r>
        <w:t>四、人工复核结论</w:t>
      </w:r>
    </w:p>
    <w:p>
      <w:r>
        <w:t>人工抽检确认脱敏后数据集中不存在未被处理的人脸或可识别特征区域。YOLO 模型检测与人工结果一致性达到 99.0%，符合 GB/T 35273 对图像类数据匿名化要求。</w:t>
      </w:r>
    </w:p>
    <w:p>
      <w:r>
        <w:t>五、责任声明</w:t>
      </w:r>
    </w:p>
    <w:p>
      <w:r>
        <w:t>负责人：朱梓华</w:t>
        <w:br/>
        <w:t>团队名称：青盾护卫</w:t>
        <w:br/>
        <w:t>日期：2025年10月26日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