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主模块： main函数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添加修改模块：add函数，modify函数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查询模块：display函数，fetchid函数（根据id查询），fetchname函数（根据姓名查询）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排序模块：idsortasc函数（按照id升序排列），scoresortdes函数（按照总分降序排列）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辅助函数模块：charsame函数（判断id/姓名是否匹配），leng函数（获得字符串长度），comp_char（比较id顺序）函数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模块调用关系：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主模块调用了添加修改、查询、排序三个模块；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添加修改、查询、排序均使用了辅助函数模块；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函数调用关系：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main函数在switch语句中调用除辅助函数以外的所有模块。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辅助函数在除add和display的其他所有非主函数中都有调用。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关键变量：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全局变量studentT* 类型的data，其中包含了所有输入的学生信息。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全局变量amofdata，计数学生信息的条数，在修改、查询、排序上都起着限定范围的重要作用。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用户选择char类型的select，为了避免int类型的输入超出最大范围出现bug，使用char类型提高用户输入的容错率。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E7A1D"/>
    <w:rsid w:val="5CEE7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2018-04-24T12:26:00Z</dcterms:created>
  <dc:creator>からしの木</dc:creator>
  <cp:lastModifiedBy>からしの木</cp:lastModifiedBy>
  <dcterms:modified xsi:type="dcterms:W3CDTF">2018-04-25T08:24:52Z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