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web-portal Code Review Findings</w:t>
      </w:r>
    </w:p>
    <w:p>
      <w:r>
        <w:t>First-pass static review for major coding mishandling and obvious security loopholes in web-portal. Each finding includes a plain-English explanation of what the issue means and how it appears in this project.</w:t>
      </w:r>
    </w:p>
    <w:tbl>
      <w:tblPr>
        <w:tblStyle w:val="TableGrid"/>
        <w:tblW w:type="auto" w:w="0"/>
        <w:tblLook w:firstColumn="1" w:firstRow="1" w:lastColumn="0" w:lastRow="0" w:noHBand="0" w:noVBand="1" w:val="04A0"/>
      </w:tblPr>
      <w:tblGrid>
        <w:gridCol w:w="4320"/>
        <w:gridCol w:w="4320"/>
      </w:tblGrid>
      <w:tr>
        <w:tc>
          <w:tcPr>
            <w:tcW w:type="dxa" w:w="4320"/>
          </w:tcPr>
          <w:p>
            <w:r>
              <w:rPr>
                <w:b/>
              </w:rPr>
              <w:t>Review date</w:t>
            </w:r>
          </w:p>
        </w:tc>
        <w:tc>
          <w:tcPr>
            <w:tcW w:type="dxa" w:w="4320"/>
          </w:tcPr>
          <w:p>
            <w:r>
              <w:t>2026-05-31 (re-verified and refreshed 2026-08-20)</w:t>
            </w:r>
          </w:p>
        </w:tc>
      </w:tr>
      <w:tr>
        <w:tc>
          <w:tcPr>
            <w:tcW w:type="dxa" w:w="4320"/>
          </w:tcPr>
          <w:p>
            <w:r>
              <w:rPr>
                <w:b/>
              </w:rPr>
              <w:t>Project type</w:t>
            </w:r>
          </w:p>
        </w:tc>
        <w:tc>
          <w:tcPr>
            <w:tcW w:type="dxa" w:w="4320"/>
          </w:tcPr>
          <w:p>
            <w:r>
              <w:t>Vue/Vite frontend</w:t>
            </w:r>
          </w:p>
        </w:tc>
      </w:tr>
      <w:tr>
        <w:tc>
          <w:tcPr>
            <w:tcW w:type="dxa" w:w="4320"/>
          </w:tcPr>
          <w:p>
            <w:r>
              <w:rPr>
                <w:b/>
              </w:rPr>
              <w:t>Project path</w:t>
            </w:r>
          </w:p>
        </w:tc>
        <w:tc>
          <w:tcPr>
            <w:tcW w:type="dxa" w:w="4320"/>
          </w:tcPr>
          <w:p>
            <w:r>
              <w:t>C:/Projects/CorpID/web-portal (original scan path: /home/kevin/projects/test/web-portal)</w:t>
            </w:r>
          </w:p>
        </w:tc>
      </w:tr>
      <w:tr>
        <w:tc>
          <w:tcPr>
            <w:tcW w:type="dxa" w:w="4320"/>
          </w:tcPr>
          <w:p>
            <w:r>
              <w:rPr>
                <w:b/>
              </w:rPr>
              <w:t>Review type</w:t>
            </w:r>
          </w:p>
        </w:tc>
        <w:tc>
          <w:tcPr>
            <w:tcW w:type="dxa" w:w="4320"/>
          </w:tcPr>
          <w:p>
            <w:r>
              <w:t>Static scan and targeted source/config review; no runtime testing</w:t>
            </w:r>
          </w:p>
        </w:tc>
      </w:tr>
    </w:tbl>
    <w:p>
      <w:pPr>
        <w:pStyle w:val="Heading1"/>
      </w:pPr>
      <w:r>
        <w:t>Summary</w:t>
      </w:r>
    </w:p>
    <w:p>
      <w:r>
        <w:t>Findings are prioritized by practical security and reliability impact. Evidence points to local file paths and line numbers observed during the scan, refreshed to the current checkout.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ID</w:t>
            </w:r>
          </w:p>
        </w:tc>
        <w:tc>
          <w:tcPr>
            <w:tcW w:type="dxa" w:w="2160"/>
          </w:tcPr>
          <w:p>
            <w:r>
              <w:rPr>
                <w:b/>
              </w:rPr>
              <w:t>Severity</w:t>
            </w:r>
          </w:p>
        </w:tc>
        <w:tc>
          <w:tcPr>
            <w:tcW w:type="dxa" w:w="2160"/>
          </w:tcPr>
          <w:p>
            <w:r>
              <w:rPr>
                <w:b/>
              </w:rPr>
              <w:t>Finding</w:t>
            </w:r>
          </w:p>
        </w:tc>
        <w:tc>
          <w:tcPr>
            <w:tcW w:type="dxa" w:w="2160"/>
          </w:tcPr>
          <w:p>
            <w:r>
              <w:rPr>
                <w:b/>
              </w:rPr>
              <w:t>Evidence Count</w:t>
            </w:r>
          </w:p>
        </w:tc>
      </w:tr>
      <w:tr>
        <w:tc>
          <w:tcPr>
            <w:tcW w:type="dxa" w:w="2160"/>
          </w:tcPr>
          <w:p>
            <w:r>
              <w:t>F-01</w:t>
            </w:r>
          </w:p>
        </w:tc>
        <w:tc>
          <w:tcPr>
            <w:tcW w:type="dxa" w:w="2160"/>
          </w:tcPr>
          <w:p>
            <w:r>
              <w:t>High</w:t>
            </w:r>
          </w:p>
        </w:tc>
        <w:tc>
          <w:tcPr>
            <w:tcW w:type="dxa" w:w="2160"/>
          </w:tcPr>
          <w:p>
            <w:r>
              <w:t>Debug or test endpoints are present in deployable code</w:t>
            </w:r>
          </w:p>
        </w:tc>
        <w:tc>
          <w:tcPr>
            <w:tcW w:type="dxa" w:w="2160"/>
          </w:tcPr>
          <w:p>
            <w:r>
              <w:t>2 evidence item(s)</w:t>
            </w:r>
          </w:p>
        </w:tc>
      </w:tr>
      <w:tr>
        <w:tc>
          <w:tcPr>
            <w:tcW w:type="dxa" w:w="2160"/>
          </w:tcPr>
          <w:p>
            <w:r>
              <w:t>F-02</w:t>
            </w:r>
          </w:p>
        </w:tc>
        <w:tc>
          <w:tcPr>
            <w:tcW w:type="dxa" w:w="2160"/>
          </w:tcPr>
          <w:p>
            <w:r>
              <w:t>Medium</w:t>
            </w:r>
          </w:p>
        </w:tc>
        <w:tc>
          <w:tcPr>
            <w:tcW w:type="dxa" w:w="2160"/>
          </w:tcPr>
          <w:p>
            <w:r>
              <w:t>Client-side auth state and route guards require backend enforcement</w:t>
            </w:r>
          </w:p>
        </w:tc>
        <w:tc>
          <w:tcPr>
            <w:tcW w:type="dxa" w:w="2160"/>
          </w:tcPr>
          <w:p>
            <w:r>
              <w:t>16 evidence item(s)</w:t>
            </w:r>
          </w:p>
        </w:tc>
      </w:tr>
    </w:tbl>
    <w:p>
      <w:pPr>
        <w:pStyle w:val="Heading1"/>
      </w:pPr>
      <w:r>
        <w:t>F-01 (High): Debug or test endpoints are present in deployable code</w:t>
      </w:r>
    </w:p>
    <w:p>
      <w:r>
        <w:rPr>
          <w:b/>
        </w:rPr>
        <w:t xml:space="preserve">Plain-English explanation. </w:t>
      </w:r>
      <w:r>
        <w:t>Debug endpoints are usually built to help developers inspect state or simulate privileged flows. They often skip normal safeguards. If they remain compiled into deployed services, an attacker or curious internal user may use them to reveal secrets, create mock security material, test downstream connectivity, or trigger operations outside the normal business path.</w:t>
      </w:r>
    </w:p>
    <w:p>
      <w:r>
        <w:rPr>
          <w:b/>
        </w:rPr>
        <w:t xml:space="preserve">How it surfaces in this project. </w:t>
      </w:r>
      <w:r>
        <w:t>The evidence below shows the concrete files and lines where this pattern appears.</w:t>
      </w:r>
    </w:p>
    <w:p>
      <w:pPr>
        <w:pStyle w:val="ListBullet"/>
      </w:pPr>
      <w:r>
        <w:t>web-portal/src/router/index.ts:306-310  route 'test-connection' -&gt; component: () =&gt; import('../views/TestConnection.vue') (import at line 309)</w:t>
      </w:r>
    </w:p>
    <w:p>
      <w:pPr>
        <w:pStyle w:val="ListBullet"/>
      </w:pPr>
      <w:r>
        <w:t>web-portal/src/router/index.ts:311-315  route 'component-sample' -&gt; component: () =&gt; import('../views/ComponentSample.vue') (import at line 314)</w:t>
      </w:r>
    </w:p>
    <w:p>
      <w:r>
        <w:rPr>
          <w:b/>
        </w:rPr>
        <w:t xml:space="preserve">Why it matters. </w:t>
      </w:r>
      <w:r>
        <w:t>Debug endpoints can leak configuration, exercise privileged flows, or create test security material if deployed.</w:t>
      </w:r>
    </w:p>
    <w:p>
      <w:r>
        <w:rPr>
          <w:b/>
        </w:rPr>
        <w:t xml:space="preserve">Recommended fix. </w:t>
      </w:r>
      <w:r>
        <w:t>Exclude debug controllers from non-local builds or gate them behind strong admin auth and environment checks.</w:t>
      </w:r>
    </w:p>
    <w:p>
      <w:pPr>
        <w:pStyle w:val="Heading1"/>
      </w:pPr>
      <w:r>
        <w:t>F-02 (Medium): Client-side auth state and route guards require backend enforcement</w:t>
      </w:r>
    </w:p>
    <w:p>
      <w:r>
        <w:rPr>
          <w:b/>
        </w:rPr>
        <w:t xml:space="preserve">Plain-English explanation. </w:t>
      </w:r>
      <w:r>
        <w:t>A frontend route guard only hides screens in the browser. Users can still edit JavaScript, change browser storage, or call backend APIs directly. Storing bearer tokens and user profile data in sessionStorage or localStorage also means any XSS bug can read and exfiltrate them. The backend must enforce every permission even if the frontend UI tries to hide unauthorized pages.</w:t>
      </w:r>
    </w:p>
    <w:p>
      <w:r>
        <w:rPr>
          <w:b/>
        </w:rPr>
        <w:t xml:space="preserve">How it surfaces in this project. </w:t>
      </w:r>
      <w:r>
        <w:t>The evidence below shows the concrete files and lines where this pattern appears (line numbers refreshed 2026-08-20).</w:t>
      </w:r>
    </w:p>
    <w:p>
      <w:pPr>
        <w:pStyle w:val="ListBullet"/>
      </w:pPr>
      <w:r>
        <w:t>web-portal/src/views/iam-smart-login-landing.vue:33  const redirectUri = useSessionStorage('iam_smart_redirect_uri', '')</w:t>
      </w:r>
    </w:p>
    <w:p>
      <w:pPr>
        <w:pStyle w:val="ListBullet"/>
      </w:pPr>
      <w:r>
        <w:t>web-portal/src/views/iam-smart-login-landing.vue:35  const headerErrorMessage = useSessionStorage('header_error', '')</w:t>
      </w:r>
    </w:p>
    <w:p>
      <w:pPr>
        <w:pStyle w:val="ListBullet"/>
      </w:pPr>
      <w:r>
        <w:t>web-portal/src/views/payment-process.vue:20  const transactionid = useSessionStorage('transactionid', '')</w:t>
      </w:r>
    </w:p>
    <w:p>
      <w:pPr>
        <w:pStyle w:val="ListBullet"/>
      </w:pPr>
      <w:r>
        <w:t>web-portal/src/views/payment-process.vue:21  const webTokenStorage = useSessionStorage('paymentWebToken', '')</w:t>
      </w:r>
    </w:p>
    <w:p>
      <w:pPr>
        <w:pStyle w:val="ListBullet"/>
      </w:pPr>
      <w:r>
        <w:t>web-portal/src/views/payment-process.vue:22  const paymentMethodStorage = useSessionStorage('paymentMethod', '')</w:t>
      </w:r>
    </w:p>
    <w:p>
      <w:pPr>
        <w:pStyle w:val="ListBullet"/>
      </w:pPr>
      <w:r>
        <w:t>web-portal/src/views/payment-process.vue:23  const fpsRegIdStorage = useSessionStorage('fpsRegId', '')</w:t>
      </w:r>
    </w:p>
    <w:p>
      <w:pPr>
        <w:pStyle w:val="ListBullet"/>
      </w:pPr>
      <w:r>
        <w:t>web-portal/src/stores/languageStore.ts:10  localStorage.setItem('LANG', lang)</w:t>
      </w:r>
    </w:p>
    <w:p>
      <w:pPr>
        <w:pStyle w:val="ListBullet"/>
      </w:pPr>
      <w:r>
        <w:t>web-portal/src/stores/userStore.ts:134  const accessToken = useSessionStorage('token', '')</w:t>
      </w:r>
    </w:p>
    <w:p>
      <w:pPr>
        <w:pStyle w:val="ListBullet"/>
      </w:pPr>
      <w:r>
        <w:t>web-portal/src/stores/userStore.ts:136  const _refreshToken = useSessionStorage('refreshToken', '')</w:t>
      </w:r>
    </w:p>
    <w:p>
      <w:pPr>
        <w:pStyle w:val="ListBullet"/>
      </w:pPr>
      <w:r>
        <w:t>web-portal/src/stores/userStore.ts:138  const _iamSmartToken = useSessionStorage('iamSmartToken', '')</w:t>
      </w:r>
    </w:p>
    <w:p>
      <w:pPr>
        <w:pStyle w:val="ListBullet"/>
      </w:pPr>
      <w:r>
        <w:t>web-portal/src/stores/userStore.ts:140  const _iamSmartOpenId = useSessionStorage('iamSmartOpenId', '')</w:t>
      </w:r>
    </w:p>
    <w:p>
      <w:pPr>
        <w:pStyle w:val="ListBullet"/>
      </w:pPr>
      <w:r>
        <w:t>web-portal/src/stores/userStore.ts:142  const corps = useSessionStorage&lt;CorpEntry[]&gt;('corps', [], ...)</w:t>
      </w:r>
    </w:p>
    <w:p>
      <w:pPr>
        <w:pStyle w:val="ListBullet"/>
      </w:pPr>
      <w:r>
        <w:t>web-portal/src/stores/userStore.ts:149  const _hasCorps = useSessionStorage('hasCorps', false)</w:t>
      </w:r>
    </w:p>
    <w:p>
      <w:pPr>
        <w:pStyle w:val="ListBullet"/>
      </w:pPr>
      <w:r>
        <w:t>web-portal/src/stores/userStore.ts:151  const _iamUserProfile = useSessionStorage&lt;IamUserProfile | null&gt;('iamUserProfile', null, ...)</w:t>
      </w:r>
    </w:p>
    <w:p>
      <w:pPr>
        <w:pStyle w:val="ListBullet"/>
      </w:pPr>
      <w:r>
        <w:t>web-portal/src/stores/userStore.ts:158  const idOneUserProfile = useSessionStorage&lt;IdOneUserProfile | null&gt;('idOneUserProfile', null, ...)</w:t>
      </w:r>
    </w:p>
    <w:p>
      <w:pPr>
        <w:pStyle w:val="ListBullet"/>
      </w:pPr>
      <w:r>
        <w:t>web-portal/src/stores/userStore.ts:171  const selectedCorpUserId = useSessionStorage&lt;string | null&gt;('selectedCorpUserId', null, ...)</w:t>
      </w:r>
    </w:p>
    <w:p>
      <w:r>
        <w:rPr>
          <w:b/>
        </w:rPr>
        <w:t xml:space="preserve">Resolved since the original scan. </w:t>
      </w:r>
      <w:r>
        <w:t>The previously reported hardcoded client-side gate localStorage.setItem('corpIdUser', 'true') (formerly web-portal/src/main.ts:218) no longer exists; 'corpIdUser' appears nowhere in src/.</w:t>
      </w:r>
    </w:p>
    <w:p>
      <w:r>
        <w:rPr>
          <w:b/>
        </w:rPr>
        <w:t xml:space="preserve">Why it matters. </w:t>
      </w:r>
      <w:r>
        <w:t>Browser storage and route metadata are not security boundaries. XSS can steal stored tokens/profile data, and unguarded routes can reveal workflow details. The refresh token now also persisted in session storage (userStore.ts:136) increases the impact of any token theft.</w:t>
      </w:r>
    </w:p>
    <w:p>
      <w:r>
        <w:rPr>
          <w:b/>
        </w:rPr>
        <w:t xml:space="preserve">Recommended fix. </w:t>
      </w:r>
      <w:r>
        <w:t>Keep backend authorization authoritative, reduce token/profile storage in the browser, add CSP, and remove hardcoded client-side access gates.</w:t>
      </w:r>
    </w:p>
    <w:p>
      <w:pPr>
        <w:pStyle w:val="Heading1"/>
      </w:pPr>
      <w:r>
        <w:t>SOLID Design Review</w:t>
      </w:r>
    </w:p>
    <w:p>
      <w:r>
        <w:t>This is a static design review against the SOLID principles. It focuses on source structure, class/module size, layering, and dependency direction; it does not prove runtime behavior.</w:t>
      </w:r>
    </w:p>
    <w:tbl>
      <w:tblPr>
        <w:tblStyle w:val="TableGrid"/>
        <w:tblW w:type="auto" w:w="0"/>
        <w:tblLook w:firstColumn="1" w:firstRow="1" w:lastColumn="0" w:lastRow="0" w:noHBand="0" w:noVBand="1" w:val="04A0"/>
      </w:tblPr>
      <w:tblGrid>
        <w:gridCol w:w="4320"/>
        <w:gridCol w:w="4320"/>
      </w:tblGrid>
      <w:tr>
        <w:tc>
          <w:tcPr>
            <w:tcW w:type="dxa" w:w="4320"/>
          </w:tcPr>
          <w:p>
            <w:r>
              <w:rPr>
                <w:b/>
              </w:rPr>
              <w:t>Overall SOLID posture</w:t>
            </w:r>
          </w:p>
        </w:tc>
        <w:tc>
          <w:tcPr>
            <w:tcW w:type="dxa" w:w="4320"/>
          </w:tcPr>
          <w:p>
            <w:r>
              <w:t>Partially aligned. The project has recognizable Vue separation through views, components, stores, composables, router, and API modules, but several large view components suggest multiple responsibilities remain in single files.</w:t>
            </w:r>
          </w:p>
        </w:tc>
      </w:tr>
      <w:tr>
        <w:tc>
          <w:tcPr>
            <w:tcW w:type="dxa" w:w="4320"/>
          </w:tcPr>
          <w:p>
            <w:r>
              <w:rPr>
                <w:b/>
              </w:rPr>
              <w:t>Evidence reviewed</w:t>
            </w:r>
          </w:p>
        </w:tc>
        <w:tc>
          <w:tcPr>
            <w:tcW w:type="dxa" w:w="4320"/>
          </w:tcPr>
          <w:p>
            <w:r>
              <w:t>The frontend scan found 255 Vue single-file components and 254 TypeScript modules. Largest files include src/views/invitation/certificate-application-form.vue (4597 lines), src/views/corporate-information/corporate-information.vue (3626 lines), src/views/invitation/application-detail.vue (3298 lines), src/views/delegation-management/add-delegation.vue (3134 lines).</w:t>
            </w:r>
          </w:p>
        </w:tc>
      </w:tr>
      <w:tr>
        <w:tc>
          <w:tcPr>
            <w:tcW w:type="dxa" w:w="4320"/>
          </w:tcPr>
          <w:p>
            <w:r>
              <w:rPr>
                <w:b/>
              </w:rPr>
              <w:t>Design strengths</w:t>
            </w:r>
          </w:p>
        </w:tc>
        <w:tc>
          <w:tcPr>
            <w:tcW w:type="dxa" w:w="4320"/>
          </w:tcPr>
          <w:p>
            <w:r>
              <w:t>API access is grouped under src/utils/Services, which helps keep HTTP concerns out of every component. Pinia stores and composables provide natural dependency and state boundaries when used consistently. Shared components under src/components create extension points for repeated UI behavior.</w:t>
            </w:r>
          </w:p>
        </w:tc>
      </w:tr>
      <w:tr>
        <w:tc>
          <w:tcPr>
            <w:tcW w:type="dxa" w:w="4320"/>
          </w:tcPr>
          <w:p>
            <w:r>
              <w:rPr>
                <w:b/>
              </w:rPr>
              <w:t>Principle-specific pressure points</w:t>
            </w:r>
          </w:p>
        </w:tc>
        <w:tc>
          <w:tcPr>
            <w:tcW w:type="dxa" w:w="4320"/>
          </w:tcPr>
          <w:p>
            <w:r>
              <w:t>Single Responsibility. Large .vue files combine rendering, form state, validation, API orchestration, and workflow branching; this makes change impact harder to isolate. Open/Closed. Repeated workflow-specific pages are easier to extend when variant behavior moves behind composables or small strategy/config modules instead of conditionals inside views. Interface Segregation. Broad API modules can force screens to depend on more operations than they need; narrower feature API clients would reduce coupling. Dependency Inversion. Components should depend on composables or service facades rather than importing low-level HTTP helpers directly.</w:t>
            </w:r>
          </w:p>
        </w:tc>
      </w:tr>
      <w:tr>
        <w:tc>
          <w:tcPr>
            <w:tcW w:type="dxa" w:w="4320"/>
          </w:tcPr>
          <w:p>
            <w:r>
              <w:rPr>
                <w:b/>
              </w:rPr>
              <w:t>Recommended refactoring path</w:t>
            </w:r>
          </w:p>
        </w:tc>
        <w:tc>
          <w:tcPr>
            <w:tcW w:type="dxa" w:w="4320"/>
          </w:tcPr>
          <w:p>
            <w:r>
              <w:t>Prioritize extracting large page files into presentation components, workflow composables, typed API facades, and validation modules. Add component/composable tests before refactoring the largest screens.</w:t>
            </w:r>
          </w:p>
        </w:tc>
      </w:tr>
    </w:tbl>
    <w:p>
      <w:pPr>
        <w:pStyle w:val="Heading1"/>
      </w:pPr>
      <w:r>
        <w:t>Unit Testing Availability and Coverage</w:t>
      </w:r>
    </w:p>
    <w:p>
      <w:r>
        <w:t>This is a static check of local test projects, package scripts, and coverage tooling. The tests were not executed and no fresh coverage report was generated.</w:t>
      </w:r>
    </w:p>
    <w:tbl>
      <w:tblPr>
        <w:tblStyle w:val="TableGrid"/>
        <w:tblW w:type="auto" w:w="0"/>
        <w:tblLook w:firstColumn="1" w:firstRow="1" w:lastColumn="0" w:lastRow="0" w:noHBand="0" w:noVBand="1" w:val="04A0"/>
      </w:tblPr>
      <w:tblGrid>
        <w:gridCol w:w="4320"/>
        <w:gridCol w:w="4320"/>
      </w:tblGrid>
      <w:tr>
        <w:tc>
          <w:tcPr>
            <w:tcW w:type="dxa" w:w="4320"/>
          </w:tcPr>
          <w:p>
            <w:r>
              <w:rPr>
                <w:b/>
              </w:rPr>
              <w:t>Availability</w:t>
            </w:r>
          </w:p>
        </w:tc>
        <w:tc>
          <w:tcPr>
            <w:tcW w:type="dxa" w:w="4320"/>
          </w:tcPr>
          <w:p>
            <w:r>
              <w:t>Not present for automated frontend unit testing.</w:t>
            </w:r>
          </w:p>
        </w:tc>
      </w:tr>
      <w:tr>
        <w:tc>
          <w:tcPr>
            <w:tcW w:type="dxa" w:w="4320"/>
          </w:tcPr>
          <w:p>
            <w:r>
              <w:rPr>
                <w:b/>
              </w:rPr>
              <w:t>Evidence reviewed</w:t>
            </w:r>
          </w:p>
        </w:tc>
        <w:tc>
          <w:tcPr>
            <w:tcW w:type="dxa" w:w="4320"/>
          </w:tcPr>
          <w:p>
            <w:r>
              <w:t>The root package.json defines dev, build, build-only, preview, type-check, lint, format, and debug scripts, but no test or coverage script. No Vitest, Jest, Playwright, Cypress, Vue Test Utils, or Testing Library dependencies are present.</w:t>
            </w:r>
          </w:p>
        </w:tc>
      </w:tr>
      <w:tr>
        <w:tc>
          <w:tcPr>
            <w:tcW w:type="dxa" w:w="4320"/>
          </w:tcPr>
          <w:p>
            <w:r>
              <w:rPr>
                <w:b/>
              </w:rPr>
              <w:t>Coverage assessment</w:t>
            </w:r>
          </w:p>
        </w:tc>
        <w:tc>
          <w:tcPr>
            <w:tcW w:type="dxa" w:w="4320"/>
          </w:tcPr>
          <w:p>
            <w:r>
              <w:t>No automated unit-test coverage is available from the checked-in frontend project. Type checking and linting help catch syntax and typing issues, but they do not exercise component behavior, routing, stores, API clients, or security-sensitive login flows.</w:t>
            </w:r>
          </w:p>
        </w:tc>
      </w:tr>
      <w:tr>
        <w:tc>
          <w:tcPr>
            <w:tcW w:type="dxa" w:w="4320"/>
          </w:tcPr>
          <w:p>
            <w:r>
              <w:rPr>
                <w:b/>
              </w:rPr>
              <w:t>Recommended next step</w:t>
            </w:r>
          </w:p>
        </w:tc>
        <w:tc>
          <w:tcPr>
            <w:tcW w:type="dxa" w:w="4320"/>
          </w:tcPr>
          <w:p>
            <w:r>
              <w:t>Add a frontend unit-test setup, for example Vitest plus Vue Test Utils, wire npm test and npm run coverage, and start with auth/session handling, route guards, API-client error handling, and form validation.</w:t>
            </w:r>
          </w:p>
        </w:tc>
      </w:tr>
    </w:tbl>
    <w:p>
      <w:pPr>
        <w:pStyle w:val="Heading1"/>
      </w:pPr>
      <w:r>
        <w:t>Changes Since the Original 2026-05-31 Scan</w:t>
      </w:r>
    </w:p>
    <w:p>
      <w:pPr>
        <w:pStyle w:val="ListBullet"/>
      </w:pPr>
      <w:r>
        <w:t>F-01: a second test-page route ('component-sample', router/index.ts:311-315) now exists alongside 'test-connection'.</w:t>
      </w:r>
    </w:p>
    <w:p>
      <w:pPr>
        <w:pStyle w:val="ListBullet"/>
      </w:pPr>
      <w:r>
        <w:t>F-02: the hardcoded localStorage 'corpIdUser' gate in main.ts has been removed (resolved).</w:t>
      </w:r>
    </w:p>
    <w:p>
      <w:pPr>
        <w:pStyle w:val="ListBullet"/>
      </w:pPr>
      <w:r>
        <w:t>F-02: the browser-storage surface grew - refreshToken, corps, iamUserProfile, idOneUserProfile and selectedCorpUserId are now also persisted via useSessionStorage in userStore.ts.</w:t>
      </w:r>
    </w:p>
    <w:p>
      <w:pPr>
        <w:pStyle w:val="ListBullet"/>
      </w:pPr>
      <w:r>
        <w:t>F-02: payment-process.vue now stores two additional values (paymentMethod, fpsRegId) in session storage.</w:t>
      </w:r>
    </w:p>
    <w:p>
      <w:pPr>
        <w:pStyle w:val="ListBullet"/>
      </w:pPr>
      <w:r>
        <w:t>All cited line numbers were refreshed to the current checkout.</w:t>
      </w:r>
    </w:p>
    <w:p>
      <w:pPr>
        <w:pStyle w:val="ListBullet"/>
      </w:pPr>
      <w:r>
        <w:t>File inventory updated: 255 .vue / 254 .ts files (was 189 / 173); largest-files ranking updated.</w:t>
      </w:r>
    </w:p>
    <w:p>
      <w:pPr>
        <w:pStyle w:val="Heading1"/>
      </w:pPr>
      <w:r>
        <w:t>Limitations</w:t>
      </w:r>
    </w:p>
    <w:p>
      <w:r>
        <w:t>This was a first-pass static review. It did not run the service, verify deployed ingress controls, exercise endpoints, review every business rule, or perform dependency/CVE analysis. External gateway controls may reduce exposure but do not remove risks from committed secrets, disabled validation, or debug code in deployable projects.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