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Relatórios</w:t>
      </w:r>
      <w:r>
        <w:t xml:space="preserve"> </w:t>
      </w:r>
      <w:r>
        <w:t xml:space="preserve">sobre</w:t>
      </w:r>
      <w:r>
        <w:t xml:space="preserve"> </w:t>
      </w:r>
      <w:r>
        <w:t xml:space="preserve">Barragens</w:t>
      </w:r>
      <w:r>
        <w:t xml:space="preserve"> </w:t>
      </w:r>
      <w:r>
        <w:t xml:space="preserve">em</w:t>
      </w:r>
      <w:r>
        <w:t xml:space="preserve"> </w:t>
      </w:r>
      <w:r>
        <w:t xml:space="preserve">MG</w:t>
      </w:r>
    </w:p>
    <w:p>
      <w:pPr>
        <w:pStyle w:val="Author"/>
      </w:pPr>
      <w:r>
        <w:t xml:space="preserve">Curso-R</w:t>
      </w:r>
    </w:p>
    <w:p>
      <w:pPr>
        <w:pStyle w:val="Date"/>
      </w:pP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introducao"/>
    <w:p>
      <w:pPr>
        <w:pStyle w:val="Heading 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 Paragraph"/>
      </w:pPr>
      <w:r>
        <w:t xml:space="preserve">A base sigbm possui 912 barragens cadastradas no Brasil.</w:t>
      </w:r>
      <w:r>
        <w:t xml:space="preserve"> </w:t>
      </w:r>
      <w:r>
        <w:t xml:space="preserve">No estado de MG, existem 350 barragens cadastradas.</w:t>
      </w:r>
      <w:r>
        <w:t xml:space="preserve"> </w:t>
      </w:r>
      <w:r>
        <w:t xml:space="preserve">Este relatório foi desenvolvido utilizando o R</w:t>
      </w:r>
      <w:r>
        <w:t xml:space="preserve"> </w:t>
      </w:r>
      <w:r>
        <w:t xml:space="preserve">(R CORE TEAM, 2021)</w:t>
      </w:r>
      <w:r>
        <w:t xml:space="preserve">. Os pacotes usados foram: ggplot2</w:t>
      </w:r>
      <w:r>
        <w:t xml:space="preserve"> </w:t>
      </w:r>
      <w:r>
        <w:t xml:space="preserve">(WICKHAM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….. usando o tidyverse</w:t>
      </w:r>
      <w:r>
        <w:t xml:space="preserve"> </w:t>
      </w:r>
      <w:r>
        <w:t xml:space="preserve">(WICKHAM, 2014)</w:t>
      </w:r>
    </w:p>
    <w:p>
      <w:pPr>
        <w:pStyle w:val="Body Text"/>
      </w:pPr>
      <w:r>
        <w:t xml:space="preserve">Na figura</w:t>
      </w:r>
      <w:r>
        <w:t xml:space="preserve"> </w:t>
      </w:r>
      <w:r>
        <w:t xml:space="preserve">1.1</w:t>
      </w:r>
      <w:r>
        <w:t xml:space="preserve">, vemos que …..</w:t>
      </w:r>
    </w:p>
    <w:p>
      <w:pPr>
        <w:pStyle w:val="CaptionedFigure"/>
      </w:pPr>
      <w:r>
        <w:drawing>
          <wp:inline>
            <wp:extent cx="5600700" cy="4480560"/>
            <wp:effectExtent b="0" l="0" r="0" t="0"/>
            <wp:docPr descr="Figure 1.1: Gráfico de DPA" title="" id="21" name="Picture"/>
            <a:graphic>
              <a:graphicData uri="http://schemas.openxmlformats.org/drawingml/2006/picture">
                <pic:pic>
                  <pic:nvPicPr>
                    <pic:cNvPr descr="relatorio-parte-2_files/figure-docx/grafico-dp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Gráfico de DPA</w:t>
      </w:r>
    </w:p>
    <w:p>
      <w:pPr>
        <w:numPr>
          <w:ilvl w:val="0"/>
          <w:numId w:val="1001"/>
        </w:numPr>
        <w:pStyle w:val="Compact"/>
      </w:pPr>
      <w:r>
        <w:t xml:space="preserve">Quantidade de barragens em MG, por minério principal: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Minério principal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Quantidade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Minério de Ferro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 Arenosa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Fosfato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Minério de Ouro Primário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Xisto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Calcário Dolomítico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Cascalho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23"/>
    <w:bookmarkStart w:id="24" w:name="exemplo-de-equação"/>
    <w:p>
      <w:pPr>
        <w:pStyle w:val="Heading 1"/>
      </w:pPr>
      <w:r>
        <w:rPr>
          <w:rStyle w:val="SectionNumber"/>
        </w:rPr>
        <w:t xml:space="preserve">2</w:t>
      </w:r>
      <w:r>
        <w:tab/>
      </w:r>
      <w:r>
        <w:t xml:space="preserve">Exemplo de equação</w:t>
      </w:r>
    </w:p>
    <w:p>
      <w:pPr>
        <w:pStyle w:val="First 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 Paragraph"/>
      </w:pPr>
      <w:r>
        <w:t xml:space="preserve">Uma referencia cruzada a equação</w:t>
      </w:r>
      <w:r>
        <w:t xml:space="preserve"> </w:t>
      </w:r>
      <w:r>
        <w:t xml:space="preserve">$\eqref{eq:special}$</w:t>
      </w:r>
      <w:r>
        <w:t xml:space="preserve">.</w:t>
      </w:r>
    </w:p>
    <w:bookmarkEnd w:id="24"/>
    <w:bookmarkStart w:id="39" w:name="como-adicionar-referencias"/>
    <w:p>
      <w:pPr>
        <w:pStyle w:val="Heading 1"/>
      </w:pPr>
      <w:r>
        <w:rPr>
          <w:rStyle w:val="SectionNumber"/>
        </w:rPr>
        <w:t xml:space="preserve">3</w:t>
      </w:r>
      <w:r>
        <w:tab/>
      </w:r>
      <w:r>
        <w:t xml:space="preserve">Como adicionar Referencias?</w:t>
      </w:r>
    </w:p>
    <w:p>
      <w:pPr>
        <w:pStyle w:val="First Paragraph"/>
      </w:pPr>
      <w:r>
        <w:t xml:space="preserve">(SILVA; SILVA, 2020)</w:t>
      </w:r>
    </w:p>
    <w:p>
      <w:pPr>
        <w:pStyle w:val="Body Text"/>
      </w:pPr>
      <w:r>
        <w:t xml:space="preserve">WICKHAM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(2019)</w:t>
      </w:r>
    </w:p>
    <w:p>
      <w:pPr>
        <w:pStyle w:val="Body Text"/>
      </w:pPr>
      <w:r>
        <w:t xml:space="preserve">(WICKHAM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2019; WICKHAM, 2021)</w:t>
      </w:r>
    </w:p>
    <w:p>
      <w:pPr>
        <w:pStyle w:val="Body Text"/>
      </w:pPr>
      <w:r>
        <w:t xml:space="preserve">Em -</w:t>
      </w:r>
      <w:r>
        <w:t xml:space="preserve">WICKHAM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(2019)</w:t>
      </w:r>
      <w:r>
        <w:t xml:space="preserve">, Hadley e colaboradores…</w:t>
      </w:r>
      <w:r>
        <w:br/>
      </w:r>
    </w:p>
    <w:p>
      <w:pPr>
        <w:pStyle w:val="Body Text"/>
      </w:pPr>
      <w:r>
        <w:t xml:space="preserve">Segundo Hadley Wickham e colaboradores</w:t>
      </w:r>
      <w:r>
        <w:t xml:space="preserve"> </w:t>
      </w:r>
      <w:r>
        <w:t xml:space="preserve">(2019)</w:t>
      </w:r>
    </w:p>
    <w:p>
      <w:pPr>
        <w:pStyle w:val="Body Text"/>
      </w:pPr>
      <w:r>
        <w:t xml:space="preserve">No capítulo</w:t>
      </w:r>
      <w:r>
        <w:t xml:space="preserve"> </w:t>
      </w:r>
      <w:r>
        <w:t xml:space="preserve">1</w:t>
      </w:r>
      <w:r>
        <w:t xml:space="preserve">, vimos que ….</w:t>
      </w:r>
    </w:p>
    <w:bookmarkStart w:id="38" w:name="referências"/>
    <w:p>
      <w:pPr>
        <w:pStyle w:val="Heading2"/>
      </w:pPr>
      <w:r>
        <w:t xml:space="preserve">Referências</w:t>
      </w:r>
    </w:p>
    <w:bookmarkStart w:id="37" w:name="refs"/>
    <w:bookmarkStart w:id="26" w:name="ref-R-core"/>
    <w:p>
      <w:pPr>
        <w:pStyle w:val="Bibliography"/>
      </w:pPr>
      <w:r>
        <w:t xml:space="preserve">R CORE TEAM.</w:t>
      </w:r>
      <w:r>
        <w:t xml:space="preserve"> </w:t>
      </w:r>
      <w:hyperlink r:id="rId25">
        <w:r>
          <w:rPr>
            <w:rStyle w:val="Hyperlink"/>
            <w:bCs/>
            <w:b/>
          </w:rPr>
          <w:t xml:space="preserve">R: A Language and Environment for Statistical Computing</w:t>
        </w:r>
      </w:hyperlink>
      <w:r>
        <w:t xml:space="preserve">. Vienna, Austria: R Foundation for Statistical Computing, 2021.</w:t>
      </w:r>
    </w:p>
    <w:bookmarkEnd w:id="26"/>
    <w:bookmarkStart w:id="28" w:name="ref-segbarragem2020"/>
    <w:p>
      <w:pPr>
        <w:pStyle w:val="Bibliography"/>
      </w:pPr>
      <w:r>
        <w:t xml:space="preserve">SILVA, E. L. e.; SILVA, M. A. da. Segurança de barragens e os riscos potenciais à saúde pública.</w:t>
      </w:r>
      <w:r>
        <w:t xml:space="preserve"> </w:t>
      </w:r>
      <w:r>
        <w:rPr>
          <w:bCs/>
          <w:b/>
        </w:rPr>
        <w:t xml:space="preserve">Saúde em Debate</w:t>
      </w:r>
      <w:r>
        <w:t xml:space="preserve">, v. 44, n. spe2, p. 242–261, jul. 2020. Disponível em: &lt;</w:t>
      </w:r>
      <w:hyperlink r:id="rId27">
        <w:r>
          <w:rPr>
            <w:rStyle w:val="Hyperlink"/>
          </w:rPr>
          <w:t xml:space="preserve">http://dx.doi.org/10.1590/0103-11042020E217</w:t>
        </w:r>
      </w:hyperlink>
      <w:r>
        <w:t xml:space="preserve">&gt;.</w:t>
      </w:r>
    </w:p>
    <w:bookmarkEnd w:id="28"/>
    <w:bookmarkStart w:id="30" w:name="ref-wickhamTidyData2014"/>
    <w:p>
      <w:pPr>
        <w:pStyle w:val="Bibliography"/>
      </w:pPr>
      <w:r>
        <w:t xml:space="preserve">WICKHAM, H.</w:t>
      </w:r>
      <w:r>
        <w:t xml:space="preserve"> </w:t>
      </w:r>
      <w:hyperlink r:id="rId29">
        <w:r>
          <w:rPr>
            <w:rStyle w:val="Hyperlink"/>
          </w:rPr>
          <w:t xml:space="preserve">Tidy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Journal of Statistical Software</w:t>
      </w:r>
      <w:r>
        <w:t xml:space="preserve">, v. 59, n. 1, p. 1–23, set. 2014.</w:t>
      </w:r>
    </w:p>
    <w:bookmarkEnd w:id="30"/>
    <w:bookmarkStart w:id="32" w:name="ref-R-tidyverse"/>
    <w:p>
      <w:pPr>
        <w:pStyle w:val="Bibliography"/>
      </w:pPr>
      <w:r>
        <w:t xml:space="preserve">WICKHAM, H.</w:t>
      </w:r>
      <w:r>
        <w:t xml:space="preserve"> </w:t>
      </w:r>
      <w:hyperlink r:id="rId31">
        <w:r>
          <w:rPr>
            <w:rStyle w:val="Hyperlink"/>
            <w:bCs/>
            <w:b/>
          </w:rPr>
          <w:t xml:space="preserve">tidyverse: Easily Install and Load the Tidyverse</w:t>
        </w:r>
      </w:hyperlink>
      <w:r>
        <w:t xml:space="preserve">. [s.l: s.n.]</w:t>
      </w:r>
    </w:p>
    <w:bookmarkEnd w:id="32"/>
    <w:bookmarkStart w:id="34" w:name="ref-tidyverse2019"/>
    <w:p>
      <w:pPr>
        <w:pStyle w:val="Bibliography"/>
      </w:pPr>
      <w:r>
        <w:t xml:space="preserve">WICKHAM, H.; AVERICK, M.; BRYAN, J.; CHANG, W.; MCGOWAN, L. D.; FRANÇOIS, R.; GROLEMUND, G.; HAYES, A.; HENRY, L.; HESTER, J.; KUHN, M.; PEDERSEN, T. L.; MILLER, E.; BACHE, S. M.; MÜLLER, K.; OOMS, J.; ROBINSON, D.; SEIDEL, D. P.; SPINU, V.; TAKAHASHI, K.; VAUGHAN, D.; WILKE, C.; WOO, K.; YUTANI, H.</w:t>
      </w:r>
      <w:r>
        <w:t xml:space="preserve"> </w:t>
      </w:r>
      <w:hyperlink r:id="rId33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Journal of Open Source Software</w:t>
      </w:r>
      <w:r>
        <w:t xml:space="preserve">, v. 4, n. 43, p. 1686, 2019.</w:t>
      </w:r>
    </w:p>
    <w:bookmarkEnd w:id="34"/>
    <w:bookmarkStart w:id="36" w:name="ref-R-ggplot2"/>
    <w:p>
      <w:pPr>
        <w:pStyle w:val="Bibliography"/>
      </w:pPr>
      <w:r>
        <w:t xml:space="preserve">WICKHAM, H.; CHANG, W.; HENRY, L.; PEDERSEN, T. L.; TAKAHASHI, K.; WILKE, C.; WOO, K.; YUTANI, H.; DUNNINGTON, D.</w:t>
      </w:r>
      <w:r>
        <w:t xml:space="preserve"> </w:t>
      </w:r>
      <w:hyperlink r:id="rId35">
        <w:r>
          <w:rPr>
            <w:rStyle w:val="Hyperlink"/>
            <w:bCs/>
            <w:b/>
          </w:rPr>
          <w:t xml:space="preserve">ggplot2: Create Elegant Data Visualisations Using the Grammar of Graphics</w:t>
        </w:r>
      </w:hyperlink>
      <w:r>
        <w:t xml:space="preserve">. [s.l: s.n.]</w:t>
      </w:r>
    </w:p>
    <w:bookmarkEnd w:id="36"/>
    <w:bookmarkEnd w:id="37"/>
    <w:bookmarkEnd w:id="38"/>
    <w:bookmarkEnd w:id="39"/>
    <w:sectPr>
      <w:headerReference r:id="rId9" w:type="default"/>
      <w:footerReference r:id="rId10" w:type="default"/>
      <w:pgSz w:h="15840" w:orient="portrait" w:w="12240"/>
      <w:pgMar w:bottom="1417" w:footer="0" w:header="0" w:left="1701" w:right="1701" w:top="1417"/>
      <w:bidi w:val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defaultTabStop w:val="720"/>
  <w:autoHyphenation w:val="0"/>
  <w:evenAndOddHeaders w:val="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color="auto" w:val="none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h="0" w:hRule="exact" w:hSpace="0" w:vAnchor="margin" w:vSpace="0" w:w="0" w:xAlign="left" w:y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color="auto" w:fill="auto" w:val="clear"/>
        <w:suppressAutoHyphens w:val="0"/>
        <w:spacing w:after="0" w:afterAutospacing="0" w:before="0" w:beforeAutospacing="0" w:line="240" w:lineRule="auto"/>
        <w:ind w:firstLine="0" w:left="0" w:right="0"/>
        <w:jc w:val="left"/>
        <w:outlineLvl w:val="9"/>
      </w:pPr>
    </w:pPrDefault>
  </w:docDefaults>
  <w:style w:default="1" w:styleId="Normal" w:type="paragraph">
    <w:name w:val="Normal"/>
    <w:next w:val="Normal"/>
    <w:pPr/>
    <w:rPr>
      <w:sz w:val="24"/>
      <w:szCs w:val="24"/>
      <w:lang w:bidi="ar-SA" w:eastAsia="en-US" w:val="en-US"/>
    </w:rPr>
  </w:style>
  <w:style w:default="1" w:styleId="Default Paragraph Font" w:type="character">
    <w:name w:val="Default Paragraph Font"/>
    <w:next w:val="Default Paragraph Font"/>
  </w:style>
  <w:style w:styleId="Hyperlink" w:type="character">
    <w:name w:val="Hyperlink"/>
    <w:rPr>
      <w:u w:val="single"/>
    </w:rPr>
  </w:style>
  <w:style w:default="1" w:styleId="Table Normal" w:type="table">
    <w:name w:val="Table Normal"/>
    <w:next w:val="Table Normal"/>
    <w:pPr/>
    <w:tblPr>
      <w:tblInd w:type="dxa" w:w="0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default="1" w:styleId="No List" w:type="numbering">
    <w:name w:val="No List"/>
    <w:next w:val="No List"/>
    <w:pPr/>
  </w:style>
  <w:style w:styleId="Cabeçalho e Rodapé" w:type="paragraph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pos="9020" w:val="right"/>
      </w:tabs>
      <w:suppressAutoHyphens w:val="0"/>
      <w:bidi w:val="0"/>
      <w:spacing w:after="0" w:before="0" w:line="240" w:lineRule="auto"/>
      <w:ind w:firstLine="0" w:left="0" w:right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styleId="Title" w:type="paragraph">
    <w:name w:val="Title"/>
    <w:next w:val="Body Text"/>
    <w:pPr>
      <w:keepNext w:val="1"/>
      <w:keepLines w:val="1"/>
      <w:pageBreakBefore w:val="0"/>
      <w:widowControl w:val="0"/>
      <w:shd w:color="auto" w:fill="auto" w:val="clear"/>
      <w:suppressAutoHyphens w:val="0"/>
      <w:bidi w:val="0"/>
      <w:spacing w:after="240" w:before="48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Body Text" w:type="paragraph">
    <w:name w:val="Body Text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360" w:lineRule="auto"/>
      <w:ind w:firstLine="0" w:left="0" w:right="0"/>
      <w:jc w:val="both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Subtitle" w:type="paragraph">
    <w:name w:val="Subtitle"/>
    <w:next w:val="Body Text"/>
    <w:pPr>
      <w:keepNext w:val="1"/>
      <w:keepLines w:val="1"/>
      <w:pageBreakBefore w:val="0"/>
      <w:widowControl w:val="0"/>
      <w:shd w:color="auto" w:fill="auto" w:val="clear"/>
      <w:suppressAutoHyphens w:val="0"/>
      <w:bidi w:val="0"/>
      <w:spacing w:after="240" w:before="24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Author" w:type="paragraph">
    <w:name w:val="Author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00" w:before="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Date" w:type="paragraph">
    <w:name w:val="Date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00" w:before="0" w:line="360" w:lineRule="auto"/>
      <w:ind w:firstLine="0" w:left="0" w:right="0"/>
      <w:jc w:val="center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Heading 1" w:type="paragraph">
    <w:name w:val="Heading 1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480" w:line="360" w:lineRule="auto"/>
      <w:ind w:firstLine="0" w:left="0" w:right="0"/>
      <w:jc w:val="both"/>
      <w:outlineLvl w:val="0"/>
    </w:pPr>
    <w:rPr>
      <w:rFonts w:ascii="Times New Roman" w:cs="Times New Roman" w:eastAsia="Times New Roman" w:hAnsi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First Paragraph" w:type="paragraph">
    <w:name w:val="First Paragraph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360" w:lineRule="auto"/>
      <w:ind w:firstLine="0" w:left="0" w:right="0"/>
      <w:jc w:val="both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7" Target="http://dx.doi.org/10.1590/0103-11042020E217" TargetMode="External" /><Relationship Type="http://schemas.openxmlformats.org/officeDocument/2006/relationships/hyperlink" Id="rId35" Target="https://CRAN.R-project.org/package=ggplot2" TargetMode="External" /><Relationship Type="http://schemas.openxmlformats.org/officeDocument/2006/relationships/hyperlink" Id="rId31" Target="https://CRAN.R-project.org/package=tidyverse" TargetMode="External" /><Relationship Type="http://schemas.openxmlformats.org/officeDocument/2006/relationships/hyperlink" Id="rId29" Target="https://doi.org/10.18637/jss.v059.i10" TargetMode="External" /><Relationship Type="http://schemas.openxmlformats.org/officeDocument/2006/relationships/hyperlink" Id="rId33" Target="https://doi.org/10.21105/joss.01686" TargetMode="External" /><Relationship Type="http://schemas.openxmlformats.org/officeDocument/2006/relationships/hyperlink" Id="rId25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dx.doi.org/10.1590/0103-11042020E217" TargetMode="External" /><Relationship Type="http://schemas.openxmlformats.org/officeDocument/2006/relationships/hyperlink" Id="rId35" Target="https://CRAN.R-project.org/package=ggplot2" TargetMode="External" /><Relationship Type="http://schemas.openxmlformats.org/officeDocument/2006/relationships/hyperlink" Id="rId31" Target="https://CRAN.R-project.org/package=tidyverse" TargetMode="External" /><Relationship Type="http://schemas.openxmlformats.org/officeDocument/2006/relationships/hyperlink" Id="rId29" Target="https://doi.org/10.18637/jss.v059.i10" TargetMode="External" /><Relationship Type="http://schemas.openxmlformats.org/officeDocument/2006/relationships/hyperlink" Id="rId33" Target="https://doi.org/10.21105/joss.01686" TargetMode="External" /><Relationship Type="http://schemas.openxmlformats.org/officeDocument/2006/relationships/hyperlink" Id="rId25" Target="https://www.R-project.org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Relatórios sobre Barragens em MG</dc:title>
  <dc:creator>Curso-R</dc:creator>
  <cp:keywords/>
  <dcterms:created xsi:type="dcterms:W3CDTF">2022-06-21T19:15:19Z</dcterms:created>
  <dcterms:modified xsi:type="dcterms:W3CDTF">2022-06-21T19:15:19Z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template/abnt.csl</vt:lpwstr>
  </property>
  <property fmtid="{D5CDD505-2E9C-101B-9397-08002B2CF9AE}" pid="4" name="date">
    <vt:lpwstr>Junho de 2022</vt:lpwstr>
  </property>
  <property fmtid="{D5CDD505-2E9C-101B-9397-08002B2CF9AE}" pid="5" name="output">
    <vt:lpwstr/>
  </property>
  <property fmtid="{D5CDD505-2E9C-101B-9397-08002B2CF9AE}" pid="6" name="params">
    <vt:lpwstr/>
  </property>
</Properties>
</file>