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4B" w:rsidRPr="00B814CE" w:rsidRDefault="00C8734B" w:rsidP="00466386">
      <w:pPr>
        <w:spacing w:after="0" w:line="360" w:lineRule="auto"/>
        <w:jc w:val="both"/>
        <w:rPr>
          <w:rFonts w:ascii="Arial" w:hAnsi="Arial" w:cs="Arial"/>
          <w:b/>
          <w:sz w:val="24"/>
          <w:szCs w:val="24"/>
          <w:u w:val="single"/>
          <w:lang w:val="es-MX"/>
        </w:rPr>
      </w:pPr>
    </w:p>
    <w:p w:rsidR="00400DD9" w:rsidRPr="00B814CE" w:rsidRDefault="00400DD9" w:rsidP="0046638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INTRODUCCIÓN.</w:t>
      </w:r>
    </w:p>
    <w:p w:rsidR="00400DD9" w:rsidRPr="00B814CE" w:rsidRDefault="00400DD9" w:rsidP="00466386">
      <w:pPr>
        <w:spacing w:after="0" w:line="360" w:lineRule="auto"/>
        <w:jc w:val="both"/>
        <w:rPr>
          <w:rFonts w:ascii="Arial" w:hAnsi="Arial" w:cs="Arial"/>
          <w:b/>
          <w:sz w:val="24"/>
          <w:szCs w:val="24"/>
          <w:u w:val="single"/>
          <w:lang w:val="es-MX"/>
        </w:rPr>
      </w:pP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Los hongos filamentosos constituyen una parte importante del ecosistema y ayudan en gran medida a mantener el balance de la biósfera. Los hongos filamentosos tienen una morfología característica debido al crecimiento de sus hifas, las cuales se desarrollan a partir de puntos de germinación y se ramifican hasta formar diferen</w:t>
      </w:r>
      <w:r w:rsidR="0030541A">
        <w:rPr>
          <w:rFonts w:ascii="Arial" w:hAnsi="Arial" w:cs="Arial"/>
          <w:sz w:val="24"/>
          <w:szCs w:val="24"/>
          <w:lang w:val="es-MX"/>
        </w:rPr>
        <w:t xml:space="preserve">tes estructuras macroscópicas </w:t>
      </w:r>
      <w:r w:rsidR="0030541A">
        <w:rPr>
          <w:rFonts w:ascii="Arial" w:hAnsi="Arial" w:cs="Arial"/>
          <w:sz w:val="24"/>
          <w:szCs w:val="24"/>
          <w:lang w:val="es-MX"/>
        </w:rPr>
        <w:fldChar w:fldCharType="begin" w:fldLock="1"/>
      </w:r>
      <w:r w:rsidR="0030541A">
        <w:rPr>
          <w:rFonts w:ascii="Arial" w:hAnsi="Arial" w:cs="Arial"/>
          <w:sz w:val="24"/>
          <w:szCs w:val="24"/>
          <w:lang w:val="es-MX"/>
        </w:rPr>
        <w:instrText>ADDIN CSL_CITATION {"citationItems":[{"id":"ITEM-1","itemData":{"DOI":"10.1007/s00253-005-0213-5","ISSN":"0175-7598","author":[{"dropping-particle":"","family":"Grimm","given":"L. H.","non-dropping-particle":"","parse-names":false,"suffix":""},{"dropping-particle":"","family":"Kelly","given":"S.","non-dropping-particle":"","parse-names":false,"suffix":""},{"dropping-particle":"","family":"Krull","given":"R.","non-dropping-particle":"","parse-names":false,"suffix":""},{"dropping-particle":"","family":"Hempel","given":"D. C.","non-dropping-particle":"","parse-names":false,"suffix":""}],"container-title":"Applied Microbiology and Biotechnology","id":"ITEM-1","issue":"4","issued":{"date-parts":[["2005","12","17"]]},"page":"375-384","publisher":"Springer-Verlag","title":"Morphology and productivity of filamentous fungi","type":"article-journal","volume":"69"},"uris":["http://www.mendeley.com/documents/?uuid=fefe5fcd-8a31-3429-8526-5e7cafd5db80"]}],"mendeley":{"formattedCitation":"(Grimm et al. 2005)","plainTextFormattedCitation":"(Grimm et al. 2005)","previouslyFormattedCitation":"(Grimm et al. 2005)"},"properties":{"noteIndex":0},"schema":"https://github.com/citation-style-language/schema/raw/master/csl-citation.json"}</w:instrText>
      </w:r>
      <w:r w:rsidR="0030541A">
        <w:rPr>
          <w:rFonts w:ascii="Arial" w:hAnsi="Arial" w:cs="Arial"/>
          <w:sz w:val="24"/>
          <w:szCs w:val="24"/>
          <w:lang w:val="es-MX"/>
        </w:rPr>
        <w:fldChar w:fldCharType="separate"/>
      </w:r>
      <w:r w:rsidR="0030541A" w:rsidRPr="0030541A">
        <w:rPr>
          <w:rFonts w:ascii="Arial" w:hAnsi="Arial" w:cs="Arial"/>
          <w:noProof/>
          <w:sz w:val="24"/>
          <w:szCs w:val="24"/>
          <w:lang w:val="es-MX"/>
        </w:rPr>
        <w:t>(Grimm et al. 2005)</w:t>
      </w:r>
      <w:r w:rsidR="0030541A">
        <w:rPr>
          <w:rFonts w:ascii="Arial" w:hAnsi="Arial" w:cs="Arial"/>
          <w:sz w:val="24"/>
          <w:szCs w:val="24"/>
          <w:lang w:val="es-MX"/>
        </w:rPr>
        <w:fldChar w:fldCharType="end"/>
      </w:r>
      <w:r w:rsidRPr="00B814CE">
        <w:rPr>
          <w:rFonts w:ascii="Arial" w:hAnsi="Arial" w:cs="Arial"/>
          <w:sz w:val="24"/>
          <w:szCs w:val="24"/>
          <w:lang w:val="es-MX"/>
        </w:rPr>
        <w:t>. Este grupo de hongos pertenece a la subdivisión “</w:t>
      </w:r>
      <w:proofErr w:type="spellStart"/>
      <w:r w:rsidRPr="00B814CE">
        <w:rPr>
          <w:rFonts w:ascii="Arial" w:hAnsi="Arial" w:cs="Arial"/>
          <w:sz w:val="24"/>
          <w:szCs w:val="24"/>
          <w:lang w:val="es-MX"/>
        </w:rPr>
        <w:t>Pezizomycota</w:t>
      </w:r>
      <w:proofErr w:type="spellEnd"/>
      <w:r w:rsidRPr="00B814CE">
        <w:rPr>
          <w:rFonts w:ascii="Arial" w:hAnsi="Arial" w:cs="Arial"/>
          <w:sz w:val="24"/>
          <w:szCs w:val="24"/>
          <w:lang w:val="es-MX"/>
        </w:rPr>
        <w:t>”, la cual se encuentra dentr</w:t>
      </w:r>
      <w:r w:rsidR="00203BA0">
        <w:rPr>
          <w:rFonts w:ascii="Arial" w:hAnsi="Arial" w:cs="Arial"/>
          <w:sz w:val="24"/>
          <w:szCs w:val="24"/>
          <w:lang w:val="es-MX"/>
        </w:rPr>
        <w:t>o de la división “</w:t>
      </w:r>
      <w:proofErr w:type="spellStart"/>
      <w:r w:rsidR="00203BA0">
        <w:rPr>
          <w:rFonts w:ascii="Arial" w:hAnsi="Arial" w:cs="Arial"/>
          <w:sz w:val="24"/>
          <w:szCs w:val="24"/>
          <w:lang w:val="es-MX"/>
        </w:rPr>
        <w:t>Ascomycota</w:t>
      </w:r>
      <w:proofErr w:type="spellEnd"/>
      <w:r w:rsidR="00203BA0">
        <w:rPr>
          <w:rFonts w:ascii="Arial" w:hAnsi="Arial" w:cs="Arial"/>
          <w:sz w:val="24"/>
          <w:szCs w:val="24"/>
          <w:lang w:val="es-MX"/>
        </w:rPr>
        <w:t xml:space="preserve">” </w:t>
      </w:r>
      <w:r w:rsidR="00203BA0">
        <w:rPr>
          <w:rFonts w:ascii="Arial" w:hAnsi="Arial" w:cs="Arial"/>
          <w:sz w:val="24"/>
          <w:szCs w:val="24"/>
          <w:lang w:val="es-MX"/>
        </w:rPr>
        <w:fldChar w:fldCharType="begin" w:fldLock="1"/>
      </w:r>
      <w:r w:rsidR="0030541A">
        <w:rPr>
          <w:rFonts w:ascii="Arial" w:hAnsi="Arial" w:cs="Arial"/>
          <w:sz w:val="24"/>
          <w:szCs w:val="24"/>
          <w:lang w:val="es-MX"/>
        </w:rPr>
        <w:instrText>ADDIN CSL_CITATION {"citationItems":[{"id":"ITEM-1","itemData":{"DOI":"10.1016/j.mycres.2007.03.004","ISSN":"09537562","PMID":"17572334","abstract":"A comprehensive phylogenetic classification of the kingdom Fungi is proposed, with reference to recent molecular phylogenetic analyses, and with input from diverse members of the fungal taxonomic community. The classification includes 195 taxa, down to the level of order, of which 16 are described or validated here: Dikarya subkingdom nov.; Chytridiomycota, Neocallimastigomycota phyla nov.; Monoblepharidomycetes, Neocallimastigomycetes class. nov.; Eurotiomycetidae, Lecanoromycetidae, Mycocaliciomycetidae subclass. nov.; Acarosporales, Corticiales, Baeomycetales, Candelariales, Gloeophyllales, Melanosporales, Trechisporales, Umbilicariales ords. nov. The clade containing Ascomycota and Basidiomycota is classified as subkingdom Dikarya, reflecting the putative synapomorphy of dikaryotic hyphae. The most dramatic shifts in the classification relative to previous works concern the groups that have traditionally been included in the Chytridiomycota and Zygomycota. The Chytridiomycota is retained in a restricted sense, with Blastocladiomycota and Neocallimastigomycota representing segregate phyla of flagellated Fungi. Taxa traditionally placed in Zygomycota are distributed among Glomeromycota and several subphyla incertae sedis, including Mucoromycotina, Entomophthoromycotina, Kickxellomycotina, and Zoopagomycotina. Microsporidia are included in the Fungi, but no further subdivision of the group is proposed. Several genera of 'basal' Fungi of uncertain position are not placed in any higher taxa, including Basidiobolus, Caulochytrium, Olpidium, and Rozella.","author":[{"dropping-particle":"","family":"Hibbett","given":"David S.","non-dropping-particle":"","parse-names":false,"suffix":""},{"dropping-particle":"","family":"Binder","given":"Manfred","non-dropping-particle":"","parse-names":false,"suffix":""},{"dropping-particle":"","family":"Bischoff","given":"Joseph F.","non-dropping-particle":"","parse-names":false,"suffix":""},{"dropping-particle":"","family":"Blackwell","given":"Meredith","non-dropping-particle":"","parse-names":false,"suffix":""},{"dropping-particle":"","family":"Cannon","given":"Paul F.","non-dropping-particle":"","parse-names":false,"suffix":""},{"dropping-particle":"","family":"Eriksson","given":"Ove E.","non-dropping-particle":"","parse-names":false,"suffix":""},{"dropping-particle":"","family":"Huhndorf","given":"Sabine","non-dropping-particle":"","parse-names":false,"suffix":""},{"dropping-particle":"","family":"James","given":"Timothy","non-dropping-particle":"","parse-names":false,"suffix":""},{"dropping-particle":"","family":"Kirk","given":"Paul M.","non-dropping-particle":"","parse-names":false,"suffix":""},{"dropping-particle":"","family":"Lücking","given":"Robert","non-dropping-particle":"","parse-names":false,"suffix":""},{"dropping-particle":"","family":"Thorsten Lumbsch","given":"H.","non-dropping-particle":"","parse-names":false,"suffix":""},{"dropping-particle":"","family":"Lutzoni","given":"François","non-dropping-particle":"","parse-names":false,"suffix":""},{"dropping-particle":"","family":"Matheny","given":"P. Brandon","non-dropping-particle":"","parse-names":false,"suffix":""},{"dropping-particle":"","family":"McLaughlin","given":"David J.","non-dropping-particle":"","parse-names":false,"suffix":""},{"dropping-particle":"","family":"Powell","given":"Martha J.","non-dropping-particle":"","parse-names":false,"suffix":""},{"dropping-particle":"","family":"Redhead","given":"Scott","non-dropping-particle":"","parse-names":false,"suffix":""},{"dropping-particle":"","family":"Schoch","given":"Conrad L.","non-dropping-particle":"","parse-names":false,"suffix":""},{"dropping-particle":"","family":"Spatafora","given":"Joseph W.","non-dropping-particle":"","parse-names":false,"suffix":""},{"dropping-particle":"","family":"Stalpers","given":"Joost A.","non-dropping-particle":"","parse-names":false,"suffix":""},{"dropping-particle":"","family":"Vilgalys","given":"Rytas","non-dropping-particle":"","parse-names":false,"suffix":""},{"dropping-particle":"","family":"Aime","given":"M. Catherine","non-dropping-particle":"","parse-names":false,"suffix":""},{"dropping-particle":"","family":"Aptroot","given":"André","non-dropping-particle":"","parse-names":false,"suffix":""},{"dropping-particle":"","family":"Bauer","given":"Robert","non-dropping-particle":"","parse-names":false,"suffix":""},{"dropping-particle":"","family":"Begerow","given":"Dominik","non-dropping-particle":"","parse-names":false,"suffix":""},{"dropping-particle":"","family":"Benny","given":"Gerald L.","non-dropping-particle":"","parse-names":false,"suffix":""},{"dropping-particle":"","family":"Castlebury","given":"Lisa A.","non-dropping-particle":"","parse-names":false,"suffix":""},{"dropping-particle":"","family":"Crous","given":"Pedro W.","non-dropping-particle":"","parse-names":false,"suffix":""},{"dropping-particle":"","family":"Dai","given":"Yu-Cheng","non-dropping-particle":"","parse-names":false,"suffix":""},{"dropping-particle":"","family":"Gams","given":"Walter","non-dropping-particle":"","parse-names":false,"suffix":""},{"dropping-particle":"","family":"Geiser","given":"David M.","non-dropping-particle":"","parse-names":false,"suffix":""},{"dropping-particle":"","family":"Griffith","given":"Gareth W.","non-dropping-particle":"","parse-names":false,"suffix":""},{"dropping-particle":"","family":"Gueidan","given":"Cécile","non-dropping-particle":"","parse-names":false,"suffix":""},{"dropping-particle":"","family":"Hawksworth","given":"David L.","non-dropping-particle":"","parse-names":false,"suffix":""},{"dropping-particle":"","family":"Hestmark","given":"Geir","non-dropping-particle":"","parse-names":false,"suffix":""},{"dropping-particle":"","family":"Hosaka","given":"Kentaro","non-dropping-particle":"","parse-names":false,"suffix":""},{"dropping-particle":"","family":"Humber","given":"Richard A.","non-dropping-particle":"","parse-names":false,"suffix":""},{"dropping-particle":"","family":"Hyde","given":"Kevin D.","non-dropping-particle":"","parse-names":false,"suffix":""},{"dropping-particle":"","family":"Ironside","given":"Joseph E.","non-dropping-particle":"","parse-names":false,"suffix":""},{"dropping-particle":"","family":"Kõljalg","given":"Urmas","non-dropping-particle":"","parse-names":false,"suffix":""},{"dropping-particle":"","family":"Kurtzman","given":"Cletus P.","non-dropping-particle":"","parse-names":false,"suffix":""},{"dropping-particle":"","family":"Larsson","given":"Karl-Henrik","non-dropping-particle":"","parse-names":false,"suffix":""},{"dropping-particle":"","family":"Lichtwardt","given":"Robert","non-dropping-particle":"","parse-names":false,"suffix":""},{"dropping-particle":"","family":"Longcore","given":"Joyce","non-dropping-particle":"","parse-names":false,"suffix":""},{"dropping-particle":"","family":"Miądlikowska","given":"Jolanta","non-dropping-particle":"","parse-names":false,"suffix":""},{"dropping-particle":"","family":"Miller","given":"Andrew","non-dropping-particle":"","parse-names":false,"suffix":""},{"dropping-particle":"","family":"Moncalvo","given":"Jean-Marc","non-dropping-particle":"","parse-names":false,"suffix":""},{"dropping-particle":"","family":"Mozley-Standridge","given":"Sharon","non-dropping-particle":"","parse-names":false,"suffix":""},{"dropping-particle":"","family":"Oberwinkler","given":"Franz","non-dropping-particle":"","parse-names":false,"suffix":""},{"dropping-particle":"","family":"Parmasto","given":"Erast","non-dropping-particle":"","parse-names":false,"suffix":""},{"dropping-particle":"","family":"Reeb","given":"Valérie","non-dropping-particle":"","parse-names":false,"suffix":""},{"dropping-particle":"","family":"Rogers","given":"Jack D.","non-dropping-particle":"","parse-names":false,"suffix":""},{"dropping-particle":"","family":"Roux","given":"Claude","non-dropping-particle":"","parse-names":false,"suffix":""},{"dropping-particle":"","family":"Ryvarden","given":"Leif","non-dropping-particle":"","parse-names":false,"suffix":""},{"dropping-particle":"","family":"Sampaio","given":"José Paulo","non-dropping-particle":"","parse-names":false,"suffix":""},{"dropping-particle":"","family":"Schüßler","given":"Arthur","non-dropping-particle":"","parse-names":false,"suffix":""},{"dropping-particle":"","family":"Sugiyama","given":"Junta","non-dropping-particle":"","parse-names":false,"suffix":""},{"dropping-particle":"","family":"Thorn","given":"R. Greg","non-dropping-particle":"","parse-names":false,"suffix":""},{"dropping-particle":"","family":"Tibell","given":"Leif","non-dropping-particle":"","parse-names":false,"suffix":""},{"dropping-particle":"","family":"Untereiner","given":"Wendy A.","non-dropping-particle":"","parse-names":false,"suffix":""},{"dropping-particle":"","family":"Walker","given":"Christopher","non-dropping-particle":"","parse-names":false,"suffix":""},{"dropping-particle":"","family":"Wang","given":"Zheng","non-dropping-particle":"","parse-names":false,"suffix":""},{"dropping-particle":"","family":"Weir","given":"Alex","non-dropping-particle":"","parse-names":false,"suffix":""},{"dropping-particle":"","family":"Weiss","given":"Michael","non-dropping-particle":"","parse-names":false,"suffix":""},{"dropping-particle":"","family":"White","given":"Merlin M.","non-dropping-particle":"","parse-names":false,"suffix":""},{"dropping-particle":"","family":"Winka","given":"Katarina","non-dropping-particle":"","parse-names":false,"suffix":""},{"dropping-particle":"","family":"Yao","given":"Yi-Jian","non-dropping-particle":"","parse-names":false,"suffix":""},{"dropping-particle":"","family":"Zhang","given":"Ning","non-dropping-particle":"","parse-names":false,"suffix":""}],"container-title":"Mycological Research","id":"ITEM-1","issue":"5","issued":{"date-parts":[["2007","5"]]},"page":"509-547","title":"A higher-level phylogenetic classification of the Fungi","type":"article-journal","volume":"111"},"uris":["http://www.mendeley.com/documents/?uuid=c6c30774-54e4-3298-81a1-cb86507e3ba8"]}],"mendeley":{"formattedCitation":"(Hibbett et al. 2007)","plainTextFormattedCitation":"(Hibbett et al. 2007)","previouslyFormattedCitation":"(Hibbett et al. 2007)"},"properties":{"noteIndex":0},"schema":"https://github.com/citation-style-language/schema/raw/master/csl-citation.json"}</w:instrText>
      </w:r>
      <w:r w:rsidR="00203BA0">
        <w:rPr>
          <w:rFonts w:ascii="Arial" w:hAnsi="Arial" w:cs="Arial"/>
          <w:sz w:val="24"/>
          <w:szCs w:val="24"/>
          <w:lang w:val="es-MX"/>
        </w:rPr>
        <w:fldChar w:fldCharType="separate"/>
      </w:r>
      <w:r w:rsidR="00203BA0" w:rsidRPr="00203BA0">
        <w:rPr>
          <w:rFonts w:ascii="Arial" w:hAnsi="Arial" w:cs="Arial"/>
          <w:noProof/>
          <w:sz w:val="24"/>
          <w:szCs w:val="24"/>
          <w:lang w:val="es-MX"/>
        </w:rPr>
        <w:t>(Hibbett et al. 2007)</w:t>
      </w:r>
      <w:r w:rsidR="00203BA0">
        <w:rPr>
          <w:rFonts w:ascii="Arial" w:hAnsi="Arial" w:cs="Arial"/>
          <w:sz w:val="24"/>
          <w:szCs w:val="24"/>
          <w:lang w:val="es-MX"/>
        </w:rPr>
        <w:fldChar w:fldCharType="end"/>
      </w:r>
      <w:r w:rsidRPr="00B814CE">
        <w:rPr>
          <w:rFonts w:ascii="Arial" w:hAnsi="Arial" w:cs="Arial"/>
          <w:sz w:val="24"/>
          <w:szCs w:val="24"/>
          <w:lang w:val="es-MX"/>
        </w:rPr>
        <w:t>, donde se encuentran todos los hongos de morfología filamentosa. Los hongos filamentosos producen esporas como medida de propagación y supervivencia, y se producen por reproducción sexual (ascosporas) o asexual (conidios). Gracias a sus propiedades morfológicas, los hongos filamentosos se desarrollan en diversos tipos de hábitats, aunque el más predominante en la mayor</w:t>
      </w:r>
      <w:r w:rsidR="00E45546">
        <w:rPr>
          <w:rFonts w:ascii="Arial" w:hAnsi="Arial" w:cs="Arial"/>
          <w:sz w:val="24"/>
          <w:szCs w:val="24"/>
          <w:lang w:val="es-MX"/>
        </w:rPr>
        <w:t xml:space="preserve">ía de sus especies es el suelo </w:t>
      </w:r>
      <w:r w:rsidR="00E45546">
        <w:rPr>
          <w:rFonts w:ascii="Arial" w:hAnsi="Arial" w:cs="Arial"/>
          <w:sz w:val="24"/>
          <w:szCs w:val="24"/>
          <w:lang w:val="es-MX"/>
        </w:rPr>
        <w:fldChar w:fldCharType="begin" w:fldLock="1"/>
      </w:r>
      <w:r w:rsidR="00E45546">
        <w:rPr>
          <w:rFonts w:ascii="Arial" w:hAnsi="Arial" w:cs="Arial"/>
          <w:sz w:val="24"/>
          <w:szCs w:val="24"/>
          <w:lang w:val="es-MX"/>
        </w:rPr>
        <w:instrText>ADDIN CSL_CITATION {"citationItems":[{"id":"ITEM-1","itemData":{"DOI":"10.1007/978-1-62703-712-9_1","ISSN":"1940-6029","PMID":"24515356","abstract":"Filamentous fungi are important organisms for basic discovery, industry, and human health. Their natural growth environments are extremely variable, a fact reflected by the numerous methods developed for their isolation and cultivation. Fungal culture in the laboratory is usually carried out on agar plates, shake flasks, and bench top fermenters starting with an inoculum that typically features fungal spores. Here we discuss the most popular methods for the isolation and cultivation of filamentous fungi for various purposes with the emphasis on enzyme production and molecular microbiology.","author":[{"dropping-particle":"","family":"Nevalainen","given":"Helena","non-dropping-particle":"","parse-names":false,"suffix":""},{"dropping-particle":"","family":"Kautto","given":"Liisa","non-dropping-particle":"","parse-names":false,"suffix":""},{"dropping-particle":"","family":"Te’o","given":"Junior","non-dropping-particle":"","parse-names":false,"suffix":""}],"container-title":"Methods in molecular biology (Clifton, N.J.)","id":"ITEM-1","issued":{"date-parts":[["2014"]]},"page":"3-16","title":"Methods for Isolation and Cultivation of Filamentous Fungi","type":"chapter","volume":"1096"},"uris":["http://www.mendeley.com/documents/?uuid=619a7aab-1d04-3a61-b454-2a1b671ae5b9"]}],"mendeley":{"formattedCitation":"(Nevalainen, Kautto, and Te’o 2014)","plainTextFormattedCitation":"(Nevalainen, Kautto, and Te’o 2014)","previouslyFormattedCitation":"(Nevalainen, Kautto, and Te’o 2014)"},"properties":{"noteIndex":0},"schema":"https://github.com/citation-style-language/schema/raw/master/csl-citation.json"}</w:instrText>
      </w:r>
      <w:r w:rsidR="00E45546">
        <w:rPr>
          <w:rFonts w:ascii="Arial" w:hAnsi="Arial" w:cs="Arial"/>
          <w:sz w:val="24"/>
          <w:szCs w:val="24"/>
          <w:lang w:val="es-MX"/>
        </w:rPr>
        <w:fldChar w:fldCharType="separate"/>
      </w:r>
      <w:r w:rsidR="00E45546" w:rsidRPr="00E45546">
        <w:rPr>
          <w:rFonts w:ascii="Arial" w:hAnsi="Arial" w:cs="Arial"/>
          <w:noProof/>
          <w:sz w:val="24"/>
          <w:szCs w:val="24"/>
          <w:lang w:val="es-MX"/>
        </w:rPr>
        <w:t>(Nevalainen, Kautto, and Te’o 2014)</w:t>
      </w:r>
      <w:r w:rsidR="00E45546">
        <w:rPr>
          <w:rFonts w:ascii="Arial" w:hAnsi="Arial" w:cs="Arial"/>
          <w:sz w:val="24"/>
          <w:szCs w:val="24"/>
          <w:lang w:val="es-MX"/>
        </w:rPr>
        <w:fldChar w:fldCharType="end"/>
      </w:r>
      <w:r w:rsidRPr="00B814CE">
        <w:rPr>
          <w:rFonts w:ascii="Arial" w:hAnsi="Arial" w:cs="Arial"/>
          <w:sz w:val="24"/>
          <w:szCs w:val="24"/>
          <w:lang w:val="es-MX"/>
        </w:rPr>
        <w:t xml:space="preserve">. Cabe mencionar que, además de su papel en la naturaleza, también tienen gran importancia en otros sistemas más relacionados al ser humano como lo es la industria alimenticia, farmacéutica, agrícola, e investigación científica. Todos los hongos filamentosos experimentan diversos tipos de estrés que condicionan su comportamiento durante el desarrollo. Todo tipo de estrés altera la homeostasis celular, y en consecuencia, desencadena respuestas que intentan hacer frente a este desequilibrio. Existen varios tipos de estrés tales como estrés osmótico, oxidativo, lumínico y térmico, y están ligados a procesos fisiológicos de los hongos como el crecimiento radial, conidiación, patogenicidad, y producción de metabolitos secundarios como toxinas, pigmentos y compuestos de interés industrial. Los hongos filamentosos poseen vías intracelulares de señalización que les permiten responder eficazmente a diferentes tipos de estrés, y aunque la mayoría de los hongos comparten mecanismos conservados, estos no son idénticos. Las vías de transducción de señales, o vías de señalización, están presentes en todos los organismos, desde bacterias hasta </w:t>
      </w:r>
      <w:r w:rsidR="00270382" w:rsidRPr="00B814CE">
        <w:rPr>
          <w:rFonts w:ascii="Arial" w:hAnsi="Arial" w:cs="Arial"/>
          <w:sz w:val="24"/>
          <w:szCs w:val="24"/>
          <w:lang w:val="es-MX"/>
        </w:rPr>
        <w:t>mamíferos y plantas</w:t>
      </w:r>
      <w:r w:rsidRPr="00B814CE">
        <w:rPr>
          <w:rFonts w:ascii="Arial" w:hAnsi="Arial" w:cs="Arial"/>
          <w:sz w:val="24"/>
          <w:szCs w:val="24"/>
          <w:lang w:val="es-MX"/>
        </w:rPr>
        <w:t xml:space="preserve">, y se componen de mecanismos moleculares que activan y desactivan procesos completos. Cada </w:t>
      </w:r>
      <w:r w:rsidRPr="00B814CE">
        <w:rPr>
          <w:rFonts w:ascii="Arial" w:hAnsi="Arial" w:cs="Arial"/>
          <w:sz w:val="24"/>
          <w:szCs w:val="24"/>
          <w:lang w:val="es-MX"/>
        </w:rPr>
        <w:lastRenderedPageBreak/>
        <w:t xml:space="preserve">mecanismo es regulado por varias proteínas de función específica, que en conjunto y de forma regulada reorganizan la maquinaria intracelular provocando cambios a gran escala, como por ejemplo, la inducción a estados fisiológicos que favorecen su adaptación y supervivencia en un nuevo ambiente. </w:t>
      </w: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Actualmente, se conocen varios mecanismos que, integrados intentan explicar detalladamente las bases moleculares de las respuestas asociadas a cada tipo de estrés. </w:t>
      </w: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Sin embargo, cabe mencionar que a pesar de la gran cantidad de información no dejan de ser altamente complejos y aún siguen dejando dudas.</w:t>
      </w:r>
    </w:p>
    <w:p w:rsidR="00400DD9" w:rsidRPr="00B814CE" w:rsidRDefault="00400DD9" w:rsidP="00466386">
      <w:pPr>
        <w:spacing w:after="0" w:line="360" w:lineRule="auto"/>
        <w:jc w:val="both"/>
        <w:rPr>
          <w:rFonts w:ascii="Arial" w:hAnsi="Arial" w:cs="Arial"/>
          <w:sz w:val="24"/>
          <w:szCs w:val="24"/>
          <w:lang w:val="es-MX"/>
        </w:rPr>
      </w:pP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El siguiente trabajo presenta una visión general del papel de </w:t>
      </w:r>
      <w:r w:rsidR="00456D4F" w:rsidRPr="00B814CE">
        <w:rPr>
          <w:rFonts w:ascii="Arial" w:hAnsi="Arial" w:cs="Arial"/>
          <w:sz w:val="24"/>
          <w:szCs w:val="24"/>
          <w:lang w:val="es-MX"/>
        </w:rPr>
        <w:t xml:space="preserve">las proteínas G </w:t>
      </w:r>
      <w:proofErr w:type="spellStart"/>
      <w:r w:rsidR="00456D4F" w:rsidRPr="00B814CE">
        <w:rPr>
          <w:rFonts w:ascii="Arial" w:hAnsi="Arial" w:cs="Arial"/>
          <w:sz w:val="24"/>
          <w:szCs w:val="24"/>
          <w:lang w:val="es-MX"/>
        </w:rPr>
        <w:t>heterotriméricas</w:t>
      </w:r>
      <w:proofErr w:type="spellEnd"/>
      <w:r w:rsidRPr="00B814CE">
        <w:rPr>
          <w:rFonts w:ascii="Arial" w:hAnsi="Arial" w:cs="Arial"/>
          <w:sz w:val="24"/>
          <w:szCs w:val="24"/>
          <w:lang w:val="es-MX"/>
        </w:rPr>
        <w:t xml:space="preserve">… </w:t>
      </w:r>
    </w:p>
    <w:p w:rsidR="00400DD9" w:rsidRPr="00B814CE" w:rsidRDefault="00400DD9" w:rsidP="00466386">
      <w:pPr>
        <w:spacing w:after="0" w:line="360" w:lineRule="auto"/>
        <w:jc w:val="both"/>
        <w:rPr>
          <w:rFonts w:ascii="Arial" w:hAnsi="Arial" w:cs="Arial"/>
          <w:sz w:val="24"/>
          <w:szCs w:val="24"/>
          <w:lang w:val="es-MX"/>
        </w:rPr>
      </w:pP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Una de las primeras vías de señalización estudiadas en hongos fue la vía HOG asociada a respuestas con estrés osmótico. Aunque se han descrito muchos mecanismos y sus elementos principales no se ha estudiado el papel de las proteínas G heterotriméricas como iniciadores de la respuesta</w:t>
      </w:r>
    </w:p>
    <w:p w:rsidR="00400DD9" w:rsidRPr="00B814CE" w:rsidRDefault="00400DD9" w:rsidP="00466386">
      <w:pPr>
        <w:spacing w:after="0" w:line="360" w:lineRule="auto"/>
        <w:jc w:val="both"/>
        <w:rPr>
          <w:rFonts w:ascii="Arial" w:hAnsi="Arial" w:cs="Arial"/>
          <w:sz w:val="24"/>
          <w:szCs w:val="24"/>
          <w:lang w:val="es-MX"/>
        </w:rPr>
      </w:pPr>
    </w:p>
    <w:p w:rsidR="00400DD9" w:rsidRPr="00B814CE" w:rsidRDefault="00400DD9" w:rsidP="0046638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Uno de las vías de señalización principales aunque no estudiadas en gran profundidad asociadas con el estrés es la de las proteínas G heterotriméricas. </w:t>
      </w:r>
      <w:r w:rsidRPr="00B814CE">
        <w:rPr>
          <w:rFonts w:ascii="Arial" w:hAnsi="Arial" w:cs="Arial"/>
          <w:color w:val="FF0000"/>
          <w:sz w:val="24"/>
          <w:szCs w:val="24"/>
          <w:lang w:val="es-MX"/>
        </w:rPr>
        <w:t xml:space="preserve">Aunque no se le ha dado mucha importancia, las proteínas G heterotriméricas juegan un papel importante en todas las respuestas de todos los tipos de estrés, considerando su localización como uno de los primeros puntos de contacto con el exterior </w:t>
      </w:r>
      <w:r w:rsidRPr="00B814CE">
        <w:rPr>
          <w:rFonts w:ascii="Arial" w:hAnsi="Arial" w:cs="Arial"/>
          <w:sz w:val="24"/>
          <w:szCs w:val="24"/>
          <w:lang w:val="es-MX"/>
        </w:rPr>
        <w:t>es bueno considerar todos los estudios que giran en base a este heterotrímero ya que puede resultar crucial su conocimiento para posteriores estudios o para comprender más el funcionamiento de las respuestas.</w:t>
      </w:r>
    </w:p>
    <w:p w:rsidR="00400DD9" w:rsidRPr="00B814CE" w:rsidRDefault="00400DD9" w:rsidP="00466386">
      <w:pPr>
        <w:spacing w:after="0" w:line="360" w:lineRule="auto"/>
        <w:jc w:val="both"/>
        <w:rPr>
          <w:rFonts w:ascii="Arial" w:hAnsi="Arial" w:cs="Arial"/>
          <w:sz w:val="24"/>
          <w:szCs w:val="24"/>
          <w:lang w:val="es-MX"/>
        </w:rPr>
      </w:pPr>
    </w:p>
    <w:p w:rsidR="00400DD9" w:rsidRPr="00B814CE" w:rsidRDefault="00400DD9" w:rsidP="0046638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PROTEÍNAS G HETEROTRÍMERICAS EN HONGOS FILAMENTOSOS.</w:t>
      </w:r>
    </w:p>
    <w:p w:rsidR="00400DD9" w:rsidRPr="00B814CE" w:rsidRDefault="00400DD9" w:rsidP="00466386">
      <w:pPr>
        <w:spacing w:after="0" w:line="360" w:lineRule="auto"/>
        <w:jc w:val="both"/>
        <w:rPr>
          <w:rFonts w:ascii="Arial" w:hAnsi="Arial" w:cs="Arial"/>
          <w:b/>
          <w:sz w:val="24"/>
          <w:szCs w:val="24"/>
          <w:u w:val="single"/>
          <w:lang w:val="es-MX"/>
        </w:rPr>
      </w:pPr>
    </w:p>
    <w:p w:rsidR="00466386" w:rsidRPr="00466386" w:rsidRDefault="00400DD9" w:rsidP="00323808">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Las proteínas G heterotriméricas constituyen parte esencial de las vías de transducción de señales en todos los organismos eucariotas. Su localización en la </w:t>
      </w:r>
      <w:r w:rsidRPr="00B814CE">
        <w:rPr>
          <w:rFonts w:ascii="Arial" w:hAnsi="Arial" w:cs="Arial"/>
          <w:sz w:val="24"/>
          <w:szCs w:val="24"/>
          <w:lang w:val="es-MX"/>
        </w:rPr>
        <w:lastRenderedPageBreak/>
        <w:t>cara interna de las membranas les permite procesar señales del exterior y estimular respuestas intracelulares específicas. Las proteínas G heterotriméricas están conformadas por tres subunidades monoméricas llamadas alfa (Gα), beta (Gβ) y gamma (</w:t>
      </w:r>
      <w:proofErr w:type="spellStart"/>
      <w:r w:rsidRPr="00B814CE">
        <w:rPr>
          <w:rFonts w:ascii="Arial" w:hAnsi="Arial" w:cs="Arial"/>
          <w:sz w:val="24"/>
          <w:szCs w:val="24"/>
          <w:lang w:val="es-MX"/>
        </w:rPr>
        <w:t>Gγ</w:t>
      </w:r>
      <w:proofErr w:type="spellEnd"/>
      <w:r w:rsidRPr="00B814CE">
        <w:rPr>
          <w:rFonts w:ascii="Arial" w:hAnsi="Arial" w:cs="Arial"/>
          <w:sz w:val="24"/>
          <w:szCs w:val="24"/>
          <w:lang w:val="es-MX"/>
        </w:rPr>
        <w:t>), las cuales interaccionan con receptores de membrana y proteínas efectoras</w:t>
      </w:r>
      <w:r w:rsidR="00E45546">
        <w:rPr>
          <w:rFonts w:ascii="Arial" w:hAnsi="Arial" w:cs="Arial"/>
          <w:sz w:val="24"/>
          <w:szCs w:val="24"/>
          <w:lang w:val="es-MX"/>
        </w:rPr>
        <w:t xml:space="preserve"> </w:t>
      </w:r>
      <w:r w:rsidR="00E45546">
        <w:rPr>
          <w:rFonts w:ascii="Arial" w:hAnsi="Arial" w:cs="Arial"/>
          <w:sz w:val="24"/>
          <w:szCs w:val="24"/>
          <w:lang w:val="es-MX"/>
        </w:rPr>
        <w:fldChar w:fldCharType="begin" w:fldLock="1"/>
      </w:r>
      <w:r w:rsidR="00272DF4">
        <w:rPr>
          <w:rFonts w:ascii="Arial" w:hAnsi="Arial" w:cs="Arial"/>
          <w:sz w:val="24"/>
          <w:szCs w:val="24"/>
          <w:lang w:val="es-MX"/>
        </w:rPr>
        <w:instrText>ADDIN CSL_CITATION {"citationItems":[{"id":"ITEM-1","itemData":{"abstract":"The heterotrimeric guanine nucleotide-binding proteins (G proteins) act as switches that regulate information processing circuits connecting cell surface receptors to a variety of effectors. The G proteins are present in all eukaryotic cells, and they control metabolic, humoral, neural, and developmental functions. More than a hundred different kinds of receptors and many different effectors have been described. The G proteins that coordinate receptor-effector activity are derived from a large gene family. At present, the family is known to contain at least sixteen different genes that encode the alpha subunit of the heterotrimer, four that encode beta subunits, and multiple genes encoding gamma subunits. Specific transient interactions between these components generate the pathways that modulate cellular responses to complex chemical signals.","author":[{"dropping-particle":"","family":"Simon","given":"Melvin I","non-dropping-particle":"","parse-names":false,"suffix":""},{"dropping-particle":"","family":"Strathmann","given":"Michael P","non-dropping-particle":"","parse-names":false,"suffix":""},{"dropping-particle":"","family":"Gautam","given":"Narasimhan","non-dropping-particle":"","parse-names":false,"suffix":""}],"id":"ITEM-1","issue":"5007","issued":{"date-parts":[["1991"]]},"page":"802-808","title":"Diversity of Proteins in Signal Transduction","type":"article-journal","volume":"252"},"uris":["http://www.mendeley.com/documents/?uuid=e7c6e53a-e833-4622-8564-6af83fb0012f"]}],"mendeley":{"formattedCitation":"(Simon, Strathmann, and Gautam 1991)","plainTextFormattedCitation":"(Simon, Strathmann, and Gautam 1991)","previouslyFormattedCitation":"(Simon, Strathmann, and Gautam 1991)"},"properties":{"noteIndex":0},"schema":"https://github.com/citation-style-language/schema/raw/master/csl-citation.json"}</w:instrText>
      </w:r>
      <w:r w:rsidR="00E45546">
        <w:rPr>
          <w:rFonts w:ascii="Arial" w:hAnsi="Arial" w:cs="Arial"/>
          <w:sz w:val="24"/>
          <w:szCs w:val="24"/>
          <w:lang w:val="es-MX"/>
        </w:rPr>
        <w:fldChar w:fldCharType="separate"/>
      </w:r>
      <w:r w:rsidR="00E45546" w:rsidRPr="00E45546">
        <w:rPr>
          <w:rFonts w:ascii="Arial" w:hAnsi="Arial" w:cs="Arial"/>
          <w:noProof/>
          <w:sz w:val="24"/>
          <w:szCs w:val="24"/>
          <w:lang w:val="es-MX"/>
        </w:rPr>
        <w:t>(Simon, Strathmann, and Gautam 1991)</w:t>
      </w:r>
      <w:r w:rsidR="00E45546">
        <w:rPr>
          <w:rFonts w:ascii="Arial" w:hAnsi="Arial" w:cs="Arial"/>
          <w:sz w:val="24"/>
          <w:szCs w:val="24"/>
          <w:lang w:val="es-MX"/>
        </w:rPr>
        <w:fldChar w:fldCharType="end"/>
      </w:r>
      <w:r w:rsidRPr="00B814CE">
        <w:rPr>
          <w:rFonts w:ascii="Arial" w:hAnsi="Arial" w:cs="Arial"/>
          <w:sz w:val="24"/>
          <w:szCs w:val="24"/>
          <w:lang w:val="es-MX"/>
        </w:rPr>
        <w:t xml:space="preserve">. La subunidad Gα contiene un dominio conservado con actividad GTPasa, el cual estabiliza e hidroliza nucleótidos de guanina bajo condiciones apropiadas. El ciclo funcional de las proteínas G heterotriméricas ocurre en la cara interna de las membranas y comienza con la unión de un ligando a un receptor específico. La activación del receptor provoca un cambio conformacional en la subunidad Gα llevando a un intercambio de GDP por GTP en su dominio y en consecuencia la disociación del heterotrímero. El estado activo de estas proteínas se regula por proteínas reguladoras de señal (RGS), las cuales </w:t>
      </w:r>
      <w:r w:rsidR="00466386">
        <w:rPr>
          <w:rFonts w:ascii="Arial" w:hAnsi="Arial" w:cs="Arial"/>
          <w:sz w:val="24"/>
          <w:szCs w:val="24"/>
          <w:lang w:val="es-MX"/>
        </w:rPr>
        <w:t>estimulan</w:t>
      </w:r>
      <w:r w:rsidRPr="00B814CE">
        <w:rPr>
          <w:rFonts w:ascii="Arial" w:hAnsi="Arial" w:cs="Arial"/>
          <w:sz w:val="24"/>
          <w:szCs w:val="24"/>
          <w:lang w:val="es-MX"/>
        </w:rPr>
        <w:t xml:space="preserve"> la actividad del dominio </w:t>
      </w:r>
      <w:proofErr w:type="spellStart"/>
      <w:r w:rsidRPr="00B814CE">
        <w:rPr>
          <w:rFonts w:ascii="Arial" w:hAnsi="Arial" w:cs="Arial"/>
          <w:sz w:val="24"/>
          <w:szCs w:val="24"/>
          <w:lang w:val="es-MX"/>
        </w:rPr>
        <w:t>GTPasa</w:t>
      </w:r>
      <w:proofErr w:type="spellEnd"/>
      <w:r w:rsidRPr="00B814CE">
        <w:rPr>
          <w:rFonts w:ascii="Arial" w:hAnsi="Arial" w:cs="Arial"/>
          <w:sz w:val="24"/>
          <w:szCs w:val="24"/>
          <w:lang w:val="es-MX"/>
        </w:rPr>
        <w:t xml:space="preserve"> de la subunidad Gα provocando la hidrólisis de GTP y como resultado la </w:t>
      </w:r>
      <w:r w:rsidR="00466386">
        <w:rPr>
          <w:rFonts w:ascii="Arial" w:hAnsi="Arial" w:cs="Arial"/>
          <w:sz w:val="24"/>
          <w:szCs w:val="24"/>
          <w:lang w:val="es-MX"/>
        </w:rPr>
        <w:t>formación</w:t>
      </w:r>
      <w:r w:rsidRPr="00B814CE">
        <w:rPr>
          <w:rFonts w:ascii="Arial" w:hAnsi="Arial" w:cs="Arial"/>
          <w:sz w:val="24"/>
          <w:szCs w:val="24"/>
          <w:lang w:val="es-MX"/>
        </w:rPr>
        <w:t xml:space="preserve"> del </w:t>
      </w:r>
      <w:proofErr w:type="spellStart"/>
      <w:r w:rsidRPr="00B814CE">
        <w:rPr>
          <w:rFonts w:ascii="Arial" w:hAnsi="Arial" w:cs="Arial"/>
          <w:sz w:val="24"/>
          <w:szCs w:val="24"/>
          <w:lang w:val="es-MX"/>
        </w:rPr>
        <w:t>heterotrímero</w:t>
      </w:r>
      <w:proofErr w:type="spellEnd"/>
      <w:r w:rsidR="00466386">
        <w:rPr>
          <w:rFonts w:ascii="Arial" w:hAnsi="Arial" w:cs="Arial"/>
          <w:sz w:val="24"/>
          <w:szCs w:val="24"/>
          <w:lang w:val="es-MX"/>
        </w:rPr>
        <w:t xml:space="preserve"> inactivo</w:t>
      </w:r>
      <w:r w:rsidR="00272DF4">
        <w:rPr>
          <w:rFonts w:ascii="Arial" w:hAnsi="Arial" w:cs="Arial"/>
          <w:sz w:val="24"/>
          <w:szCs w:val="24"/>
          <w:lang w:val="es-MX"/>
        </w:rPr>
        <w:t xml:space="preserve"> </w:t>
      </w:r>
      <w:r w:rsidR="00272DF4">
        <w:rPr>
          <w:rFonts w:ascii="Arial" w:hAnsi="Arial" w:cs="Arial"/>
          <w:sz w:val="24"/>
          <w:szCs w:val="24"/>
          <w:lang w:val="es-MX"/>
        </w:rPr>
        <w:fldChar w:fldCharType="begin" w:fldLock="1"/>
      </w:r>
      <w:r w:rsidR="00272DF4">
        <w:rPr>
          <w:rFonts w:ascii="Arial" w:hAnsi="Arial" w:cs="Arial"/>
          <w:sz w:val="24"/>
          <w:szCs w:val="24"/>
          <w:lang w:val="es-MX"/>
        </w:rPr>
        <w:instrText>ADDIN CSL_CITATION {"citationItems":[{"id":"ITEM-1","itemData":{"ISBN":"0892-6638 (Print)","ISSN":"0892-6638 (Print)","PMID":"7649405","abstract":"Heterotrimeric GTP-binding proteins (G-proteins) are a critical component of signal transduction pathways that carry information received at the cell surface to the appropriate cellular effector system, ultimately achieving a specific cellular response. Heterotrimeric G-proteins consist of an alpha-subunit, which contains the guanine nucleotide binding site and intrinsic GTPase activity, and an inseparable beta gamma-subunit complex. G-proteins act to define the specificity by which a receptor regulates a particular intracellular signaling system, as well as to regulate the duration of the signal. A great deal of structural and functional insight into how G-protein-mediated signal transduction occurs has recently been achieved. This review will discuss the structural features of G-proteins, as well as detail the mechanism by which G-proteins interact with receptors and effectors.","author":[{"dropping-particle":"","family":"Rens-Domiano","given":"S","non-dropping-particle":"","parse-names":false,"suffix":""},{"dropping-particle":"","family":"Hamm","given":"Heidi E","non-dropping-particle":"","parse-names":false,"suffix":""}],"container-title":"Faseb J","id":"ITEM-1","issue":"11","issued":{"date-parts":[["1995"]]},"page":"1059-1066","title":"Structural and functional relationships of heterotrimeric G-proteins","type":"article-journal","volume":"9"},"uris":["http://www.mendeley.com/documents/?uuid=74ca52e5-4c9b-4e6f-b7ce-79bc037e29b5"]}],"mendeley":{"formattedCitation":"(Rens-Domiano and Hamm 1995)","plainTextFormattedCitation":"(Rens-Domiano and Hamm 1995)","previouslyFormattedCitation":"(Rens-Domiano and Hamm 1995)"},"properties":{"noteIndex":0},"schema":"https://github.com/citation-style-language/schema/raw/master/csl-citation.json"}</w:instrText>
      </w:r>
      <w:r w:rsidR="00272DF4">
        <w:rPr>
          <w:rFonts w:ascii="Arial" w:hAnsi="Arial" w:cs="Arial"/>
          <w:sz w:val="24"/>
          <w:szCs w:val="24"/>
          <w:lang w:val="es-MX"/>
        </w:rPr>
        <w:fldChar w:fldCharType="separate"/>
      </w:r>
      <w:r w:rsidR="00272DF4" w:rsidRPr="00272DF4">
        <w:rPr>
          <w:rFonts w:ascii="Arial" w:hAnsi="Arial" w:cs="Arial"/>
          <w:noProof/>
          <w:sz w:val="24"/>
          <w:szCs w:val="24"/>
          <w:lang w:val="es-MX"/>
        </w:rPr>
        <w:t>(Rens-Domiano and Hamm 1995)</w:t>
      </w:r>
      <w:r w:rsidR="00272DF4">
        <w:rPr>
          <w:rFonts w:ascii="Arial" w:hAnsi="Arial" w:cs="Arial"/>
          <w:sz w:val="24"/>
          <w:szCs w:val="24"/>
          <w:lang w:val="es-MX"/>
        </w:rPr>
        <w:fldChar w:fldCharType="end"/>
      </w:r>
      <w:r w:rsidRPr="00B814CE">
        <w:rPr>
          <w:rFonts w:ascii="Arial" w:hAnsi="Arial" w:cs="Arial"/>
          <w:sz w:val="24"/>
          <w:szCs w:val="24"/>
          <w:lang w:val="es-MX"/>
        </w:rPr>
        <w:t>.</w:t>
      </w:r>
      <w:r w:rsidR="00323808">
        <w:rPr>
          <w:rFonts w:ascii="Arial" w:hAnsi="Arial" w:cs="Arial"/>
          <w:sz w:val="24"/>
          <w:szCs w:val="24"/>
          <w:lang w:val="es-MX"/>
        </w:rPr>
        <w:t xml:space="preserve"> </w:t>
      </w:r>
      <w:r w:rsidR="00466386" w:rsidRPr="00466386">
        <w:rPr>
          <w:rFonts w:ascii="Arial" w:hAnsi="Arial" w:cs="Arial"/>
          <w:sz w:val="24"/>
          <w:szCs w:val="24"/>
          <w:lang w:val="es-MX"/>
        </w:rPr>
        <w:t xml:space="preserve">Las proteínas G </w:t>
      </w:r>
      <w:proofErr w:type="spellStart"/>
      <w:r w:rsidR="00466386" w:rsidRPr="00466386">
        <w:rPr>
          <w:rFonts w:ascii="Arial" w:hAnsi="Arial" w:cs="Arial"/>
          <w:sz w:val="24"/>
          <w:szCs w:val="24"/>
          <w:lang w:val="es-MX"/>
        </w:rPr>
        <w:t>heterotriméricas</w:t>
      </w:r>
      <w:proofErr w:type="spellEnd"/>
      <w:r w:rsidR="00466386" w:rsidRPr="00466386">
        <w:rPr>
          <w:rFonts w:ascii="Arial" w:hAnsi="Arial" w:cs="Arial"/>
          <w:sz w:val="24"/>
          <w:szCs w:val="24"/>
          <w:lang w:val="es-MX"/>
        </w:rPr>
        <w:t xml:space="preserve"> juegan un papel importante en la transducción de señales de varios estímulos ambientales y nutricionales en hongos filamentosos. Los primeros reportes sobre estas proteínas en hongos filamentosos demostraron que son esenciales para el crecimiento, el desarrollo y la virulencia de especies patogénicas en animales y plantas</w:t>
      </w:r>
      <w:r w:rsidR="00323808">
        <w:rPr>
          <w:rFonts w:ascii="Arial" w:hAnsi="Arial" w:cs="Arial"/>
          <w:sz w:val="24"/>
          <w:szCs w:val="24"/>
          <w:lang w:val="es-MX"/>
        </w:rPr>
        <w:t xml:space="preserve"> </w:t>
      </w:r>
      <w:r w:rsidR="00323808">
        <w:rPr>
          <w:rFonts w:ascii="Arial" w:hAnsi="Arial" w:cs="Arial"/>
          <w:sz w:val="24"/>
          <w:szCs w:val="24"/>
          <w:lang w:val="es-MX"/>
        </w:rPr>
        <w:fldChar w:fldCharType="begin" w:fldLock="1"/>
      </w:r>
      <w:r w:rsidR="00323808">
        <w:rPr>
          <w:rFonts w:ascii="Arial" w:hAnsi="Arial" w:cs="Arial"/>
          <w:sz w:val="24"/>
          <w:szCs w:val="24"/>
          <w:lang w:val="es-MX"/>
        </w:rPr>
        <w:instrText>ADDIN CSL_CITATION {"citationItems":[{"id":"ITEM-1","itemData":{"DOI":"10.1146/annurev.micro.61.080706.093432","ISBN":"0066-4227\\r1545-3251","ISSN":"0066-4227","PMID":"17506673","abstract":"Filamentous fungi are multicellular eukaryotic organisms known for nutrient recycling as well as for antibiotic and food production. This group of organisms also contains the most devastating plant pathogens and several important human pathogens. Since the first report of heterotrimeric G proteins in filamentous fungi in 1993, it has been demonstrated that G proteins are essential for growth, asexual and sexual development, and virulence in both animal and plant pathogenic filamentous species. Numerous G protein subunit and G protein-coupled receptor genes have been identified, many from whole-genome sequences. Several regulatory pathways have now been delineated, including those for nutrient sensing, pheromone response and mating, and pathogenesis. This review provides a comparative analysis of G protein pathways in several filamentous species, with discussion of both unifying themes and important unique signaling paradigms.","author":[{"dropping-particle":"","family":"Li","given":"Liande","non-dropping-particle":"","parse-names":false,"suffix":""},{"dropping-particle":"","family":"Wright","given":"Sara J.","non-dropping-particle":"","parse-names":false,"suffix":""},{"dropping-particle":"","family":"Krystofova","given":"Svetlana","non-dropping-particle":"","parse-names":false,"suffix":""},{"dropping-particle":"","family":"Park","given":"Gyungsoon","non-dropping-particle":"","parse-names":false,"suffix":""},{"dropping-particle":"","family":"Borkovich","given":"Katherine A.","non-dropping-particle":"","parse-names":false,"suffix":""}],"container-title":"Annual Review of Microbiology","id":"ITEM-1","issue":"1","issued":{"date-parts":[["2007"]]},"page":"423-452","title":"Heterotrimeric G Protein Signaling in Filamentous Fungi","type":"article-journal","volume":"61"},"uris":["http://www.mendeley.com/documents/?uuid=f99b5485-b03a-41fc-ba16-ad4387d1ebec"]},{"id":"ITEM-2","itemData":{"DOI":"10.1094/MPMI.1997.10.9.1075","ISSN":"0894-0282","PMID":"9390422","abstract":"Three G protein alpha subunit genes have been cloned and characterized from Magnaporthe grisea: magA is very similar to CPG-2 of Cryphonectria parasitica; magB is virtually identical to CPG-1 of Cryphonectria parasitica, to gna1 of Neurospora crassa, and to fadA of Emericella nidulans; and magC is most similar to gna2 of Neurospora crassa. Homologous recombination resulting in targeted deletion of magA had no effect on vegetative growth, conidiation, or appressorium formation. Deletion of magC reduced conidiation, but did not affect vegetative growth or appressorium formation. However, disruption of magB significantly reduced vegetative growth, conidiation, and appressorium formation. magB- transformants, unlike magA- and magC- transformants, exhibited a reduced ability to infect and colonize susceptible rice leaves. G protein alpha subunit genes are required for M. grisea mating. magB- transformants failed to form perithecia, whereas magA- and magC- transformants did not produce mature asci. These results suggest that G protein alpha subunit genes are involved in signal transduction pathways in M. grisea that control vegetative growth, conidiation, conidium attachment, appressorium formation, mating, and pathogenicity.","author":[{"dropping-particle":"","family":"Liu","given":"S","non-dropping-particle":"","parse-names":false,"suffix":""},{"dropping-particle":"","family":"Dean","given":"R a","non-dropping-particle":"","parse-names":false,"suffix":""}],"container-title":"Molecular plant-microbe interactions : MPMI","id":"ITEM-2","issue":"9","issued":{"date-parts":[["1997"]]},"page":"1075-86","title":"G protein alpha subunit genes control growth, development, and pathogenicity of Magnaporthe grisea.","type":"article-journal","volume":"10"},"uris":["http://www.mendeley.com/documents/?uuid=8d5f62d5-7126-4275-baea-8756b1b9bfb5"]}],"mendeley":{"formattedCitation":"(Li et al. 2007; Liu and Dean 1997)","plainTextFormattedCitation":"(Li et al. 2007; Liu and Dean 1997)","previouslyFormattedCitation":"(Li et al. 2007; Liu and Dean 1997)"},"properties":{"noteIndex":0},"schema":"https://github.com/citation-style-language/schema/raw/master/csl-citation.json"}</w:instrText>
      </w:r>
      <w:r w:rsidR="00323808">
        <w:rPr>
          <w:rFonts w:ascii="Arial" w:hAnsi="Arial" w:cs="Arial"/>
          <w:sz w:val="24"/>
          <w:szCs w:val="24"/>
          <w:lang w:val="es-MX"/>
        </w:rPr>
        <w:fldChar w:fldCharType="separate"/>
      </w:r>
      <w:r w:rsidR="00323808" w:rsidRPr="00323808">
        <w:rPr>
          <w:rFonts w:ascii="Arial" w:hAnsi="Arial" w:cs="Arial"/>
          <w:noProof/>
          <w:sz w:val="24"/>
          <w:szCs w:val="24"/>
          <w:lang w:val="es-MX"/>
        </w:rPr>
        <w:t>(Li et al. 2007; Liu and Dean 1997)</w:t>
      </w:r>
      <w:r w:rsidR="00323808">
        <w:rPr>
          <w:rFonts w:ascii="Arial" w:hAnsi="Arial" w:cs="Arial"/>
          <w:sz w:val="24"/>
          <w:szCs w:val="24"/>
          <w:lang w:val="es-MX"/>
        </w:rPr>
        <w:fldChar w:fldCharType="end"/>
      </w:r>
      <w:r w:rsidR="00466386" w:rsidRPr="00466386">
        <w:rPr>
          <w:rFonts w:ascii="Arial" w:hAnsi="Arial" w:cs="Arial"/>
          <w:sz w:val="24"/>
          <w:szCs w:val="24"/>
          <w:lang w:val="es-MX"/>
        </w:rPr>
        <w:t>.</w:t>
      </w:r>
    </w:p>
    <w:p w:rsidR="00323808" w:rsidRDefault="00323808" w:rsidP="00466386">
      <w:pPr>
        <w:spacing w:line="360" w:lineRule="auto"/>
        <w:rPr>
          <w:rFonts w:ascii="Arial" w:hAnsi="Arial" w:cs="Arial"/>
          <w:sz w:val="24"/>
          <w:szCs w:val="24"/>
          <w:lang w:val="es-MX"/>
        </w:rPr>
      </w:pPr>
      <w:bookmarkStart w:id="0" w:name="_GoBack"/>
      <w:bookmarkEnd w:id="0"/>
    </w:p>
    <w:p w:rsidR="00466386" w:rsidRPr="00466386" w:rsidRDefault="00466386" w:rsidP="00466386">
      <w:pPr>
        <w:spacing w:line="360" w:lineRule="auto"/>
        <w:rPr>
          <w:rFonts w:ascii="Arial" w:hAnsi="Arial" w:cs="Arial"/>
          <w:sz w:val="24"/>
          <w:szCs w:val="24"/>
          <w:lang w:val="es-MX"/>
        </w:rPr>
      </w:pPr>
      <w:r w:rsidRPr="00466386">
        <w:rPr>
          <w:rFonts w:ascii="Arial" w:hAnsi="Arial" w:cs="Arial"/>
          <w:sz w:val="24"/>
          <w:szCs w:val="24"/>
          <w:lang w:val="es-MX"/>
        </w:rPr>
        <w:t xml:space="preserve">Un análisis filogenético generado por alineamiento múltiple de proteínas G de hongos reveló tres principales subgrupos (I-III) dentro de la familia de proteínas Gα. Los miembros de los subgrupos I y III pueden ser relacionados a las subunidades de las clases Gαi y Gαs de mamíferos, las cuales inhiben y estimulan, respectivamente, la actividad de la </w:t>
      </w:r>
      <w:proofErr w:type="spellStart"/>
      <w:r w:rsidRPr="00466386">
        <w:rPr>
          <w:rFonts w:ascii="Arial" w:hAnsi="Arial" w:cs="Arial"/>
          <w:sz w:val="24"/>
          <w:szCs w:val="24"/>
          <w:lang w:val="es-MX"/>
        </w:rPr>
        <w:t>adenilato</w:t>
      </w:r>
      <w:proofErr w:type="spellEnd"/>
      <w:r w:rsidRPr="00466386">
        <w:rPr>
          <w:rFonts w:ascii="Arial" w:hAnsi="Arial" w:cs="Arial"/>
          <w:sz w:val="24"/>
          <w:szCs w:val="24"/>
          <w:lang w:val="es-MX"/>
        </w:rPr>
        <w:t xml:space="preserve"> </w:t>
      </w:r>
      <w:proofErr w:type="spellStart"/>
      <w:r w:rsidRPr="00466386">
        <w:rPr>
          <w:rFonts w:ascii="Arial" w:hAnsi="Arial" w:cs="Arial"/>
          <w:sz w:val="24"/>
          <w:szCs w:val="24"/>
          <w:lang w:val="es-MX"/>
        </w:rPr>
        <w:t>ciclasa</w:t>
      </w:r>
      <w:proofErr w:type="spellEnd"/>
      <w:r w:rsidRPr="00466386">
        <w:rPr>
          <w:rFonts w:ascii="Arial" w:hAnsi="Arial" w:cs="Arial"/>
          <w:sz w:val="24"/>
          <w:szCs w:val="24"/>
          <w:lang w:val="es-MX"/>
        </w:rPr>
        <w:t>, mientras que las subunidades del subgrupo II no tienen similitud con ninguna Gα de mamíferos que de pistas sobre su función (</w:t>
      </w:r>
      <w:proofErr w:type="spellStart"/>
      <w:r w:rsidRPr="00466386">
        <w:rPr>
          <w:rFonts w:ascii="Arial" w:hAnsi="Arial" w:cs="Arial"/>
          <w:sz w:val="24"/>
          <w:szCs w:val="24"/>
          <w:lang w:val="es-MX"/>
        </w:rPr>
        <w:t>Bolker</w:t>
      </w:r>
      <w:proofErr w:type="spellEnd"/>
      <w:r w:rsidRPr="00466386">
        <w:rPr>
          <w:rFonts w:ascii="Arial" w:hAnsi="Arial" w:cs="Arial"/>
          <w:sz w:val="24"/>
          <w:szCs w:val="24"/>
          <w:lang w:val="es-MX"/>
        </w:rPr>
        <w:t xml:space="preserve">, 1998). </w:t>
      </w:r>
    </w:p>
    <w:p w:rsidR="00466386" w:rsidRPr="00466386" w:rsidRDefault="00466386" w:rsidP="00466386">
      <w:pPr>
        <w:spacing w:line="360" w:lineRule="auto"/>
        <w:rPr>
          <w:rFonts w:ascii="Arial" w:hAnsi="Arial" w:cs="Arial"/>
          <w:sz w:val="24"/>
          <w:szCs w:val="24"/>
          <w:lang w:val="es-MX"/>
        </w:rPr>
      </w:pPr>
      <w:r w:rsidRPr="00466386">
        <w:rPr>
          <w:rFonts w:ascii="Arial" w:hAnsi="Arial" w:cs="Arial"/>
          <w:sz w:val="24"/>
          <w:szCs w:val="24"/>
          <w:lang w:val="es-MX"/>
        </w:rPr>
        <w:t xml:space="preserve">Las proteínas Gα del subgrupo I están altamente conservadas en la mayoría de los hongos filamentosos y regulan múltiples vías. Este subgrupo se ha implicado </w:t>
      </w:r>
      <w:r w:rsidRPr="00466386">
        <w:rPr>
          <w:rFonts w:ascii="Arial" w:hAnsi="Arial" w:cs="Arial"/>
          <w:sz w:val="24"/>
          <w:szCs w:val="24"/>
          <w:lang w:val="es-MX"/>
        </w:rPr>
        <w:lastRenderedPageBreak/>
        <w:t xml:space="preserve">en la regulación de procesos como el crecimiento, conidiación, desarrollo sexual y asexual, patogenicidad y metabolismo secundario (Schmitt et al., 2004a).  </w:t>
      </w:r>
    </w:p>
    <w:p w:rsidR="00466386" w:rsidRPr="00466386" w:rsidRDefault="00466386" w:rsidP="00466386">
      <w:pPr>
        <w:spacing w:line="360" w:lineRule="auto"/>
        <w:rPr>
          <w:rFonts w:ascii="Arial" w:hAnsi="Arial" w:cs="Arial"/>
          <w:sz w:val="24"/>
          <w:szCs w:val="24"/>
          <w:lang w:val="es-MX"/>
        </w:rPr>
      </w:pPr>
      <w:r w:rsidRPr="00466386">
        <w:rPr>
          <w:rFonts w:ascii="Arial" w:hAnsi="Arial" w:cs="Arial"/>
          <w:sz w:val="24"/>
          <w:szCs w:val="24"/>
          <w:lang w:val="es-MX"/>
        </w:rPr>
        <w:t xml:space="preserve">Se han realizado múltiples estudios funcionales en varios hongos filamentosos con el fin de conocer el papel que desempeña la subunidad Gαi en el desarrollo. Como parte de dichos estudios se han generado cepas mutantes y cepas </w:t>
      </w:r>
      <w:proofErr w:type="spellStart"/>
      <w:r w:rsidRPr="00466386">
        <w:rPr>
          <w:rFonts w:ascii="Arial" w:hAnsi="Arial" w:cs="Arial"/>
          <w:sz w:val="24"/>
          <w:szCs w:val="24"/>
          <w:lang w:val="es-MX"/>
        </w:rPr>
        <w:t>delecionadas</w:t>
      </w:r>
      <w:proofErr w:type="spellEnd"/>
      <w:r w:rsidRPr="00466386">
        <w:rPr>
          <w:rFonts w:ascii="Arial" w:hAnsi="Arial" w:cs="Arial"/>
          <w:sz w:val="24"/>
          <w:szCs w:val="24"/>
          <w:lang w:val="es-MX"/>
        </w:rPr>
        <w:t xml:space="preserve"> (ΔGα), en las cuales se han mostrado efectos </w:t>
      </w:r>
      <w:proofErr w:type="spellStart"/>
      <w:r w:rsidRPr="00466386">
        <w:rPr>
          <w:rFonts w:ascii="Arial" w:hAnsi="Arial" w:cs="Arial"/>
          <w:sz w:val="24"/>
          <w:szCs w:val="24"/>
          <w:lang w:val="es-MX"/>
        </w:rPr>
        <w:t>pleiotrópicos</w:t>
      </w:r>
      <w:proofErr w:type="spellEnd"/>
      <w:r w:rsidRPr="00466386">
        <w:rPr>
          <w:rFonts w:ascii="Arial" w:hAnsi="Arial" w:cs="Arial"/>
          <w:sz w:val="24"/>
          <w:szCs w:val="24"/>
          <w:lang w:val="es-MX"/>
        </w:rPr>
        <w:t xml:space="preserve"> provocando cambios fisiológicos importantes.    </w:t>
      </w:r>
    </w:p>
    <w:p w:rsidR="00466386" w:rsidRDefault="00466386" w:rsidP="00466386">
      <w:pPr>
        <w:spacing w:line="360" w:lineRule="auto"/>
        <w:rPr>
          <w:rFonts w:ascii="Arial" w:hAnsi="Arial" w:cs="Arial"/>
          <w:sz w:val="24"/>
          <w:szCs w:val="24"/>
          <w:lang w:val="es-MX"/>
        </w:rPr>
      </w:pPr>
      <w:r w:rsidRPr="00466386">
        <w:rPr>
          <w:rFonts w:ascii="Arial" w:hAnsi="Arial" w:cs="Arial"/>
          <w:sz w:val="24"/>
          <w:szCs w:val="24"/>
          <w:lang w:val="es-MX"/>
        </w:rPr>
        <w:t xml:space="preserve">La primera subunidad Gα del subgrupo I fue identificada en el hongo filamentoso </w:t>
      </w:r>
      <w:proofErr w:type="spellStart"/>
      <w:r w:rsidRPr="00466386">
        <w:rPr>
          <w:rFonts w:ascii="Arial" w:hAnsi="Arial" w:cs="Arial"/>
          <w:sz w:val="24"/>
          <w:szCs w:val="24"/>
          <w:lang w:val="es-MX"/>
        </w:rPr>
        <w:t>Neurospora</w:t>
      </w:r>
      <w:proofErr w:type="spellEnd"/>
      <w:r w:rsidRPr="00466386">
        <w:rPr>
          <w:rFonts w:ascii="Arial" w:hAnsi="Arial" w:cs="Arial"/>
          <w:sz w:val="24"/>
          <w:szCs w:val="24"/>
          <w:lang w:val="es-MX"/>
        </w:rPr>
        <w:t xml:space="preserve"> </w:t>
      </w:r>
      <w:proofErr w:type="spellStart"/>
      <w:r w:rsidRPr="00466386">
        <w:rPr>
          <w:rFonts w:ascii="Arial" w:hAnsi="Arial" w:cs="Arial"/>
          <w:sz w:val="24"/>
          <w:szCs w:val="24"/>
          <w:lang w:val="es-MX"/>
        </w:rPr>
        <w:t>crassa</w:t>
      </w:r>
      <w:proofErr w:type="spellEnd"/>
      <w:r w:rsidRPr="00466386">
        <w:rPr>
          <w:rFonts w:ascii="Arial" w:hAnsi="Arial" w:cs="Arial"/>
          <w:sz w:val="24"/>
          <w:szCs w:val="24"/>
          <w:lang w:val="es-MX"/>
        </w:rPr>
        <w:t xml:space="preserve">, Gna-1 (gna-1). Un análisis de secuencia indicó que Gna-1 pertenece a la </w:t>
      </w:r>
      <w:proofErr w:type="spellStart"/>
      <w:r w:rsidRPr="00466386">
        <w:rPr>
          <w:rFonts w:ascii="Arial" w:hAnsi="Arial" w:cs="Arial"/>
          <w:sz w:val="24"/>
          <w:szCs w:val="24"/>
          <w:lang w:val="es-MX"/>
        </w:rPr>
        <w:t>superfamilia</w:t>
      </w:r>
      <w:proofErr w:type="spellEnd"/>
      <w:r w:rsidRPr="00466386">
        <w:rPr>
          <w:rFonts w:ascii="Arial" w:hAnsi="Arial" w:cs="Arial"/>
          <w:sz w:val="24"/>
          <w:szCs w:val="24"/>
          <w:lang w:val="es-MX"/>
        </w:rPr>
        <w:t xml:space="preserve"> de proteínas Gαi de mamíferos mostrando una similitud del 55%. Gna-1 contiene una secuencia consenso para </w:t>
      </w:r>
      <w:proofErr w:type="spellStart"/>
      <w:r w:rsidRPr="00466386">
        <w:rPr>
          <w:rFonts w:ascii="Arial" w:hAnsi="Arial" w:cs="Arial"/>
          <w:sz w:val="24"/>
          <w:szCs w:val="24"/>
          <w:lang w:val="es-MX"/>
        </w:rPr>
        <w:t>miristoilación</w:t>
      </w:r>
      <w:proofErr w:type="spellEnd"/>
      <w:r w:rsidRPr="00466386">
        <w:rPr>
          <w:rFonts w:ascii="Arial" w:hAnsi="Arial" w:cs="Arial"/>
          <w:sz w:val="24"/>
          <w:szCs w:val="24"/>
          <w:lang w:val="es-MX"/>
        </w:rPr>
        <w:t xml:space="preserve"> (MGXXXS) en el extremo amino terminal y un sitio de ADP-</w:t>
      </w:r>
      <w:proofErr w:type="spellStart"/>
      <w:r w:rsidRPr="00466386">
        <w:rPr>
          <w:rFonts w:ascii="Arial" w:hAnsi="Arial" w:cs="Arial"/>
          <w:sz w:val="24"/>
          <w:szCs w:val="24"/>
          <w:lang w:val="es-MX"/>
        </w:rPr>
        <w:t>ribosilación</w:t>
      </w:r>
      <w:proofErr w:type="spellEnd"/>
      <w:r w:rsidRPr="00466386">
        <w:rPr>
          <w:rFonts w:ascii="Arial" w:hAnsi="Arial" w:cs="Arial"/>
          <w:sz w:val="24"/>
          <w:szCs w:val="24"/>
          <w:lang w:val="es-MX"/>
        </w:rPr>
        <w:t xml:space="preserve"> dependiente de la toxina </w:t>
      </w:r>
      <w:proofErr w:type="spellStart"/>
      <w:r w:rsidRPr="00466386">
        <w:rPr>
          <w:rFonts w:ascii="Arial" w:hAnsi="Arial" w:cs="Arial"/>
          <w:sz w:val="24"/>
          <w:szCs w:val="24"/>
          <w:lang w:val="es-MX"/>
        </w:rPr>
        <w:t>pertussis</w:t>
      </w:r>
      <w:proofErr w:type="spellEnd"/>
      <w:r w:rsidRPr="00466386">
        <w:rPr>
          <w:rFonts w:ascii="Arial" w:hAnsi="Arial" w:cs="Arial"/>
          <w:sz w:val="24"/>
          <w:szCs w:val="24"/>
          <w:lang w:val="es-MX"/>
        </w:rPr>
        <w:t xml:space="preserve"> (CAAX) en el extremo carboxilo terminal que es conservado en la </w:t>
      </w:r>
      <w:proofErr w:type="spellStart"/>
      <w:r w:rsidRPr="00466386">
        <w:rPr>
          <w:rFonts w:ascii="Arial" w:hAnsi="Arial" w:cs="Arial"/>
          <w:sz w:val="24"/>
          <w:szCs w:val="24"/>
          <w:lang w:val="es-MX"/>
        </w:rPr>
        <w:t>superfamilia</w:t>
      </w:r>
      <w:proofErr w:type="spellEnd"/>
      <w:r w:rsidRPr="00466386">
        <w:rPr>
          <w:rFonts w:ascii="Arial" w:hAnsi="Arial" w:cs="Arial"/>
          <w:sz w:val="24"/>
          <w:szCs w:val="24"/>
          <w:lang w:val="es-MX"/>
        </w:rPr>
        <w:t xml:space="preserve"> de proteínas Gαi (Turner y </w:t>
      </w:r>
      <w:proofErr w:type="spellStart"/>
      <w:r w:rsidRPr="00466386">
        <w:rPr>
          <w:rFonts w:ascii="Arial" w:hAnsi="Arial" w:cs="Arial"/>
          <w:sz w:val="24"/>
          <w:szCs w:val="24"/>
          <w:lang w:val="es-MX"/>
        </w:rPr>
        <w:t>Borkovich</w:t>
      </w:r>
      <w:proofErr w:type="spellEnd"/>
      <w:r w:rsidRPr="00466386">
        <w:rPr>
          <w:rFonts w:ascii="Arial" w:hAnsi="Arial" w:cs="Arial"/>
          <w:sz w:val="24"/>
          <w:szCs w:val="24"/>
          <w:lang w:val="es-MX"/>
        </w:rPr>
        <w:t>, 1993).</w:t>
      </w:r>
      <w:r>
        <w:rPr>
          <w:rFonts w:ascii="Arial" w:hAnsi="Arial" w:cs="Arial"/>
          <w:sz w:val="24"/>
          <w:szCs w:val="24"/>
          <w:lang w:val="es-MX"/>
        </w:rPr>
        <w:br w:type="page"/>
      </w:r>
    </w:p>
    <w:p w:rsidR="00466386" w:rsidRDefault="00466386" w:rsidP="00466386">
      <w:pPr>
        <w:spacing w:after="0" w:line="360" w:lineRule="auto"/>
        <w:jc w:val="both"/>
        <w:rPr>
          <w:rFonts w:ascii="Arial" w:hAnsi="Arial" w:cs="Arial"/>
          <w:sz w:val="24"/>
          <w:szCs w:val="24"/>
          <w:lang w:val="es-MX"/>
        </w:rPr>
      </w:pPr>
    </w:p>
    <w:p w:rsidR="00543090" w:rsidRPr="00B814CE" w:rsidRDefault="00543090" w:rsidP="00466386">
      <w:pPr>
        <w:spacing w:after="0" w:line="360" w:lineRule="auto"/>
        <w:jc w:val="both"/>
        <w:rPr>
          <w:rFonts w:ascii="Arial" w:hAnsi="Arial" w:cs="Arial"/>
          <w:sz w:val="24"/>
          <w:szCs w:val="24"/>
          <w:lang w:val="es-MX"/>
        </w:rPr>
      </w:pPr>
    </w:p>
    <w:p w:rsidR="00456D4F" w:rsidRPr="00B814CE" w:rsidRDefault="00B96678" w:rsidP="00466386">
      <w:pPr>
        <w:spacing w:line="360" w:lineRule="auto"/>
        <w:jc w:val="both"/>
        <w:rPr>
          <w:rFonts w:ascii="Arial" w:hAnsi="Arial" w:cs="Arial"/>
          <w:b/>
          <w:sz w:val="24"/>
          <w:szCs w:val="24"/>
          <w:lang w:val="es-MX"/>
        </w:rPr>
      </w:pPr>
      <w:r>
        <w:rPr>
          <w:rFonts w:ascii="Arial" w:hAnsi="Arial" w:cs="Arial"/>
          <w:b/>
          <w:sz w:val="24"/>
          <w:szCs w:val="24"/>
          <w:lang w:val="es-MX"/>
        </w:rPr>
        <w:t>Estrés oxidativo, osmótico, lumínico y térmico</w:t>
      </w:r>
    </w:p>
    <w:p w:rsidR="00B96678" w:rsidRDefault="00B814CE" w:rsidP="00466386">
      <w:pPr>
        <w:spacing w:line="360" w:lineRule="auto"/>
        <w:jc w:val="both"/>
        <w:rPr>
          <w:rFonts w:ascii="Arial" w:hAnsi="Arial" w:cs="Arial"/>
          <w:sz w:val="24"/>
          <w:szCs w:val="24"/>
          <w:lang w:val="es-MX"/>
        </w:rPr>
      </w:pPr>
      <w:r w:rsidRPr="00B814CE">
        <w:rPr>
          <w:rFonts w:ascii="Arial" w:hAnsi="Arial" w:cs="Arial"/>
          <w:sz w:val="24"/>
          <w:szCs w:val="24"/>
          <w:lang w:val="es-MX"/>
        </w:rPr>
        <w:t xml:space="preserve">El </w:t>
      </w:r>
      <w:r>
        <w:rPr>
          <w:rFonts w:ascii="Arial" w:hAnsi="Arial" w:cs="Arial"/>
          <w:sz w:val="24"/>
          <w:szCs w:val="24"/>
          <w:lang w:val="es-MX"/>
        </w:rPr>
        <w:t xml:space="preserve">estrés oxidativo es causado por una acumulación intracelular de especies reactivas de oxígeno (Reactive </w:t>
      </w:r>
      <w:proofErr w:type="spellStart"/>
      <w:r>
        <w:rPr>
          <w:rFonts w:ascii="Arial" w:hAnsi="Arial" w:cs="Arial"/>
          <w:sz w:val="24"/>
          <w:szCs w:val="24"/>
          <w:lang w:val="es-MX"/>
        </w:rPr>
        <w:t>oxygen</w:t>
      </w:r>
      <w:proofErr w:type="spellEnd"/>
      <w:r>
        <w:rPr>
          <w:rFonts w:ascii="Arial" w:hAnsi="Arial" w:cs="Arial"/>
          <w:sz w:val="24"/>
          <w:szCs w:val="24"/>
          <w:lang w:val="es-MX"/>
        </w:rPr>
        <w:t xml:space="preserve"> </w:t>
      </w:r>
      <w:proofErr w:type="spellStart"/>
      <w:r>
        <w:rPr>
          <w:rFonts w:ascii="Arial" w:hAnsi="Arial" w:cs="Arial"/>
          <w:sz w:val="24"/>
          <w:szCs w:val="24"/>
          <w:lang w:val="es-MX"/>
        </w:rPr>
        <w:t>species</w:t>
      </w:r>
      <w:proofErr w:type="spellEnd"/>
      <w:r>
        <w:rPr>
          <w:rFonts w:ascii="Arial" w:hAnsi="Arial" w:cs="Arial"/>
          <w:sz w:val="24"/>
          <w:szCs w:val="24"/>
          <w:lang w:val="es-MX"/>
        </w:rPr>
        <w:t xml:space="preserve">: ROS) o por una alteración del estado </w:t>
      </w:r>
      <w:proofErr w:type="spellStart"/>
      <w:r>
        <w:rPr>
          <w:rFonts w:ascii="Arial" w:hAnsi="Arial" w:cs="Arial"/>
          <w:sz w:val="24"/>
          <w:szCs w:val="24"/>
          <w:lang w:val="es-MX"/>
        </w:rPr>
        <w:t>redox</w:t>
      </w:r>
      <w:proofErr w:type="spellEnd"/>
      <w:r w:rsidR="00DC6FC6">
        <w:rPr>
          <w:rFonts w:ascii="Arial" w:hAnsi="Arial" w:cs="Arial"/>
          <w:sz w:val="24"/>
          <w:szCs w:val="24"/>
          <w:lang w:val="es-MX"/>
        </w:rPr>
        <w:t>.</w:t>
      </w:r>
      <w:r w:rsidR="00E52D7D">
        <w:rPr>
          <w:rFonts w:ascii="Arial" w:hAnsi="Arial" w:cs="Arial"/>
          <w:sz w:val="24"/>
          <w:szCs w:val="24"/>
          <w:lang w:val="es-MX"/>
        </w:rPr>
        <w:t xml:space="preserve"> La respuesta oxidativa comprende dos mecanismos de </w:t>
      </w:r>
      <w:proofErr w:type="spellStart"/>
      <w:r w:rsidR="00E52D7D">
        <w:rPr>
          <w:rFonts w:ascii="Arial" w:hAnsi="Arial" w:cs="Arial"/>
          <w:sz w:val="24"/>
          <w:szCs w:val="24"/>
          <w:lang w:val="es-MX"/>
        </w:rPr>
        <w:t>destoxificación</w:t>
      </w:r>
      <w:proofErr w:type="spellEnd"/>
      <w:r w:rsidR="00E52D7D">
        <w:rPr>
          <w:rFonts w:ascii="Arial" w:hAnsi="Arial" w:cs="Arial"/>
          <w:sz w:val="24"/>
          <w:szCs w:val="24"/>
          <w:lang w:val="es-MX"/>
        </w:rPr>
        <w:t xml:space="preserve"> para destruir o restaurar el estado </w:t>
      </w:r>
      <w:proofErr w:type="spellStart"/>
      <w:r w:rsidR="00E52D7D">
        <w:rPr>
          <w:rFonts w:ascii="Arial" w:hAnsi="Arial" w:cs="Arial"/>
          <w:sz w:val="24"/>
          <w:szCs w:val="24"/>
          <w:lang w:val="es-MX"/>
        </w:rPr>
        <w:t>redox</w:t>
      </w:r>
      <w:proofErr w:type="spellEnd"/>
      <w:r w:rsidR="00E52D7D">
        <w:rPr>
          <w:rFonts w:ascii="Arial" w:hAnsi="Arial" w:cs="Arial"/>
          <w:sz w:val="24"/>
          <w:szCs w:val="24"/>
          <w:lang w:val="es-MX"/>
        </w:rPr>
        <w:t>: no enzimática (</w:t>
      </w:r>
      <w:proofErr w:type="spellStart"/>
      <w:r w:rsidR="00B96678">
        <w:rPr>
          <w:rFonts w:ascii="Arial" w:hAnsi="Arial" w:cs="Arial"/>
          <w:sz w:val="24"/>
          <w:szCs w:val="24"/>
          <w:lang w:val="es-MX"/>
        </w:rPr>
        <w:t>glutatio</w:t>
      </w:r>
      <w:r w:rsidR="00E52D7D">
        <w:rPr>
          <w:rFonts w:ascii="Arial" w:hAnsi="Arial" w:cs="Arial"/>
          <w:sz w:val="24"/>
          <w:szCs w:val="24"/>
          <w:lang w:val="es-MX"/>
        </w:rPr>
        <w:t>n</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tioredoxina</w:t>
      </w:r>
      <w:proofErr w:type="spellEnd"/>
      <w:r w:rsidR="00E52D7D">
        <w:rPr>
          <w:rFonts w:ascii="Arial" w:hAnsi="Arial" w:cs="Arial"/>
          <w:sz w:val="24"/>
          <w:szCs w:val="24"/>
          <w:lang w:val="es-MX"/>
        </w:rPr>
        <w:t>) y enzimática (</w:t>
      </w:r>
      <w:proofErr w:type="spellStart"/>
      <w:r w:rsidR="00E52D7D">
        <w:rPr>
          <w:rFonts w:ascii="Arial" w:hAnsi="Arial" w:cs="Arial"/>
          <w:sz w:val="24"/>
          <w:szCs w:val="24"/>
          <w:lang w:val="es-MX"/>
        </w:rPr>
        <w:t>superóxido</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dismutasa</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peroxidasa</w:t>
      </w:r>
      <w:proofErr w:type="spellEnd"/>
      <w:r w:rsidR="00E52D7D">
        <w:rPr>
          <w:rFonts w:ascii="Arial" w:hAnsi="Arial" w:cs="Arial"/>
          <w:sz w:val="24"/>
          <w:szCs w:val="24"/>
          <w:lang w:val="es-MX"/>
        </w:rPr>
        <w:t xml:space="preserve"> y catalasa</w:t>
      </w:r>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{"citationItems":[{"id":"ITEM-1","itemData":{"DOI":"10.3390/biom5020318","ISSN":"2218-273X","PMID":"25854186","abstract":"In this review article, we want to present an overview of oxidative stress in fungal cells in relation to signal transduction, interaction of fungi with plant hosts, and lignocellulose degradation. We will discuss external oxidative stress which may occur through the interaction with other microorganisms or plant hosts as well as internally generated oxidative stress, which can for instance originate from NADPH oxidases or \"leaky\" mitochondria and may be modulated by the peroxiredoxin system or by protein disulfide isomerases thus contributing to redox signaling. Analyzing redox signaling in fungi with the tools of molecular genetics is presently only in its beginning. However, it is already clear that redox signaling in fungal cells often is linked to cell differentiation (like the formation of perithecia), virulence (in plant pathogens), hyphal growth and the successful passage through the stationary phase.","author":[{"dropping-particle":"","family":"Breitenbach","given":"Michael","non-dropping-particle":"","parse-names":false,"suffix":""},{"dropping-particle":"","family":"Weber","given":"Manuela","non-dropping-particle":"","parse-names":false,"suffix":""},{"dropping-particle":"","family":"Rinnerthaler","given":"Mark","non-dropping-particle":"","parse-names":false,"suffix":""},{"dropping-particle":"","family":"Karl","given":"Thomas","non-dropping-particle":"","parse-names":false,"suffix":""},{"dropping-particle":"","family":"Breitenbach-Koller","given":"Lore","non-dropping-particle":"","parse-names":false,"suffix":""}],"container-title":"Biomolecules","id":"ITEM-1","issue":"2","issued":{"date-parts":[["2015","4","3"]]},"page":"318-42","publisher":"Multidisciplinary Digital Publishing Institute  (MDPI)","title":"Oxidative stress in fungi: its function in signal transduction, interaction with plant hosts, and lignocellulose degradation.","type":"article-journal","volume":"5"},"uris":["http://www.mendeley.com/documents/?uuid=79a90e69-7c81-35cc-b5d2-5ba853fec803"]}],"mendeley":{"formattedCitation":"(Breitenbach et al. 2015)","plainTextFormattedCitation":"(Breitenbach et al. 2015)","previouslyFormattedCitation":"(Breitenbach et al. 2015)"},"properties":{"noteIndex":0},"schema":"https://github.com/citation-style-language/schema/raw/master/csl-citation.json"}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(Breitenbach et al. 2015)</w:t>
      </w:r>
      <w:r w:rsidR="00B934EF">
        <w:rPr>
          <w:rFonts w:ascii="Arial" w:hAnsi="Arial" w:cs="Arial"/>
          <w:sz w:val="24"/>
          <w:szCs w:val="24"/>
          <w:lang w:val="es-MX"/>
        </w:rPr>
        <w:fldChar w:fldCharType="end"/>
      </w:r>
      <w:r w:rsidR="00E52D7D">
        <w:rPr>
          <w:rFonts w:ascii="Arial" w:hAnsi="Arial" w:cs="Arial"/>
          <w:sz w:val="24"/>
          <w:szCs w:val="24"/>
          <w:lang w:val="es-MX"/>
        </w:rPr>
        <w:t>.</w:t>
      </w:r>
      <w:r w:rsidR="00B96678">
        <w:rPr>
          <w:rFonts w:ascii="Arial" w:hAnsi="Arial" w:cs="Arial"/>
          <w:sz w:val="24"/>
          <w:szCs w:val="24"/>
          <w:lang w:val="es-MX"/>
        </w:rPr>
        <w:t xml:space="preserve"> Las señales de estrés oxidativo pueden provenir del ambiente, pero también pueden generarse intracelularmente y causar daños a proteínas, ADN, membranas, etc.</w:t>
      </w:r>
    </w:p>
    <w:p w:rsidR="00B96678" w:rsidRPr="00EA05C8" w:rsidRDefault="009E756E" w:rsidP="00466386">
      <w:pPr>
        <w:spacing w:line="360" w:lineRule="auto"/>
        <w:jc w:val="both"/>
        <w:rPr>
          <w:rFonts w:ascii="Arial" w:hAnsi="Arial" w:cs="Arial"/>
          <w:sz w:val="24"/>
          <w:szCs w:val="24"/>
          <w:lang w:val="es-MX"/>
        </w:rPr>
      </w:pPr>
      <w:r>
        <w:rPr>
          <w:rFonts w:ascii="Arial" w:hAnsi="Arial" w:cs="Arial"/>
          <w:sz w:val="24"/>
          <w:szCs w:val="24"/>
          <w:lang w:val="es-MX"/>
        </w:rPr>
        <w:t>El estrés osmótico</w:t>
      </w:r>
      <w:r w:rsidR="00A15066">
        <w:rPr>
          <w:rFonts w:ascii="Arial" w:hAnsi="Arial" w:cs="Arial"/>
          <w:sz w:val="24"/>
          <w:szCs w:val="24"/>
          <w:lang w:val="es-MX"/>
        </w:rPr>
        <w:t xml:space="preserve"> conduce a un flujo de agua desregulado hacia el interior o exterior de la célula: estrés </w:t>
      </w:r>
      <w:proofErr w:type="spellStart"/>
      <w:r w:rsidR="00A15066">
        <w:rPr>
          <w:rFonts w:ascii="Arial" w:hAnsi="Arial" w:cs="Arial"/>
          <w:sz w:val="24"/>
          <w:szCs w:val="24"/>
          <w:lang w:val="es-MX"/>
        </w:rPr>
        <w:t>hiperosmótico</w:t>
      </w:r>
      <w:proofErr w:type="spellEnd"/>
      <w:r w:rsidR="00A15066">
        <w:rPr>
          <w:rFonts w:ascii="Arial" w:hAnsi="Arial" w:cs="Arial"/>
          <w:sz w:val="24"/>
          <w:szCs w:val="24"/>
          <w:lang w:val="es-MX"/>
        </w:rPr>
        <w:t xml:space="preserve"> causa una contracción, estrés </w:t>
      </w:r>
      <w:proofErr w:type="spellStart"/>
      <w:r w:rsidR="00A15066">
        <w:rPr>
          <w:rFonts w:ascii="Arial" w:hAnsi="Arial" w:cs="Arial"/>
          <w:sz w:val="24"/>
          <w:szCs w:val="24"/>
          <w:lang w:val="es-MX"/>
        </w:rPr>
        <w:t>hipoosmótico</w:t>
      </w:r>
      <w:proofErr w:type="spellEnd"/>
      <w:r w:rsidR="00A15066">
        <w:rPr>
          <w:rFonts w:ascii="Arial" w:hAnsi="Arial" w:cs="Arial"/>
          <w:sz w:val="24"/>
          <w:szCs w:val="24"/>
          <w:lang w:val="es-MX"/>
        </w:rPr>
        <w:t xml:space="preserve"> causa </w:t>
      </w:r>
      <w:proofErr w:type="spellStart"/>
      <w:r w:rsidR="00A15066">
        <w:rPr>
          <w:rFonts w:ascii="Arial" w:hAnsi="Arial" w:cs="Arial"/>
          <w:sz w:val="24"/>
          <w:szCs w:val="24"/>
          <w:lang w:val="es-MX"/>
        </w:rPr>
        <w:t>inchamiento</w:t>
      </w:r>
      <w:proofErr w:type="spellEnd"/>
      <w:r w:rsidR="00A15066">
        <w:rPr>
          <w:rFonts w:ascii="Arial" w:hAnsi="Arial" w:cs="Arial"/>
          <w:sz w:val="24"/>
          <w:szCs w:val="24"/>
          <w:lang w:val="es-MX"/>
        </w:rPr>
        <w:t xml:space="preserve">. </w:t>
      </w:r>
      <w:r w:rsidR="00EA05C8" w:rsidRPr="00EA05C8">
        <w:rPr>
          <w:rFonts w:ascii="Arial" w:hAnsi="Arial" w:cs="Arial"/>
          <w:sz w:val="24"/>
          <w:szCs w:val="24"/>
          <w:lang w:val="es-MX"/>
        </w:rPr>
        <w:t>L</w:t>
      </w:r>
      <w:r w:rsidR="00EA05C8">
        <w:rPr>
          <w:rFonts w:ascii="Arial" w:hAnsi="Arial" w:cs="Arial"/>
          <w:sz w:val="24"/>
          <w:szCs w:val="24"/>
          <w:lang w:val="es-MX"/>
        </w:rPr>
        <w:t>a respuesta celular de este tipo de estrés implica la actividad de canales de agua (</w:t>
      </w:r>
      <w:proofErr w:type="spellStart"/>
      <w:r w:rsidR="00EA05C8">
        <w:rPr>
          <w:rFonts w:ascii="Arial" w:hAnsi="Arial" w:cs="Arial"/>
          <w:sz w:val="24"/>
          <w:szCs w:val="24"/>
          <w:lang w:val="es-MX"/>
        </w:rPr>
        <w:t>aquaporinas</w:t>
      </w:r>
      <w:proofErr w:type="spellEnd"/>
      <w:r w:rsidR="00EA05C8">
        <w:rPr>
          <w:rFonts w:ascii="Arial" w:hAnsi="Arial" w:cs="Arial"/>
          <w:sz w:val="24"/>
          <w:szCs w:val="24"/>
          <w:lang w:val="es-MX"/>
        </w:rPr>
        <w:t xml:space="preserve">) y transportadores de </w:t>
      </w:r>
      <w:proofErr w:type="spellStart"/>
      <w:r w:rsidR="00EA05C8">
        <w:rPr>
          <w:rFonts w:ascii="Arial" w:hAnsi="Arial" w:cs="Arial"/>
          <w:sz w:val="24"/>
          <w:szCs w:val="24"/>
          <w:lang w:val="es-MX"/>
        </w:rPr>
        <w:t>electrolítos</w:t>
      </w:r>
      <w:proofErr w:type="spellEnd"/>
      <w:r w:rsidR="00EA05C8">
        <w:rPr>
          <w:rFonts w:ascii="Arial" w:hAnsi="Arial" w:cs="Arial"/>
          <w:sz w:val="24"/>
          <w:szCs w:val="24"/>
          <w:lang w:val="es-MX"/>
        </w:rPr>
        <w:t>, y</w:t>
      </w:r>
      <w:r w:rsidR="000E7CCD">
        <w:rPr>
          <w:rFonts w:ascii="Arial" w:hAnsi="Arial" w:cs="Arial"/>
          <w:sz w:val="24"/>
          <w:szCs w:val="24"/>
          <w:lang w:val="es-MX"/>
        </w:rPr>
        <w:t xml:space="preserve"> la</w:t>
      </w:r>
      <w:r w:rsidR="00EA05C8">
        <w:rPr>
          <w:rFonts w:ascii="Arial" w:hAnsi="Arial" w:cs="Arial"/>
          <w:sz w:val="24"/>
          <w:szCs w:val="24"/>
          <w:lang w:val="es-MX"/>
        </w:rPr>
        <w:t xml:space="preserve"> acumulación de </w:t>
      </w:r>
      <w:proofErr w:type="spellStart"/>
      <w:r w:rsidR="00EA05C8">
        <w:rPr>
          <w:rFonts w:ascii="Arial" w:hAnsi="Arial" w:cs="Arial"/>
          <w:sz w:val="24"/>
          <w:szCs w:val="24"/>
          <w:lang w:val="es-MX"/>
        </w:rPr>
        <w:t>osmolitos</w:t>
      </w:r>
      <w:proofErr w:type="spellEnd"/>
      <w:r w:rsidR="00EA05C8">
        <w:rPr>
          <w:rFonts w:ascii="Arial" w:hAnsi="Arial" w:cs="Arial"/>
          <w:sz w:val="24"/>
          <w:szCs w:val="24"/>
          <w:lang w:val="es-MX"/>
        </w:rPr>
        <w:t xml:space="preserve">, así como la protección de proteínas y estructuras </w:t>
      </w:r>
      <w:proofErr w:type="spellStart"/>
      <w:r w:rsidR="00EA05C8">
        <w:rPr>
          <w:rFonts w:ascii="Arial" w:hAnsi="Arial" w:cs="Arial"/>
          <w:sz w:val="24"/>
          <w:szCs w:val="24"/>
          <w:lang w:val="es-MX"/>
        </w:rPr>
        <w:t>subcelulares</w:t>
      </w:r>
      <w:proofErr w:type="spellEnd"/>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{"citationItems":[{"id":"ITEM-1","itemData":{"ISSN":"1355-8145","PMID":"11147967","author":[{"dropping-particle":"","family":"Mager","given":"W H","non-dropping-particle":"","parse-names":false,"suffix":""},{"dropping-particle":"","family":"Boer","given":"A H","non-dropping-particle":"de","parse-names":false,"suffix":""},{"dropping-particle":"","family":"Siderius","given":"M H","non-dropping-particle":"","parse-names":false,"suffix":""},{"dropping-particle":"","family":"Voss","given":"H P","non-dropping-particle":"","parse-names":false,"suffix":""}],"container-title":"Cell stress &amp; chaperones","id":"ITEM-1","issue":"2","issued":{"date-parts":[["2000","4"]]},"page":"73-5","publisher":"Springer","title":"Cellular responses to oxidative and osmotic stress.","type":"article-journal","volume":"5"},"uris":["http://www.mendeley.com/documents/?uuid=5959c4f2-f60f-3f78-a134-abe55e72c2c9"]}],"mendeley":{"formattedCitation":"(Mager et al. 2000)","plainTextFormattedCitation":"(Mager et al. 2000)","previouslyFormattedCitation":"(Mager et al. 2000)"},"properties":{"noteIndex":0},"schema":"https://github.com/citation-style-language/schema/raw/master/csl-citation.json"}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(Mager et al. 2000)</w:t>
      </w:r>
      <w:r w:rsidR="00B934EF">
        <w:rPr>
          <w:rFonts w:ascii="Arial" w:hAnsi="Arial" w:cs="Arial"/>
          <w:sz w:val="24"/>
          <w:szCs w:val="24"/>
          <w:lang w:val="es-MX"/>
        </w:rPr>
        <w:fldChar w:fldCharType="end"/>
      </w:r>
      <w:r w:rsidR="00EA05C8">
        <w:rPr>
          <w:rFonts w:ascii="Arial" w:hAnsi="Arial" w:cs="Arial"/>
          <w:sz w:val="24"/>
          <w:szCs w:val="24"/>
          <w:lang w:val="es-MX"/>
        </w:rPr>
        <w:t>.</w:t>
      </w:r>
    </w:p>
    <w:p w:rsidR="009F4313" w:rsidRPr="00543090" w:rsidRDefault="009F4313" w:rsidP="00466386">
      <w:pPr>
        <w:spacing w:line="360" w:lineRule="auto"/>
        <w:jc w:val="both"/>
        <w:rPr>
          <w:rFonts w:ascii="Arial" w:hAnsi="Arial" w:cs="Arial"/>
          <w:sz w:val="24"/>
          <w:szCs w:val="24"/>
          <w:lang w:val="es-MX"/>
        </w:rPr>
      </w:pPr>
      <w:r w:rsidRPr="00543090">
        <w:rPr>
          <w:rFonts w:ascii="Arial" w:hAnsi="Arial" w:cs="Arial"/>
          <w:sz w:val="24"/>
          <w:szCs w:val="24"/>
          <w:lang w:val="es-MX"/>
        </w:rPr>
        <w:t>El estrés lumínico</w:t>
      </w:r>
      <w:r>
        <w:rPr>
          <w:rFonts w:ascii="Arial" w:hAnsi="Arial" w:cs="Arial"/>
          <w:sz w:val="24"/>
          <w:szCs w:val="24"/>
          <w:lang w:val="es-MX"/>
        </w:rPr>
        <w:t xml:space="preserve"> hace referencia a </w:t>
      </w:r>
    </w:p>
    <w:p w:rsidR="00180FA9" w:rsidRPr="00543090" w:rsidRDefault="00180FA9" w:rsidP="00466386">
      <w:pPr>
        <w:spacing w:line="360" w:lineRule="auto"/>
        <w:jc w:val="both"/>
        <w:rPr>
          <w:rFonts w:ascii="Arial" w:hAnsi="Arial" w:cs="Arial"/>
          <w:sz w:val="24"/>
          <w:szCs w:val="24"/>
          <w:lang w:val="es-MX"/>
        </w:rPr>
      </w:pPr>
    </w:p>
    <w:p w:rsidR="00B934EF" w:rsidRPr="00453B66" w:rsidRDefault="00180FA9" w:rsidP="00466386">
      <w:pPr>
        <w:spacing w:line="360" w:lineRule="auto"/>
        <w:jc w:val="both"/>
        <w:rPr>
          <w:rFonts w:ascii="Arial" w:hAnsi="Arial" w:cs="Arial"/>
          <w:sz w:val="24"/>
          <w:szCs w:val="24"/>
          <w:lang w:val="es-MX"/>
        </w:rPr>
      </w:pPr>
      <w:r w:rsidRPr="00180FA9">
        <w:rPr>
          <w:rFonts w:ascii="Arial" w:hAnsi="Arial" w:cs="Arial"/>
          <w:sz w:val="24"/>
          <w:szCs w:val="24"/>
          <w:lang w:val="es-MX"/>
        </w:rPr>
        <w:t>La luz también puede estar asociada a elevadas temperaturas, conduciendo a la desecaci</w:t>
      </w:r>
      <w:r>
        <w:rPr>
          <w:rFonts w:ascii="Arial" w:hAnsi="Arial" w:cs="Arial"/>
          <w:sz w:val="24"/>
          <w:szCs w:val="24"/>
          <w:lang w:val="es-MX"/>
        </w:rPr>
        <w:t>ón y estrés osmótico.</w:t>
      </w:r>
      <w:r w:rsidR="00B934EF">
        <w:rPr>
          <w:rFonts w:ascii="Arial" w:hAnsi="Arial" w:cs="Arial"/>
          <w:sz w:val="24"/>
          <w:szCs w:val="24"/>
          <w:lang w:val="es-MX"/>
        </w:rPr>
        <w:t xml:space="preserve"> Por otro lado, los organismos pueden </w:t>
      </w:r>
      <w:r w:rsidR="00453B66">
        <w:rPr>
          <w:rFonts w:ascii="Arial" w:hAnsi="Arial" w:cs="Arial"/>
          <w:sz w:val="24"/>
          <w:szCs w:val="24"/>
          <w:lang w:val="es-MX"/>
        </w:rPr>
        <w:t>interpretar su entorno y adaptarse a cambios ambientales para asegurar su supervivencia y programar su reproducción.</w:t>
      </w:r>
    </w:p>
    <w:p w:rsidR="000E7CCD" w:rsidRPr="00453B66" w:rsidRDefault="000E7CCD" w:rsidP="00466386">
      <w:pPr>
        <w:spacing w:line="360" w:lineRule="auto"/>
        <w:jc w:val="both"/>
        <w:rPr>
          <w:rFonts w:ascii="Arial" w:hAnsi="Arial" w:cs="Arial"/>
          <w:sz w:val="24"/>
          <w:szCs w:val="24"/>
          <w:lang w:val="es-MX"/>
        </w:rPr>
      </w:pP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Light</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may</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lastRenderedPageBreak/>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be</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also</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associated</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with</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elevated</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temperatures,</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leading</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to</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lastRenderedPageBreak/>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de-</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siccation</w:t>
      </w:r>
      <w:proofErr w:type="spellEnd"/>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and</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osmotic</w:t>
      </w:r>
      <w:proofErr w:type="spellEnd"/>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stress.</w:t>
      </w:r>
    </w:p>
    <w:p w:rsidR="00180FA9" w:rsidRPr="00180FA9" w:rsidRDefault="00180FA9" w:rsidP="00466386">
      <w:pPr>
        <w:shd w:val="clear" w:color="auto" w:fill="FFFFFF"/>
        <w:spacing w:after="0" w:line="36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0E7CCD" w:rsidRPr="00543090" w:rsidRDefault="000E7CCD" w:rsidP="00466386">
      <w:pPr>
        <w:spacing w:line="360" w:lineRule="auto"/>
        <w:jc w:val="both"/>
        <w:rPr>
          <w:rFonts w:ascii="Arial" w:hAnsi="Arial" w:cs="Arial"/>
          <w:sz w:val="24"/>
          <w:szCs w:val="24"/>
          <w:lang w:val="es-MX"/>
        </w:rPr>
      </w:pPr>
    </w:p>
    <w:p w:rsidR="000E7CCD" w:rsidRPr="00543090" w:rsidRDefault="000E7CCD" w:rsidP="00466386">
      <w:pPr>
        <w:spacing w:line="360" w:lineRule="auto"/>
        <w:jc w:val="both"/>
        <w:rPr>
          <w:rFonts w:ascii="Arial" w:hAnsi="Arial" w:cs="Arial"/>
          <w:sz w:val="24"/>
          <w:szCs w:val="24"/>
          <w:lang w:val="es-MX"/>
        </w:rPr>
      </w:pPr>
    </w:p>
    <w:p w:rsidR="000E7CCD" w:rsidRPr="00543090" w:rsidRDefault="000E7CCD" w:rsidP="00466386">
      <w:pPr>
        <w:spacing w:line="360" w:lineRule="auto"/>
        <w:jc w:val="both"/>
        <w:rPr>
          <w:rFonts w:ascii="Arial" w:hAnsi="Arial" w:cs="Arial"/>
          <w:sz w:val="24"/>
          <w:szCs w:val="24"/>
          <w:lang w:val="es-MX"/>
        </w:rPr>
      </w:pPr>
    </w:p>
    <w:p w:rsidR="00456D4F" w:rsidRPr="00B814CE" w:rsidRDefault="0038365E" w:rsidP="00466386">
      <w:pPr>
        <w:spacing w:line="360" w:lineRule="auto"/>
        <w:jc w:val="both"/>
        <w:rPr>
          <w:rFonts w:ascii="Arial" w:hAnsi="Arial" w:cs="Arial"/>
          <w:sz w:val="24"/>
          <w:szCs w:val="24"/>
          <w:lang w:val="es-MX"/>
        </w:rPr>
      </w:pPr>
      <w:r w:rsidRPr="00B814CE">
        <w:rPr>
          <w:rFonts w:ascii="Arial" w:hAnsi="Arial" w:cs="Arial"/>
          <w:sz w:val="24"/>
          <w:szCs w:val="24"/>
          <w:lang w:val="es-MX"/>
        </w:rPr>
        <w:t xml:space="preserve">Proteínas G </w:t>
      </w:r>
      <w:proofErr w:type="spellStart"/>
      <w:r w:rsidRPr="00B814CE">
        <w:rPr>
          <w:rFonts w:ascii="Arial" w:hAnsi="Arial" w:cs="Arial"/>
          <w:sz w:val="24"/>
          <w:szCs w:val="24"/>
          <w:lang w:val="es-MX"/>
        </w:rPr>
        <w:t>heterotrimécisa</w:t>
      </w:r>
      <w:proofErr w:type="spellEnd"/>
      <w:r w:rsidRPr="00B814CE">
        <w:rPr>
          <w:rFonts w:ascii="Arial" w:hAnsi="Arial" w:cs="Arial"/>
          <w:sz w:val="24"/>
          <w:szCs w:val="24"/>
          <w:lang w:val="es-MX"/>
        </w:rPr>
        <w:t xml:space="preserve"> y estrés oxidativo</w:t>
      </w:r>
    </w:p>
    <w:p w:rsidR="005A2F2D" w:rsidRDefault="005A2F2D" w:rsidP="00466386">
      <w:pPr>
        <w:spacing w:line="360" w:lineRule="auto"/>
        <w:rPr>
          <w:rFonts w:ascii="Arial" w:hAnsi="Arial" w:cs="Arial"/>
          <w:sz w:val="24"/>
          <w:szCs w:val="24"/>
          <w:lang w:val="es-MX"/>
        </w:rPr>
      </w:pPr>
    </w:p>
    <w:p w:rsidR="005A2F2D" w:rsidRDefault="005A2F2D" w:rsidP="00466386">
      <w:pPr>
        <w:spacing w:line="360" w:lineRule="auto"/>
        <w:rPr>
          <w:rFonts w:ascii="Arial" w:hAnsi="Arial" w:cs="Arial"/>
          <w:sz w:val="24"/>
          <w:szCs w:val="24"/>
          <w:lang w:val="es-MX"/>
        </w:rPr>
      </w:pPr>
    </w:p>
    <w:p w:rsidR="005A2F2D" w:rsidRDefault="005A2F2D" w:rsidP="00466386">
      <w:pPr>
        <w:spacing w:line="360" w:lineRule="auto"/>
        <w:rPr>
          <w:rFonts w:ascii="Arial" w:hAnsi="Arial" w:cs="Arial"/>
          <w:sz w:val="24"/>
          <w:szCs w:val="24"/>
          <w:lang w:val="es-MX"/>
        </w:rPr>
      </w:pPr>
      <w:r>
        <w:rPr>
          <w:rFonts w:ascii="Arial" w:hAnsi="Arial" w:cs="Arial"/>
          <w:sz w:val="24"/>
          <w:szCs w:val="24"/>
          <w:lang w:val="es-MX"/>
        </w:rPr>
        <w:t>Discusión</w:t>
      </w:r>
    </w:p>
    <w:p w:rsidR="00B934EF" w:rsidRDefault="005A2F2D" w:rsidP="00466386">
      <w:pPr>
        <w:spacing w:line="360" w:lineRule="auto"/>
        <w:rPr>
          <w:rFonts w:ascii="Arial" w:hAnsi="Arial" w:cs="Arial"/>
          <w:sz w:val="24"/>
          <w:szCs w:val="24"/>
          <w:lang w:val="es-MX"/>
        </w:rPr>
      </w:pPr>
      <w:r>
        <w:rPr>
          <w:rFonts w:ascii="Arial" w:hAnsi="Arial" w:cs="Arial"/>
          <w:sz w:val="24"/>
          <w:szCs w:val="24"/>
          <w:lang w:val="es-MX"/>
        </w:rPr>
        <w:lastRenderedPageBreak/>
        <w:t xml:space="preserve">Los diferentes tipos de estrés son significativamente diferentes, pero también </w:t>
      </w:r>
      <w:r w:rsidR="008B627A">
        <w:rPr>
          <w:rFonts w:ascii="Arial" w:hAnsi="Arial" w:cs="Arial"/>
          <w:sz w:val="24"/>
          <w:szCs w:val="24"/>
          <w:lang w:val="es-MX"/>
        </w:rPr>
        <w:t xml:space="preserve">presentan respuestas y </w:t>
      </w:r>
      <w:r>
        <w:rPr>
          <w:rFonts w:ascii="Arial" w:hAnsi="Arial" w:cs="Arial"/>
          <w:sz w:val="24"/>
          <w:szCs w:val="24"/>
          <w:lang w:val="es-MX"/>
        </w:rPr>
        <w:t>mecanismos</w:t>
      </w:r>
      <w:r w:rsidR="008B627A">
        <w:rPr>
          <w:rFonts w:ascii="Arial" w:hAnsi="Arial" w:cs="Arial"/>
          <w:sz w:val="24"/>
          <w:szCs w:val="24"/>
          <w:lang w:val="es-MX"/>
        </w:rPr>
        <w:t xml:space="preserve"> superpuestos</w:t>
      </w:r>
      <w:r>
        <w:rPr>
          <w:rFonts w:ascii="Arial" w:hAnsi="Arial" w:cs="Arial"/>
          <w:sz w:val="24"/>
          <w:szCs w:val="24"/>
          <w:lang w:val="es-MX"/>
        </w:rPr>
        <w:t>.</w:t>
      </w:r>
      <w:r w:rsidR="00B934EF">
        <w:rPr>
          <w:rFonts w:ascii="Arial" w:hAnsi="Arial" w:cs="Arial"/>
          <w:sz w:val="24"/>
          <w:szCs w:val="24"/>
          <w:lang w:val="es-MX"/>
        </w:rPr>
        <w:br w:type="page"/>
      </w:r>
    </w:p>
    <w:p w:rsidR="0038365E" w:rsidRPr="00B934EF" w:rsidRDefault="00B934EF" w:rsidP="00466386">
      <w:pPr>
        <w:spacing w:line="360" w:lineRule="auto"/>
        <w:jc w:val="both"/>
        <w:rPr>
          <w:rFonts w:ascii="Arial" w:hAnsi="Arial" w:cs="Arial"/>
          <w:b/>
          <w:sz w:val="24"/>
          <w:szCs w:val="24"/>
          <w:lang w:val="es-MX"/>
        </w:rPr>
      </w:pPr>
      <w:r w:rsidRPr="00B934EF">
        <w:rPr>
          <w:rFonts w:ascii="Arial" w:hAnsi="Arial" w:cs="Arial"/>
          <w:b/>
          <w:sz w:val="24"/>
          <w:szCs w:val="24"/>
          <w:lang w:val="es-MX"/>
        </w:rPr>
        <w:lastRenderedPageBreak/>
        <w:t>Referencias</w:t>
      </w:r>
    </w:p>
    <w:p w:rsidR="00323808" w:rsidRPr="00323808" w:rsidRDefault="00B934EF" w:rsidP="00323808">
      <w:pPr>
        <w:widowControl w:val="0"/>
        <w:autoSpaceDE w:val="0"/>
        <w:autoSpaceDN w:val="0"/>
        <w:adjustRightInd w:val="0"/>
        <w:spacing w:line="360" w:lineRule="auto"/>
        <w:ind w:left="480" w:hanging="480"/>
        <w:rPr>
          <w:rFonts w:ascii="Arial" w:hAnsi="Arial" w:cs="Arial"/>
          <w:noProof/>
          <w:sz w:val="24"/>
          <w:szCs w:val="24"/>
        </w:rPr>
      </w:pPr>
      <w:r>
        <w:rPr>
          <w:rFonts w:ascii="Arial" w:hAnsi="Arial" w:cs="Arial"/>
          <w:sz w:val="24"/>
          <w:szCs w:val="24"/>
          <w:lang w:val="es-MX"/>
        </w:rPr>
        <w:fldChar w:fldCharType="begin" w:fldLock="1"/>
      </w:r>
      <w:r w:rsidRPr="00543090">
        <w:rPr>
          <w:rFonts w:ascii="Arial" w:hAnsi="Arial" w:cs="Arial"/>
          <w:sz w:val="24"/>
          <w:szCs w:val="24"/>
        </w:rPr>
        <w:instrText xml:space="preserve">ADDIN Mendeley Bibliography CSL_BIBLIOGRAPHY </w:instrText>
      </w:r>
      <w:r>
        <w:rPr>
          <w:rFonts w:ascii="Arial" w:hAnsi="Arial" w:cs="Arial"/>
          <w:sz w:val="24"/>
          <w:szCs w:val="24"/>
          <w:lang w:val="es-MX"/>
        </w:rPr>
        <w:fldChar w:fldCharType="separate"/>
      </w:r>
      <w:r w:rsidR="00323808" w:rsidRPr="00323808">
        <w:rPr>
          <w:rFonts w:ascii="Arial" w:hAnsi="Arial" w:cs="Arial"/>
          <w:noProof/>
          <w:sz w:val="24"/>
          <w:szCs w:val="24"/>
        </w:rPr>
        <w:t xml:space="preserve">Breitenbach, Michael et al. 2015. “Oxidative Stress in Fungi: Its Function in Signal Transduction, Interaction with Plant Hosts, and Lignocellulose Degradation.” </w:t>
      </w:r>
      <w:r w:rsidR="00323808" w:rsidRPr="00323808">
        <w:rPr>
          <w:rFonts w:ascii="Arial" w:hAnsi="Arial" w:cs="Arial"/>
          <w:i/>
          <w:iCs/>
          <w:noProof/>
          <w:sz w:val="24"/>
          <w:szCs w:val="24"/>
        </w:rPr>
        <w:t>Biomolecules</w:t>
      </w:r>
      <w:r w:rsidR="00323808" w:rsidRPr="00323808">
        <w:rPr>
          <w:rFonts w:ascii="Arial" w:hAnsi="Arial" w:cs="Arial"/>
          <w:noProof/>
          <w:sz w:val="24"/>
          <w:szCs w:val="24"/>
        </w:rPr>
        <w:t xml:space="preserve"> 5(2): 318–42. http://www.ncbi.nlm.nih.gov/pubmed/25854186 (August 22, 2018).</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Grimm, L. H., S. Kelly, R. Krull, and D. C. Hempel. 2005. “Morphology and Productivity of Filamentous Fungi.” </w:t>
      </w:r>
      <w:r w:rsidRPr="00323808">
        <w:rPr>
          <w:rFonts w:ascii="Arial" w:hAnsi="Arial" w:cs="Arial"/>
          <w:i/>
          <w:iCs/>
          <w:noProof/>
          <w:sz w:val="24"/>
          <w:szCs w:val="24"/>
        </w:rPr>
        <w:t>Applied Microbiology and Biotechnology</w:t>
      </w:r>
      <w:r w:rsidRPr="00323808">
        <w:rPr>
          <w:rFonts w:ascii="Arial" w:hAnsi="Arial" w:cs="Arial"/>
          <w:noProof/>
          <w:sz w:val="24"/>
          <w:szCs w:val="24"/>
        </w:rPr>
        <w:t xml:space="preserve"> 69(4): 375–84. http://link.springer.com/10.1007/s00253-005-0213-5 (August 22, 2018).</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Hibbett, David S. et al. 2007. “A Higher-Level Phylogenetic Classification of the Fungi.” </w:t>
      </w:r>
      <w:r w:rsidRPr="00323808">
        <w:rPr>
          <w:rFonts w:ascii="Arial" w:hAnsi="Arial" w:cs="Arial"/>
          <w:i/>
          <w:iCs/>
          <w:noProof/>
          <w:sz w:val="24"/>
          <w:szCs w:val="24"/>
        </w:rPr>
        <w:t>Mycological Research</w:t>
      </w:r>
      <w:r w:rsidRPr="00323808">
        <w:rPr>
          <w:rFonts w:ascii="Arial" w:hAnsi="Arial" w:cs="Arial"/>
          <w:noProof/>
          <w:sz w:val="24"/>
          <w:szCs w:val="24"/>
        </w:rPr>
        <w:t xml:space="preserve"> 111(5): 509–47. http://www.ncbi.nlm.nih.gov/pubmed/17572334 (August 22, 2018).</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Li, Liande et al. 2007. “Heterotrimeric G Protein Signaling in Filamentous Fungi.” </w:t>
      </w:r>
      <w:r w:rsidRPr="00323808">
        <w:rPr>
          <w:rFonts w:ascii="Arial" w:hAnsi="Arial" w:cs="Arial"/>
          <w:i/>
          <w:iCs/>
          <w:noProof/>
          <w:sz w:val="24"/>
          <w:szCs w:val="24"/>
        </w:rPr>
        <w:t>Annual Review of Microbiology</w:t>
      </w:r>
      <w:r w:rsidRPr="00323808">
        <w:rPr>
          <w:rFonts w:ascii="Arial" w:hAnsi="Arial" w:cs="Arial"/>
          <w:noProof/>
          <w:sz w:val="24"/>
          <w:szCs w:val="24"/>
        </w:rPr>
        <w:t xml:space="preserve"> 61(1): 423–52. http://www.annualreviews.org/doi/10.1146/annurev.micro.61.080706.093432.</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Liu, S, and R a Dean. 1997. “G Protein Alpha Subunit Genes Control Growth, Development, and Pathogenicity of Magnaporthe Grisea.” </w:t>
      </w:r>
      <w:r w:rsidRPr="00323808">
        <w:rPr>
          <w:rFonts w:ascii="Arial" w:hAnsi="Arial" w:cs="Arial"/>
          <w:i/>
          <w:iCs/>
          <w:noProof/>
          <w:sz w:val="24"/>
          <w:szCs w:val="24"/>
        </w:rPr>
        <w:t>Molecular plant-microbe interactions : MPMI</w:t>
      </w:r>
      <w:r w:rsidRPr="00323808">
        <w:rPr>
          <w:rFonts w:ascii="Arial" w:hAnsi="Arial" w:cs="Arial"/>
          <w:noProof/>
          <w:sz w:val="24"/>
          <w:szCs w:val="24"/>
        </w:rPr>
        <w:t xml:space="preserve"> 10(9): 1075–86. http://www.ncbi.nlm.nih.gov/pubmed/9390422.</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Mager, W H, A H de Boer, M H Siderius, and H P Voss. 2000. “Cellular Responses to Oxidative and Osmotic Stress.” </w:t>
      </w:r>
      <w:r w:rsidRPr="00323808">
        <w:rPr>
          <w:rFonts w:ascii="Arial" w:hAnsi="Arial" w:cs="Arial"/>
          <w:i/>
          <w:iCs/>
          <w:noProof/>
          <w:sz w:val="24"/>
          <w:szCs w:val="24"/>
        </w:rPr>
        <w:t>Cell stress &amp; chaperones</w:t>
      </w:r>
      <w:r w:rsidRPr="00323808">
        <w:rPr>
          <w:rFonts w:ascii="Arial" w:hAnsi="Arial" w:cs="Arial"/>
          <w:noProof/>
          <w:sz w:val="24"/>
          <w:szCs w:val="24"/>
        </w:rPr>
        <w:t xml:space="preserve"> 5(2): 73–75. http://www.ncbi.nlm.nih.gov/pubmed/11147967 (August 22, 2018).</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Nevalainen, Helena, Liisa Kautto, and Junior Te’o. 2014. “Methods for Isolation and Cultivation of Filamentous Fungi.” In </w:t>
      </w:r>
      <w:r w:rsidRPr="00323808">
        <w:rPr>
          <w:rFonts w:ascii="Arial" w:hAnsi="Arial" w:cs="Arial"/>
          <w:i/>
          <w:iCs/>
          <w:noProof/>
          <w:sz w:val="24"/>
          <w:szCs w:val="24"/>
        </w:rPr>
        <w:t>Methods in Molecular Biology (Clifton, N.J.)</w:t>
      </w:r>
      <w:r w:rsidRPr="00323808">
        <w:rPr>
          <w:rFonts w:ascii="Arial" w:hAnsi="Arial" w:cs="Arial"/>
          <w:noProof/>
          <w:sz w:val="24"/>
          <w:szCs w:val="24"/>
        </w:rPr>
        <w:t>, , 3–16. http://www.ncbi.nlm.nih.gov/pubmed/24515356 (August 22, 2018).</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szCs w:val="24"/>
        </w:rPr>
      </w:pPr>
      <w:r w:rsidRPr="00323808">
        <w:rPr>
          <w:rFonts w:ascii="Arial" w:hAnsi="Arial" w:cs="Arial"/>
          <w:noProof/>
          <w:sz w:val="24"/>
          <w:szCs w:val="24"/>
        </w:rPr>
        <w:t xml:space="preserve">Rens-Domiano, S, and Heidi E Hamm. 1995. “Structural and Functional </w:t>
      </w:r>
      <w:r w:rsidRPr="00323808">
        <w:rPr>
          <w:rFonts w:ascii="Arial" w:hAnsi="Arial" w:cs="Arial"/>
          <w:noProof/>
          <w:sz w:val="24"/>
          <w:szCs w:val="24"/>
        </w:rPr>
        <w:lastRenderedPageBreak/>
        <w:t xml:space="preserve">Relationships of Heterotrimeric G-Proteins.” </w:t>
      </w:r>
      <w:r w:rsidRPr="00323808">
        <w:rPr>
          <w:rFonts w:ascii="Arial" w:hAnsi="Arial" w:cs="Arial"/>
          <w:i/>
          <w:iCs/>
          <w:noProof/>
          <w:sz w:val="24"/>
          <w:szCs w:val="24"/>
        </w:rPr>
        <w:t>Faseb J</w:t>
      </w:r>
      <w:r w:rsidRPr="00323808">
        <w:rPr>
          <w:rFonts w:ascii="Arial" w:hAnsi="Arial" w:cs="Arial"/>
          <w:noProof/>
          <w:sz w:val="24"/>
          <w:szCs w:val="24"/>
        </w:rPr>
        <w:t xml:space="preserve"> 9(11): 1059–66.</w:t>
      </w:r>
    </w:p>
    <w:p w:rsidR="00323808" w:rsidRPr="00323808" w:rsidRDefault="00323808" w:rsidP="00323808">
      <w:pPr>
        <w:widowControl w:val="0"/>
        <w:autoSpaceDE w:val="0"/>
        <w:autoSpaceDN w:val="0"/>
        <w:adjustRightInd w:val="0"/>
        <w:spacing w:line="360" w:lineRule="auto"/>
        <w:ind w:left="480" w:hanging="480"/>
        <w:rPr>
          <w:rFonts w:ascii="Arial" w:hAnsi="Arial" w:cs="Arial"/>
          <w:noProof/>
          <w:sz w:val="24"/>
        </w:rPr>
      </w:pPr>
      <w:r w:rsidRPr="00323808">
        <w:rPr>
          <w:rFonts w:ascii="Arial" w:hAnsi="Arial" w:cs="Arial"/>
          <w:noProof/>
          <w:sz w:val="24"/>
          <w:szCs w:val="24"/>
        </w:rPr>
        <w:t>Simon, Melvin I, Michael P Strathmann, and Narasimhan Gautam. 1991. “Diversity of Proteins in Signal Transduction.” 252(5007): 802–8.</w:t>
      </w:r>
    </w:p>
    <w:p w:rsidR="00B934EF" w:rsidRPr="00B814CE" w:rsidRDefault="00B934EF" w:rsidP="00466386">
      <w:pPr>
        <w:spacing w:line="360" w:lineRule="auto"/>
        <w:jc w:val="both"/>
        <w:rPr>
          <w:rFonts w:ascii="Arial" w:hAnsi="Arial" w:cs="Arial"/>
          <w:sz w:val="24"/>
          <w:szCs w:val="24"/>
          <w:lang w:val="es-MX"/>
        </w:rPr>
      </w:pPr>
      <w:r>
        <w:rPr>
          <w:rFonts w:ascii="Arial" w:hAnsi="Arial" w:cs="Arial"/>
          <w:sz w:val="24"/>
          <w:szCs w:val="24"/>
          <w:lang w:val="es-MX"/>
        </w:rPr>
        <w:fldChar w:fldCharType="end"/>
      </w:r>
    </w:p>
    <w:sectPr w:rsidR="00B934EF" w:rsidRPr="00B814CE" w:rsidSect="00323808">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9"/>
    <w:rsid w:val="000E7CCD"/>
    <w:rsid w:val="00180FA9"/>
    <w:rsid w:val="001D6AC1"/>
    <w:rsid w:val="001D7953"/>
    <w:rsid w:val="00203BA0"/>
    <w:rsid w:val="00270382"/>
    <w:rsid w:val="00272DF4"/>
    <w:rsid w:val="002F5890"/>
    <w:rsid w:val="0030541A"/>
    <w:rsid w:val="00323808"/>
    <w:rsid w:val="00375690"/>
    <w:rsid w:val="0038365E"/>
    <w:rsid w:val="00400DD9"/>
    <w:rsid w:val="00453B66"/>
    <w:rsid w:val="00456D4F"/>
    <w:rsid w:val="00466386"/>
    <w:rsid w:val="00543090"/>
    <w:rsid w:val="005A2F2D"/>
    <w:rsid w:val="00666284"/>
    <w:rsid w:val="006C46FF"/>
    <w:rsid w:val="007A619F"/>
    <w:rsid w:val="008B627A"/>
    <w:rsid w:val="009E756E"/>
    <w:rsid w:val="009F4313"/>
    <w:rsid w:val="00A15066"/>
    <w:rsid w:val="00AE17E5"/>
    <w:rsid w:val="00B814CE"/>
    <w:rsid w:val="00B934EF"/>
    <w:rsid w:val="00B96678"/>
    <w:rsid w:val="00C8734B"/>
    <w:rsid w:val="00DC6FC6"/>
    <w:rsid w:val="00E45546"/>
    <w:rsid w:val="00E52D7D"/>
    <w:rsid w:val="00EA05C8"/>
    <w:rsid w:val="00ED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31AB"/>
  <w15:docId w15:val="{965BB511-D420-4DE9-BBF6-D6D91972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DD9"/>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365E"/>
    <w:rPr>
      <w:color w:val="0000FF"/>
      <w:u w:val="single"/>
    </w:rPr>
  </w:style>
  <w:style w:type="character" w:styleId="Nmerodelnea">
    <w:name w:val="line number"/>
    <w:basedOn w:val="Fuentedeprrafopredeter"/>
    <w:uiPriority w:val="99"/>
    <w:semiHidden/>
    <w:unhideWhenUsed/>
    <w:rsid w:val="0032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2228">
      <w:bodyDiv w:val="1"/>
      <w:marLeft w:val="0"/>
      <w:marRight w:val="0"/>
      <w:marTop w:val="0"/>
      <w:marBottom w:val="0"/>
      <w:divBdr>
        <w:top w:val="none" w:sz="0" w:space="0" w:color="auto"/>
        <w:left w:val="none" w:sz="0" w:space="0" w:color="auto"/>
        <w:bottom w:val="none" w:sz="0" w:space="0" w:color="auto"/>
        <w:right w:val="none" w:sz="0" w:space="0" w:color="auto"/>
      </w:divBdr>
      <w:divsChild>
        <w:div w:id="1842741561">
          <w:marLeft w:val="0"/>
          <w:marRight w:val="0"/>
          <w:marTop w:val="0"/>
          <w:marBottom w:val="0"/>
          <w:divBdr>
            <w:top w:val="none" w:sz="0" w:space="0" w:color="auto"/>
            <w:left w:val="none" w:sz="0" w:space="0" w:color="auto"/>
            <w:bottom w:val="none" w:sz="0" w:space="0" w:color="auto"/>
            <w:right w:val="none" w:sz="0" w:space="0" w:color="auto"/>
          </w:divBdr>
        </w:div>
        <w:div w:id="641734699">
          <w:marLeft w:val="0"/>
          <w:marRight w:val="0"/>
          <w:marTop w:val="0"/>
          <w:marBottom w:val="0"/>
          <w:divBdr>
            <w:top w:val="none" w:sz="0" w:space="0" w:color="auto"/>
            <w:left w:val="none" w:sz="0" w:space="0" w:color="auto"/>
            <w:bottom w:val="none" w:sz="0" w:space="0" w:color="auto"/>
            <w:right w:val="none" w:sz="0" w:space="0" w:color="auto"/>
          </w:divBdr>
          <w:divsChild>
            <w:div w:id="1867979742">
              <w:marLeft w:val="0"/>
              <w:marRight w:val="0"/>
              <w:marTop w:val="0"/>
              <w:marBottom w:val="0"/>
              <w:divBdr>
                <w:top w:val="none" w:sz="0" w:space="0" w:color="auto"/>
                <w:left w:val="none" w:sz="0" w:space="0" w:color="auto"/>
                <w:bottom w:val="none" w:sz="0" w:space="0" w:color="auto"/>
                <w:right w:val="none" w:sz="0" w:space="0" w:color="auto"/>
              </w:divBdr>
            </w:div>
            <w:div w:id="884104465">
              <w:marLeft w:val="0"/>
              <w:marRight w:val="0"/>
              <w:marTop w:val="0"/>
              <w:marBottom w:val="0"/>
              <w:divBdr>
                <w:top w:val="none" w:sz="0" w:space="0" w:color="auto"/>
                <w:left w:val="none" w:sz="0" w:space="0" w:color="auto"/>
                <w:bottom w:val="none" w:sz="0" w:space="0" w:color="auto"/>
                <w:right w:val="none" w:sz="0" w:space="0" w:color="auto"/>
              </w:divBdr>
            </w:div>
            <w:div w:id="1715305399">
              <w:marLeft w:val="0"/>
              <w:marRight w:val="0"/>
              <w:marTop w:val="0"/>
              <w:marBottom w:val="0"/>
              <w:divBdr>
                <w:top w:val="none" w:sz="0" w:space="0" w:color="auto"/>
                <w:left w:val="none" w:sz="0" w:space="0" w:color="auto"/>
                <w:bottom w:val="none" w:sz="0" w:space="0" w:color="auto"/>
                <w:right w:val="none" w:sz="0" w:space="0" w:color="auto"/>
              </w:divBdr>
            </w:div>
            <w:div w:id="1166243695">
              <w:marLeft w:val="0"/>
              <w:marRight w:val="0"/>
              <w:marTop w:val="0"/>
              <w:marBottom w:val="0"/>
              <w:divBdr>
                <w:top w:val="none" w:sz="0" w:space="0" w:color="auto"/>
                <w:left w:val="none" w:sz="0" w:space="0" w:color="auto"/>
                <w:bottom w:val="none" w:sz="0" w:space="0" w:color="auto"/>
                <w:right w:val="none" w:sz="0" w:space="0" w:color="auto"/>
              </w:divBdr>
            </w:div>
            <w:div w:id="380980950">
              <w:marLeft w:val="0"/>
              <w:marRight w:val="0"/>
              <w:marTop w:val="0"/>
              <w:marBottom w:val="0"/>
              <w:divBdr>
                <w:top w:val="none" w:sz="0" w:space="0" w:color="auto"/>
                <w:left w:val="none" w:sz="0" w:space="0" w:color="auto"/>
                <w:bottom w:val="none" w:sz="0" w:space="0" w:color="auto"/>
                <w:right w:val="none" w:sz="0" w:space="0" w:color="auto"/>
              </w:divBdr>
            </w:div>
            <w:div w:id="1964574188">
              <w:marLeft w:val="0"/>
              <w:marRight w:val="0"/>
              <w:marTop w:val="0"/>
              <w:marBottom w:val="0"/>
              <w:divBdr>
                <w:top w:val="none" w:sz="0" w:space="0" w:color="auto"/>
                <w:left w:val="none" w:sz="0" w:space="0" w:color="auto"/>
                <w:bottom w:val="none" w:sz="0" w:space="0" w:color="auto"/>
                <w:right w:val="none" w:sz="0" w:space="0" w:color="auto"/>
              </w:divBdr>
            </w:div>
            <w:div w:id="692417736">
              <w:marLeft w:val="0"/>
              <w:marRight w:val="0"/>
              <w:marTop w:val="0"/>
              <w:marBottom w:val="0"/>
              <w:divBdr>
                <w:top w:val="none" w:sz="0" w:space="0" w:color="auto"/>
                <w:left w:val="none" w:sz="0" w:space="0" w:color="auto"/>
                <w:bottom w:val="none" w:sz="0" w:space="0" w:color="auto"/>
                <w:right w:val="none" w:sz="0" w:space="0" w:color="auto"/>
              </w:divBdr>
            </w:div>
            <w:div w:id="1071780429">
              <w:marLeft w:val="0"/>
              <w:marRight w:val="0"/>
              <w:marTop w:val="0"/>
              <w:marBottom w:val="0"/>
              <w:divBdr>
                <w:top w:val="none" w:sz="0" w:space="0" w:color="auto"/>
                <w:left w:val="none" w:sz="0" w:space="0" w:color="auto"/>
                <w:bottom w:val="none" w:sz="0" w:space="0" w:color="auto"/>
                <w:right w:val="none" w:sz="0" w:space="0" w:color="auto"/>
              </w:divBdr>
            </w:div>
            <w:div w:id="254049957">
              <w:marLeft w:val="0"/>
              <w:marRight w:val="0"/>
              <w:marTop w:val="0"/>
              <w:marBottom w:val="0"/>
              <w:divBdr>
                <w:top w:val="none" w:sz="0" w:space="0" w:color="auto"/>
                <w:left w:val="none" w:sz="0" w:space="0" w:color="auto"/>
                <w:bottom w:val="none" w:sz="0" w:space="0" w:color="auto"/>
                <w:right w:val="none" w:sz="0" w:space="0" w:color="auto"/>
              </w:divBdr>
            </w:div>
          </w:divsChild>
        </w:div>
        <w:div w:id="1573000691">
          <w:marLeft w:val="0"/>
          <w:marRight w:val="0"/>
          <w:marTop w:val="0"/>
          <w:marBottom w:val="0"/>
          <w:divBdr>
            <w:top w:val="none" w:sz="0" w:space="0" w:color="auto"/>
            <w:left w:val="none" w:sz="0" w:space="0" w:color="auto"/>
            <w:bottom w:val="none" w:sz="0" w:space="0" w:color="auto"/>
            <w:right w:val="none" w:sz="0" w:space="0" w:color="auto"/>
          </w:divBdr>
          <w:divsChild>
            <w:div w:id="891813928">
              <w:marLeft w:val="0"/>
              <w:marRight w:val="0"/>
              <w:marTop w:val="0"/>
              <w:marBottom w:val="0"/>
              <w:divBdr>
                <w:top w:val="none" w:sz="0" w:space="0" w:color="auto"/>
                <w:left w:val="none" w:sz="0" w:space="0" w:color="auto"/>
                <w:bottom w:val="none" w:sz="0" w:space="0" w:color="auto"/>
                <w:right w:val="none" w:sz="0" w:space="0" w:color="auto"/>
              </w:divBdr>
            </w:div>
            <w:div w:id="236600837">
              <w:marLeft w:val="0"/>
              <w:marRight w:val="0"/>
              <w:marTop w:val="0"/>
              <w:marBottom w:val="0"/>
              <w:divBdr>
                <w:top w:val="none" w:sz="0" w:space="0" w:color="auto"/>
                <w:left w:val="none" w:sz="0" w:space="0" w:color="auto"/>
                <w:bottom w:val="none" w:sz="0" w:space="0" w:color="auto"/>
                <w:right w:val="none" w:sz="0" w:space="0" w:color="auto"/>
              </w:divBdr>
            </w:div>
            <w:div w:id="1888909564">
              <w:marLeft w:val="0"/>
              <w:marRight w:val="0"/>
              <w:marTop w:val="0"/>
              <w:marBottom w:val="0"/>
              <w:divBdr>
                <w:top w:val="none" w:sz="0" w:space="0" w:color="auto"/>
                <w:left w:val="none" w:sz="0" w:space="0" w:color="auto"/>
                <w:bottom w:val="none" w:sz="0" w:space="0" w:color="auto"/>
                <w:right w:val="none" w:sz="0" w:space="0" w:color="auto"/>
              </w:divBdr>
            </w:div>
            <w:div w:id="356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Sim91</b:Tag>
    <b:SourceType>JournalArticle</b:SourceType>
    <b:Guid>{431A41A6-5F76-47D4-A8E3-23E2AC9D5B9F}</b:Guid>
    <b:Author>
      <b:Author>
        <b:NameList>
          <b:Person>
            <b:Last>Simon</b:Last>
            <b:First>M.</b:First>
            <b:Middle>I.</b:Middle>
          </b:Person>
          <b:Person>
            <b:Last>Strathmann</b:Last>
            <b:First>M.</b:First>
            <b:Middle>P.</b:Middle>
          </b:Person>
          <b:Person>
            <b:Last>Gautam.</b:Last>
            <b:First>N.</b:First>
          </b:Person>
        </b:NameList>
      </b:Author>
    </b:Author>
    <b:Title>Diversity of G proteins in signal transduction</b:Title>
    <b:Year>1991</b:Year>
    <b:Publisher>Science</b:Publisher>
    <b:Volume>252</b:Volume>
    <b:StandardNumber>802-808</b:StandardNumber>
    <b:RefOrder>1</b:RefOrder>
  </b:Source>
</b:Sources>
</file>

<file path=customXml/itemProps1.xml><?xml version="1.0" encoding="utf-8"?>
<ds:datastoreItem xmlns:ds="http://schemas.openxmlformats.org/officeDocument/2006/customXml" ds:itemID="{98613FBC-0E8E-4C11-BB71-8F9F2813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5557</Words>
  <Characters>30569</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10</cp:revision>
  <dcterms:created xsi:type="dcterms:W3CDTF">2018-08-22T17:01:00Z</dcterms:created>
  <dcterms:modified xsi:type="dcterms:W3CDTF">2018-08-23T02:52:00Z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091844e1-5362-3b3c-978d-68b35a0de7f3</vt:lpwstr>
  </property>
  <property fmtid="{D5CDD505-2E9C-101B-9397-08002B2CF9AE}" pid="24" name="Mendeley Citation Style_1">
    <vt:lpwstr>http://www.zotero.org/styles/american-political-science-association</vt:lpwstr>
  </property>
</Properties>
</file>