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64"/>
          <w:szCs w:val="64"/>
        </w:rPr>
        <w:t xml:space="preserve">BOM COMPARATOR</w:t>
      </w:r>
    </w:p>
    <w:p>
      <w:pPr>
        <w:spacing w:before="200"/>
        <w:jc w:val="center"/>
      </w:pPr>
      <w:r>
        <w:rPr>
          <w:sz w:val="36"/>
          <w:szCs w:val="36"/>
        </w:rPr>
        <w:t xml:space="preserve">Configuration Status Accounting Tool</w:t>
      </w:r>
    </w:p>
    <w:p>
      <w:pPr>
        <w:spacing w:before="400"/>
        <w:jc w:val="center"/>
      </w:pPr>
      <w:r>
        <w:rPr>
          <w:b/>
          <w:bCs/>
          <w:sz w:val="44"/>
          <w:szCs w:val="44"/>
        </w:rPr>
        <w:t xml:space="preserve">User Guide</w:t>
      </w:r>
    </w:p>
    <w:p>
      <w:pPr>
        <w:spacing w:before="300"/>
        <w:jc w:val="center"/>
      </w:pPr>
      <w:r>
        <w:rPr>
          <w:color w:val="555555"/>
          <w:sz w:val="24"/>
          <w:szCs w:val="24"/>
        </w:rPr>
        <w:t xml:space="preserve">For build v149 (offline build 49) — July 2026</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rPr>
        <w:t xml:space="preserve">(In Word: right-click the table of contents and choose "Update Field" to populate page numbers.)</w:t>
      </w:r>
    </w:p>
    <w:p>
      <w:r>
        <w:br w:type="page"/>
      </w:r>
    </w:p>
    <w:p>
      <w:pPr>
        <w:pStyle w:val="Heading1"/>
        <w:spacing w:after="160" w:before="320"/>
      </w:pPr>
      <w:r>
        <w:t xml:space="preserve">1. What Comparator Is</w:t>
      </w:r>
    </w:p>
    <w:p>
      <w:pPr>
        <w:spacing w:after="120"/>
      </w:pPr>
      <w:r>
        <w:t xml:space="preserve">Comparator is a </w:t>
      </w:r>
      <w:r>
        <w:rPr>
          <w:b/>
          <w:bCs/>
        </w:rPr>
        <w:t xml:space="preserve">Configuration Status Accounting (CSA)</w:t>
      </w:r>
      <w:r>
        <w:t xml:space="preserve"> tool. It answers the fundamental configuration-management question for a build program: </w:t>
      </w:r>
      <w:r>
        <w:rPr>
          <w:b/>
          <w:bCs/>
        </w:rPr>
        <w:t xml:space="preserve">does what we built match what we designed, and can we prove it?</w:t>
      </w:r>
      <w:r>
        <w:t xml:space="preserve"> It does this by reconciling your Engineering Bill of Materials (the design) against your Manufacturing Bill of Materials (the plan) and your As-Built Bill of Materials (the physical record), then layering in change history, work orders, nonconformances, variances, and your Configuration Items list.</w:t>
      </w:r>
    </w:p>
    <w:p>
      <w:pPr>
        <w:spacing w:after="120"/>
      </w:pPr>
      <w:r>
        <w:t xml:space="preserve">The tool is a </w:t>
      </w:r>
      <w:r>
        <w:rPr>
          <w:b/>
          <w:bCs/>
        </w:rPr>
        <w:t xml:space="preserve">single file that runs entirely in your web browser</w:t>
      </w:r>
      <w:r>
        <w:t xml:space="preserve">. Nothing is uploaded to any server — your BOMs never leave your computer. There is no installation: open the HTML file in a modern browser (Chrome or Edge recommended) and you are running it. It works with no network connection at all.</w:t>
      </w:r>
    </w:p>
    <w:p>
      <w:pPr>
        <w:pStyle w:val="Heading3"/>
        <w:spacing w:after="100" w:before="180"/>
      </w:pPr>
      <w:r>
        <w:t xml:space="preserve">The one-sentence version of what it computes</w:t>
      </w:r>
    </w:p>
    <w:p>
      <w:pPr>
        <w:spacing w:after="120"/>
      </w:pPr>
      <w:r>
        <w:t xml:space="preserve">For every line in your EBOM, Comparator asks: </w:t>
      </w:r>
      <w:r>
        <w:rPr>
          <w:i/>
          <w:iCs/>
        </w:rPr>
        <w:t xml:space="preserve">is this part accounted for in the plan (MBOM), and physically embodied in the article (ABOM) — directly, as a parent assembly, or through a reconciled ancestor — in the right quantity, under closed work orders?</w:t>
      </w:r>
      <w:r>
        <w:t xml:space="preserve"> Everything on the dashboard is some rollup or breakdown of that question.</w:t>
      </w:r>
    </w:p>
    <w:p>
      <w:pPr>
        <w:pStyle w:val="Heading1"/>
        <w:spacing w:after="160" w:before="320"/>
      </w:pPr>
      <w:r>
        <w:t xml:space="preserve">2. Quick Start</w:t>
      </w:r>
    </w:p>
    <w:p>
      <w:pPr>
        <w:pStyle w:val="ListParagraph"/>
        <w:numPr>
          <w:ilvl w:val="0"/>
          <w:numId w:val="2"/>
        </w:numPr>
        <w:spacing w:after="80"/>
      </w:pPr>
      <w:r>
        <w:rPr>
          <w:b/>
          <w:bCs/>
        </w:rPr>
        <w:t xml:space="preserve">Open the HTML file</w:t>
      </w:r>
      <w:r>
        <w:t xml:space="preserve"> in Chrome or Edge.</w:t>
      </w:r>
    </w:p>
    <w:p>
      <w:pPr>
        <w:pStyle w:val="ListParagraph"/>
        <w:numPr>
          <w:ilvl w:val="0"/>
          <w:numId w:val="2"/>
        </w:numPr>
        <w:spacing w:after="80"/>
      </w:pPr>
      <w:r>
        <w:rPr>
          <w:b/>
          <w:bCs/>
        </w:rPr>
        <w:t xml:space="preserve">Choose a comparison mode</w:t>
      </w:r>
      <w:r>
        <w:t xml:space="preserve"> (EBOM↔MBOM, EBOM↔ABOM, MBOM↔ABOM, or the combined three-way). The mode controls which upload zones are active.</w:t>
      </w:r>
    </w:p>
    <w:p>
      <w:pPr>
        <w:pStyle w:val="ListParagraph"/>
        <w:numPr>
          <w:ilvl w:val="0"/>
          <w:numId w:val="2"/>
        </w:numPr>
        <w:spacing w:after="80"/>
      </w:pPr>
      <w:r>
        <w:rPr>
          <w:b/>
          <w:bCs/>
        </w:rPr>
        <w:t xml:space="preserve">Load your files</w:t>
      </w:r>
      <w:r>
        <w:t xml:space="preserve"> into the upload zones (Section 01). At minimum, load the two or three BOMs your mode requires. Add CP, WO5, NCR, CI, RFV, and ACN files for richer traceability — each unlocks additional columns, cards, and reports.</w:t>
      </w:r>
    </w:p>
    <w:p>
      <w:pPr>
        <w:pStyle w:val="ListParagraph"/>
        <w:numPr>
          <w:ilvl w:val="0"/>
          <w:numId w:val="2"/>
        </w:numPr>
        <w:spacing w:after="80"/>
      </w:pPr>
      <w:r>
        <w:rPr>
          <w:b/>
          <w:bCs/>
        </w:rPr>
        <w:t xml:space="preserve">Check the column mapping</w:t>
      </w:r>
      <w:r>
        <w:t xml:space="preserve"> if your files use a non-standard layout (see 3.2).</w:t>
      </w:r>
    </w:p>
    <w:p>
      <w:pPr>
        <w:pStyle w:val="ListParagraph"/>
        <w:numPr>
          <w:ilvl w:val="0"/>
          <w:numId w:val="2"/>
        </w:numPr>
        <w:spacing w:after="80"/>
      </w:pPr>
      <w:r>
        <w:rPr>
          <w:b/>
          <w:bCs/>
        </w:rPr>
        <w:t xml:space="preserve">Run the comparison.</w:t>
      </w:r>
      <w:r>
        <w:t xml:space="preserve"> The KPI sections, charts, and the Detailed View table populate.</w:t>
      </w:r>
    </w:p>
    <w:p>
      <w:pPr>
        <w:pStyle w:val="ListParagraph"/>
        <w:numPr>
          <w:ilvl w:val="0"/>
          <w:numId w:val="2"/>
        </w:numPr>
        <w:spacing w:after="80"/>
      </w:pPr>
      <w:r>
        <w:rPr>
          <w:b/>
          <w:bCs/>
        </w:rPr>
        <w:t xml:space="preserve">Read the dashboard</w:t>
      </w:r>
      <w:r>
        <w:t xml:space="preserve"> top-down: headline percentages first, then the issue cards, then drill into anything by clicking its card, and finally work the row-level detail in Section 03.</w:t>
      </w:r>
    </w:p>
    <w:p>
      <w:pPr>
        <w:pStyle w:val="ListParagraph"/>
        <w:numPr>
          <w:ilvl w:val="0"/>
          <w:numId w:val="2"/>
        </w:numPr>
        <w:spacing w:after="80"/>
      </w:pPr>
      <w:r>
        <w:rPr>
          <w:b/>
          <w:bCs/>
        </w:rPr>
        <w:t xml:space="preserve">Export</w:t>
      </w:r>
      <w:r>
        <w:t xml:space="preserve"> what you need (Section 9) and </w:t>
      </w:r>
      <w:r>
        <w:rPr>
          <w:b/>
          <w:bCs/>
        </w:rPr>
        <w:t xml:space="preserve">save your session</w:t>
      </w:r>
      <w:r>
        <w:t xml:space="preserve"> (Section 10) so you can return to exactly this state later.</w:t>
      </w:r>
    </w:p>
    <w:p>
      <w:pPr>
        <w:pStyle w:val="Heading1"/>
        <w:spacing w:after="160" w:before="320"/>
      </w:pPr>
      <w:r>
        <w:t xml:space="preserve">3. Loading Your Data</w:t>
      </w:r>
    </w:p>
    <w:p>
      <w:pPr>
        <w:pStyle w:val="Heading2"/>
        <w:spacing w:after="120" w:before="240"/>
      </w:pPr>
      <w:r>
        <w:t xml:space="preserve">3.1 The nine data sources</w:t>
      </w:r>
    </w:p>
    <w:p>
      <w:pPr>
        <w:spacing w:after="120"/>
      </w:pPr>
      <w:r>
        <w:t xml:space="preserve">Each upload zone accepts an Excel file. The three BOMs drive the reconciliation; the other six enrich it. A zone that your comparison mode does not use is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tblHeader/>
        </w:trPr>
        <w:tc>
          <w:tcPr>
            <w:tcW w:type="dxa" w:w="900"/>
            <w:shd w:fill="E8EAF0" w:val="clear"/>
            <w:tcMar>
              <w:top w:type="dxa" w:w="60"/>
              <w:left w:type="dxa" w:w="100"/>
              <w:bottom w:type="dxa" w:w="60"/>
              <w:right w:type="dxa" w:w="100"/>
            </w:tcMar>
          </w:tcPr>
          <w:p>
            <w:pPr>
              <w:spacing w:after="0"/>
            </w:pPr>
            <w:r>
              <w:t xml:space="preserve">Zone</w:t>
            </w:r>
          </w:p>
        </w:tc>
        <w:tc>
          <w:tcPr>
            <w:tcW w:type="dxa" w:w="2300"/>
            <w:shd w:fill="E8EAF0" w:val="clear"/>
            <w:tcMar>
              <w:top w:type="dxa" w:w="60"/>
              <w:left w:type="dxa" w:w="100"/>
              <w:bottom w:type="dxa" w:w="60"/>
              <w:right w:type="dxa" w:w="100"/>
            </w:tcMar>
          </w:tcPr>
          <w:p>
            <w:pPr>
              <w:spacing w:after="0"/>
            </w:pPr>
            <w:r>
              <w:t xml:space="preserve">File</w:t>
            </w:r>
          </w:p>
        </w:tc>
        <w:tc>
          <w:tcPr>
            <w:tcW w:type="dxa" w:w="6160"/>
            <w:shd w:fill="E8EAF0" w:val="clear"/>
            <w:tcMar>
              <w:top w:type="dxa" w:w="60"/>
              <w:left w:type="dxa" w:w="100"/>
              <w:bottom w:type="dxa" w:w="60"/>
              <w:right w:type="dxa" w:w="100"/>
            </w:tcMar>
          </w:tcPr>
          <w:p>
            <w:pPr>
              <w:spacing w:after="0"/>
            </w:pPr>
            <w:r>
              <w:t xml:space="preserve">What it contributes</w:t>
            </w:r>
          </w:p>
        </w:tc>
      </w:tr>
      <w:tr>
        <w:tc>
          <w:tcPr>
            <w:tcW w:type="dxa" w:w="900"/>
            <w:tcMar>
              <w:top w:type="dxa" w:w="60"/>
              <w:left w:type="dxa" w:w="100"/>
              <w:bottom w:type="dxa" w:w="60"/>
              <w:right w:type="dxa" w:w="100"/>
            </w:tcMar>
          </w:tcPr>
          <w:p>
            <w:pPr>
              <w:spacing w:after="0"/>
            </w:pPr>
            <w:r>
              <w:t xml:space="preserve">EBOM</w:t>
            </w:r>
          </w:p>
        </w:tc>
        <w:tc>
          <w:tcPr>
            <w:tcW w:type="dxa" w:w="2300"/>
            <w:tcMar>
              <w:top w:type="dxa" w:w="60"/>
              <w:left w:type="dxa" w:w="100"/>
              <w:bottom w:type="dxa" w:w="60"/>
              <w:right w:type="dxa" w:w="100"/>
            </w:tcMar>
          </w:tcPr>
          <w:p>
            <w:pPr>
              <w:spacing w:after="0"/>
            </w:pPr>
            <w:r>
              <w:t xml:space="preserve">Engineering BOM</w:t>
            </w:r>
          </w:p>
        </w:tc>
        <w:tc>
          <w:tcPr>
            <w:tcW w:type="dxa" w:w="6160"/>
            <w:tcMar>
              <w:top w:type="dxa" w:w="60"/>
              <w:left w:type="dxa" w:w="100"/>
              <w:bottom w:type="dxa" w:w="60"/>
              <w:right w:type="dxa" w:w="100"/>
            </w:tcMar>
          </w:tcPr>
          <w:p>
            <w:pPr>
              <w:spacing w:after="0"/>
            </w:pPr>
            <w:r>
              <w:t xml:space="preserve">The as-designed baseline. Every reconciliation is anchored to EBOM line items.</w:t>
            </w:r>
          </w:p>
        </w:tc>
      </w:tr>
      <w:tr>
        <w:tc>
          <w:tcPr>
            <w:tcW w:type="dxa" w:w="900"/>
            <w:tcMar>
              <w:top w:type="dxa" w:w="60"/>
              <w:left w:type="dxa" w:w="100"/>
              <w:bottom w:type="dxa" w:w="60"/>
              <w:right w:type="dxa" w:w="100"/>
            </w:tcMar>
          </w:tcPr>
          <w:p>
            <w:pPr>
              <w:spacing w:after="0"/>
            </w:pPr>
            <w:r>
              <w:t xml:space="preserve">MBOM</w:t>
            </w:r>
          </w:p>
        </w:tc>
        <w:tc>
          <w:tcPr>
            <w:tcW w:type="dxa" w:w="2300"/>
            <w:tcMar>
              <w:top w:type="dxa" w:w="60"/>
              <w:left w:type="dxa" w:w="100"/>
              <w:bottom w:type="dxa" w:w="60"/>
              <w:right w:type="dxa" w:w="100"/>
            </w:tcMar>
          </w:tcPr>
          <w:p>
            <w:pPr>
              <w:spacing w:after="0"/>
            </w:pPr>
            <w:r>
              <w:t xml:space="preserve">Manufacturing BOM</w:t>
            </w:r>
          </w:p>
        </w:tc>
        <w:tc>
          <w:tcPr>
            <w:tcW w:type="dxa" w:w="6160"/>
            <w:tcMar>
              <w:top w:type="dxa" w:w="60"/>
              <w:left w:type="dxa" w:w="100"/>
              <w:bottom w:type="dxa" w:w="60"/>
              <w:right w:type="dxa" w:w="100"/>
            </w:tcMar>
          </w:tcPr>
          <w:p>
            <w:pPr>
              <w:spacing w:after="0"/>
            </w:pPr>
            <w:r>
              <w:t xml:space="preserve">The as-planned build structure. Answers "was it planned?"</w:t>
            </w:r>
          </w:p>
        </w:tc>
      </w:tr>
      <w:tr>
        <w:tc>
          <w:tcPr>
            <w:tcW w:type="dxa" w:w="900"/>
            <w:tcMar>
              <w:top w:type="dxa" w:w="60"/>
              <w:left w:type="dxa" w:w="100"/>
              <w:bottom w:type="dxa" w:w="60"/>
              <w:right w:type="dxa" w:w="100"/>
            </w:tcMar>
          </w:tcPr>
          <w:p>
            <w:pPr>
              <w:spacing w:after="0"/>
            </w:pPr>
            <w:r>
              <w:t xml:space="preserve">ABOM</w:t>
            </w:r>
          </w:p>
        </w:tc>
        <w:tc>
          <w:tcPr>
            <w:tcW w:type="dxa" w:w="2300"/>
            <w:tcMar>
              <w:top w:type="dxa" w:w="60"/>
              <w:left w:type="dxa" w:w="100"/>
              <w:bottom w:type="dxa" w:w="60"/>
              <w:right w:type="dxa" w:w="100"/>
            </w:tcMar>
          </w:tcPr>
          <w:p>
            <w:pPr>
              <w:spacing w:after="0"/>
            </w:pPr>
            <w:r>
              <w:t xml:space="preserve">As-Built BOM</w:t>
            </w:r>
          </w:p>
        </w:tc>
        <w:tc>
          <w:tcPr>
            <w:tcW w:type="dxa" w:w="6160"/>
            <w:tcMar>
              <w:top w:type="dxa" w:w="60"/>
              <w:left w:type="dxa" w:w="100"/>
              <w:bottom w:type="dxa" w:w="60"/>
              <w:right w:type="dxa" w:w="100"/>
            </w:tcMar>
          </w:tcPr>
          <w:p>
            <w:pPr>
              <w:spacing w:after="0"/>
            </w:pPr>
            <w:r>
              <w:t xml:space="preserve">The as-built record. Answers "was it physically embodied, and under what work orders?"</w:t>
            </w:r>
          </w:p>
        </w:tc>
      </w:tr>
      <w:tr>
        <w:tc>
          <w:tcPr>
            <w:tcW w:type="dxa" w:w="900"/>
            <w:tcMar>
              <w:top w:type="dxa" w:w="60"/>
              <w:left w:type="dxa" w:w="100"/>
              <w:bottom w:type="dxa" w:w="60"/>
              <w:right w:type="dxa" w:w="100"/>
            </w:tcMar>
          </w:tcPr>
          <w:p>
            <w:pPr>
              <w:spacing w:after="0"/>
            </w:pPr>
            <w:r>
              <w:t xml:space="preserve">CP</w:t>
            </w:r>
          </w:p>
        </w:tc>
        <w:tc>
          <w:tcPr>
            <w:tcW w:type="dxa" w:w="2300"/>
            <w:tcMar>
              <w:top w:type="dxa" w:w="60"/>
              <w:left w:type="dxa" w:w="100"/>
              <w:bottom w:type="dxa" w:w="60"/>
              <w:right w:type="dxa" w:w="100"/>
            </w:tcMar>
          </w:tcPr>
          <w:p>
            <w:pPr>
              <w:spacing w:after="0"/>
            </w:pPr>
            <w:r>
              <w:t xml:space="preserve">Change Pedigree</w:t>
            </w:r>
          </w:p>
        </w:tc>
        <w:tc>
          <w:tcPr>
            <w:tcW w:type="dxa" w:w="6160"/>
            <w:tcMar>
              <w:top w:type="dxa" w:w="60"/>
              <w:left w:type="dxa" w:w="100"/>
              <w:bottom w:type="dxa" w:w="60"/>
              <w:right w:type="dxa" w:w="100"/>
            </w:tcMar>
          </w:tcPr>
          <w:p>
            <w:pPr>
              <w:spacing w:after="0"/>
            </w:pPr>
            <w:r>
              <w:t xml:space="preserve">DCN / ECN / ECR change history traced to part numbers; feeds the Drawing and change columns.</w:t>
            </w:r>
          </w:p>
        </w:tc>
      </w:tr>
      <w:tr>
        <w:tc>
          <w:tcPr>
            <w:tcW w:type="dxa" w:w="900"/>
            <w:tcMar>
              <w:top w:type="dxa" w:w="60"/>
              <w:left w:type="dxa" w:w="100"/>
              <w:bottom w:type="dxa" w:w="60"/>
              <w:right w:type="dxa" w:w="100"/>
            </w:tcMar>
          </w:tcPr>
          <w:p>
            <w:pPr>
              <w:spacing w:after="0"/>
            </w:pPr>
            <w:r>
              <w:t xml:space="preserve">WO5</w:t>
            </w:r>
          </w:p>
        </w:tc>
        <w:tc>
          <w:tcPr>
            <w:tcW w:type="dxa" w:w="2300"/>
            <w:tcMar>
              <w:top w:type="dxa" w:w="60"/>
              <w:left w:type="dxa" w:w="100"/>
              <w:bottom w:type="dxa" w:w="60"/>
              <w:right w:type="dxa" w:w="100"/>
            </w:tcMar>
          </w:tcPr>
          <w:p>
            <w:pPr>
              <w:spacing w:after="0"/>
            </w:pPr>
            <w:r>
              <w:t xml:space="preserve">Installed/Removed Report</w:t>
            </w:r>
          </w:p>
        </w:tc>
        <w:tc>
          <w:tcPr>
            <w:tcW w:type="dxa" w:w="6160"/>
            <w:tcMar>
              <w:top w:type="dxa" w:w="60"/>
              <w:left w:type="dxa" w:w="100"/>
              <w:bottom w:type="dxa" w:w="60"/>
              <w:right w:type="dxa" w:w="100"/>
            </w:tcMar>
          </w:tcPr>
          <w:p>
            <w:pPr>
              <w:spacing w:after="0"/>
            </w:pPr>
            <w:r>
              <w:t xml:space="preserve">Work-order install/remove actions with serials and dates.</w:t>
            </w:r>
          </w:p>
        </w:tc>
      </w:tr>
      <w:tr>
        <w:tc>
          <w:tcPr>
            <w:tcW w:type="dxa" w:w="900"/>
            <w:tcMar>
              <w:top w:type="dxa" w:w="60"/>
              <w:left w:type="dxa" w:w="100"/>
              <w:bottom w:type="dxa" w:w="60"/>
              <w:right w:type="dxa" w:w="100"/>
            </w:tcMar>
          </w:tcPr>
          <w:p>
            <w:pPr>
              <w:spacing w:after="0"/>
            </w:pPr>
            <w:r>
              <w:t xml:space="preserve">NCR</w:t>
            </w:r>
          </w:p>
        </w:tc>
        <w:tc>
          <w:tcPr>
            <w:tcW w:type="dxa" w:w="2300"/>
            <w:tcMar>
              <w:top w:type="dxa" w:w="60"/>
              <w:left w:type="dxa" w:w="100"/>
              <w:bottom w:type="dxa" w:w="60"/>
              <w:right w:type="dxa" w:w="100"/>
            </w:tcMar>
          </w:tcPr>
          <w:p>
            <w:pPr>
              <w:spacing w:after="0"/>
            </w:pPr>
            <w:r>
              <w:t xml:space="preserve">Nonconformance Records</w:t>
            </w:r>
          </w:p>
        </w:tc>
        <w:tc>
          <w:tcPr>
            <w:tcW w:type="dxa" w:w="6160"/>
            <w:tcMar>
              <w:top w:type="dxa" w:w="60"/>
              <w:left w:type="dxa" w:w="100"/>
              <w:bottom w:type="dxa" w:w="60"/>
              <w:right w:type="dxa" w:w="100"/>
            </w:tcMar>
          </w:tcPr>
          <w:p>
            <w:pPr>
              <w:spacing w:after="0"/>
            </w:pPr>
            <w:r>
              <w:t xml:space="preserve">Discrepant parts, dispositions, cause and defect codes; feeds the NCR columns, charts, and CI cards.</w:t>
            </w:r>
          </w:p>
        </w:tc>
      </w:tr>
      <w:tr>
        <w:tc>
          <w:tcPr>
            <w:tcW w:type="dxa" w:w="900"/>
            <w:tcMar>
              <w:top w:type="dxa" w:w="60"/>
              <w:left w:type="dxa" w:w="100"/>
              <w:bottom w:type="dxa" w:w="60"/>
              <w:right w:type="dxa" w:w="100"/>
            </w:tcMar>
          </w:tcPr>
          <w:p>
            <w:pPr>
              <w:spacing w:after="0"/>
            </w:pPr>
            <w:r>
              <w:t xml:space="preserve">CI</w:t>
            </w:r>
          </w:p>
        </w:tc>
        <w:tc>
          <w:tcPr>
            <w:tcW w:type="dxa" w:w="2300"/>
            <w:tcMar>
              <w:top w:type="dxa" w:w="60"/>
              <w:left w:type="dxa" w:w="100"/>
              <w:bottom w:type="dxa" w:w="60"/>
              <w:right w:type="dxa" w:w="100"/>
            </w:tcMar>
          </w:tcPr>
          <w:p>
            <w:pPr>
              <w:spacing w:after="0"/>
            </w:pPr>
            <w:r>
              <w:t xml:space="preserve">Configuration Items List</w:t>
            </w:r>
          </w:p>
        </w:tc>
        <w:tc>
          <w:tcPr>
            <w:tcW w:type="dxa" w:w="6160"/>
            <w:tcMar>
              <w:top w:type="dxa" w:w="60"/>
              <w:left w:type="dxa" w:w="100"/>
              <w:bottom w:type="dxa" w:w="60"/>
              <w:right w:type="dxa" w:w="100"/>
            </w:tcMar>
          </w:tcPr>
          <w:p>
            <w:pPr>
              <w:spacing w:after="0"/>
            </w:pPr>
            <w:r>
              <w:t xml:space="preserve">The acquirer-designated CI list (CI ID, PN, Next Higher). Unlocks the entire CI Status section.</w:t>
            </w:r>
          </w:p>
        </w:tc>
      </w:tr>
      <w:tr>
        <w:tc>
          <w:tcPr>
            <w:tcW w:type="dxa" w:w="900"/>
            <w:tcMar>
              <w:top w:type="dxa" w:w="60"/>
              <w:left w:type="dxa" w:w="100"/>
              <w:bottom w:type="dxa" w:w="60"/>
              <w:right w:type="dxa" w:w="100"/>
            </w:tcMar>
          </w:tcPr>
          <w:p>
            <w:pPr>
              <w:spacing w:after="0"/>
            </w:pPr>
            <w:r>
              <w:t xml:space="preserve">RFV</w:t>
            </w:r>
          </w:p>
        </w:tc>
        <w:tc>
          <w:tcPr>
            <w:tcW w:type="dxa" w:w="2300"/>
            <w:tcMar>
              <w:top w:type="dxa" w:w="60"/>
              <w:left w:type="dxa" w:w="100"/>
              <w:bottom w:type="dxa" w:w="60"/>
              <w:right w:type="dxa" w:w="100"/>
            </w:tcMar>
          </w:tcPr>
          <w:p>
            <w:pPr>
              <w:spacing w:after="0"/>
            </w:pPr>
            <w:r>
              <w:t xml:space="preserve">Request for Variance</w:t>
            </w:r>
          </w:p>
        </w:tc>
        <w:tc>
          <w:tcPr>
            <w:tcW w:type="dxa" w:w="6160"/>
            <w:tcMar>
              <w:top w:type="dxa" w:w="60"/>
              <w:left w:type="dxa" w:w="100"/>
              <w:bottom w:type="dxa" w:w="60"/>
              <w:right w:type="dxa" w:w="100"/>
            </w:tcMar>
          </w:tcPr>
          <w:p>
            <w:pPr>
              <w:spacing w:after="0"/>
            </w:pPr>
            <w:r>
              <w:t xml:space="preserve">Approved deviations/waivers. Unlocks RFV coverage cards and the RFV report.</w:t>
            </w:r>
          </w:p>
        </w:tc>
      </w:tr>
      <w:tr>
        <w:tc>
          <w:tcPr>
            <w:tcW w:type="dxa" w:w="900"/>
            <w:tcMar>
              <w:top w:type="dxa" w:w="60"/>
              <w:left w:type="dxa" w:w="100"/>
              <w:bottom w:type="dxa" w:w="60"/>
              <w:right w:type="dxa" w:w="100"/>
            </w:tcMar>
          </w:tcPr>
          <w:p>
            <w:pPr>
              <w:spacing w:after="0"/>
            </w:pPr>
            <w:r>
              <w:t xml:space="preserve">ACN</w:t>
            </w:r>
          </w:p>
        </w:tc>
        <w:tc>
          <w:tcPr>
            <w:tcW w:type="dxa" w:w="2300"/>
            <w:tcMar>
              <w:top w:type="dxa" w:w="60"/>
              <w:left w:type="dxa" w:w="100"/>
              <w:bottom w:type="dxa" w:w="60"/>
              <w:right w:type="dxa" w:w="100"/>
            </w:tcMar>
          </w:tcPr>
          <w:p>
            <w:pPr>
              <w:spacing w:after="0"/>
            </w:pPr>
            <w:r>
              <w:t xml:space="preserve">Authorized Clearance Notice</w:t>
            </w:r>
          </w:p>
        </w:tc>
        <w:tc>
          <w:tcPr>
            <w:tcW w:type="dxa" w:w="6160"/>
            <w:tcMar>
              <w:top w:type="dxa" w:w="60"/>
              <w:left w:type="dxa" w:w="100"/>
              <w:bottom w:type="dxa" w:w="60"/>
              <w:right w:type="dxa" w:w="100"/>
            </w:tcMar>
          </w:tcPr>
          <w:p>
            <w:pPr>
              <w:spacing w:after="0"/>
            </w:pPr>
            <w:r>
              <w:t xml:space="preserve">Qualification/conditional-use status. Unlocks the ACN section and report.</w:t>
            </w:r>
          </w:p>
        </w:tc>
      </w:tr>
    </w:tbl>
    <w:p>
      <w:pPr>
        <w:pStyle w:val="Heading2"/>
        <w:spacing w:after="120" w:before="240"/>
      </w:pPr>
      <w:r>
        <w:t xml:space="preserve">3.2 Column mappings</w:t>
      </w:r>
    </w:p>
    <w:p>
      <w:pPr>
        <w:spacing w:after="120"/>
      </w:pPr>
      <w:r>
        <w:t xml:space="preserve">EBOM and ABOM support preset layouts (</w:t>
      </w:r>
      <w:r>
        <w:rPr>
          <w:b/>
          <w:bCs/>
        </w:rPr>
        <w:t xml:space="preserve">Mapping 1</w:t>
      </w:r>
      <w:r>
        <w:t xml:space="preserve">, </w:t>
      </w:r>
      <w:r>
        <w:rPr>
          <w:b/>
          <w:bCs/>
        </w:rPr>
        <w:t xml:space="preserve">Mapping 2</w:t>
      </w:r>
      <w:r>
        <w:t xml:space="preserve">) and a </w:t>
      </w:r>
      <w:r>
        <w:rPr>
          <w:b/>
          <w:bCs/>
        </w:rPr>
        <w:t xml:space="preserve">Manual</w:t>
      </w:r>
      <w:r>
        <w:t xml:space="preserve"> remapper; CP, NCR, and ACN support a Default layout plus a Manual map. If your file’s columns are in different positions than the default, set the mapping before running — the tool reads by position, not by header name. Your chosen mappings are saved and restored with the session.</w:t>
      </w:r>
    </w:p>
    <w:p>
      <w:pPr>
        <w:spacing w:after="120"/>
      </w:pPr>
      <w:r>
        <w:rPr>
          <w:i/>
          <w:iCs/>
        </w:rPr>
        <w:t xml:space="preserve">A note on documentation:</w:t>
      </w:r>
      <w:r>
        <w:t xml:space="preserve"> wherever this guide or the tool cites a column letter (for example "EBOM column D"), that letter describes the </w:t>
      </w:r>
      <w:r>
        <w:rPr>
          <w:b/>
          <w:bCs/>
        </w:rPr>
        <w:t xml:space="preserve">default Mapping 1 layout</w:t>
      </w:r>
      <w:r>
        <w:t xml:space="preserve">. If you use Mapping 2 or a manual map, the letters in your file will differ.</w:t>
      </w:r>
    </w:p>
    <w:p>
      <w:pPr>
        <w:pStyle w:val="Heading2"/>
        <w:spacing w:after="120" w:before="240"/>
      </w:pPr>
      <w:r>
        <w:t xml:space="preserve">3.3 Comparison modes</w:t>
      </w:r>
    </w:p>
    <w:p>
      <w:pPr>
        <w:spacing w:after="120"/>
      </w:pPr>
      <w:r>
        <w:rPr>
          <w:b/>
          <w:bCs/>
        </w:rPr>
        <w:t xml:space="preserve">EBOM↔MBOM</w:t>
      </w:r>
      <w:r>
        <w:t xml:space="preserve"> measures planning coverage. </w:t>
      </w:r>
      <w:r>
        <w:rPr>
          <w:b/>
          <w:bCs/>
        </w:rPr>
        <w:t xml:space="preserve">EBOM↔ABOM</w:t>
      </w:r>
      <w:r>
        <w:t xml:space="preserve"> measures physical embodiment. </w:t>
      </w:r>
      <w:r>
        <w:rPr>
          <w:b/>
          <w:bCs/>
        </w:rPr>
        <w:t xml:space="preserve">EBOM↔MBOM↔ABOM</w:t>
      </w:r>
      <w:r>
        <w:t xml:space="preserve"> runs both against the same EBOM baseline. </w:t>
      </w:r>
      <w:r>
        <w:rPr>
          <w:b/>
          <w:bCs/>
        </w:rPr>
        <w:t xml:space="preserve">MBOM↔ABOM</w:t>
      </w:r>
      <w:r>
        <w:t xml:space="preserve"> compares plan to build without a design anchor; in this mode the EBOM-anchored passes and sections are disabled.</w:t>
      </w:r>
    </w:p>
    <w:p>
      <w:pPr>
        <w:pStyle w:val="Heading1"/>
        <w:spacing w:after="160" w:before="320"/>
      </w:pPr>
      <w:r>
        <w:t xml:space="preserve">4. How the Reconciliation Works (Read This Once)</w:t>
      </w:r>
    </w:p>
    <w:p>
      <w:pPr>
        <w:spacing w:after="120"/>
      </w:pPr>
      <w:r>
        <w:t xml:space="preserve">Five ideas explain almost everything you will see on screen. Ten minutes here saves hours of misreading later.</w:t>
      </w:r>
    </w:p>
    <w:p>
      <w:pPr>
        <w:pStyle w:val="Heading2"/>
        <w:spacing w:after="120" w:before="240"/>
      </w:pPr>
      <w:r>
        <w:t xml:space="preserve">4.1 The three passes</w:t>
      </w:r>
    </w:p>
    <w:p>
      <w:pPr>
        <w:spacing w:after="120"/>
      </w:pPr>
      <w:r>
        <w:t xml:space="preserve">Every active EBOM line item is tested three independent ways against the target BOM. An item can satisfy more than one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shd w:fill="E8EAF0" w:val="clear"/>
            <w:tcMar>
              <w:top w:type="dxa" w:w="60"/>
              <w:left w:type="dxa" w:w="100"/>
              <w:bottom w:type="dxa" w:w="60"/>
              <w:right w:type="dxa" w:w="100"/>
            </w:tcMar>
          </w:tcPr>
          <w:p>
            <w:pPr>
              <w:spacing w:after="0"/>
            </w:pPr>
            <w:r>
              <w:t xml:space="preserve">Pass</w:t>
            </w:r>
          </w:p>
        </w:tc>
        <w:tc>
          <w:tcPr>
            <w:tcW w:type="dxa" w:w="3700"/>
            <w:shd w:fill="E8EAF0" w:val="clear"/>
            <w:tcMar>
              <w:top w:type="dxa" w:w="60"/>
              <w:left w:type="dxa" w:w="100"/>
              <w:bottom w:type="dxa" w:w="60"/>
              <w:right w:type="dxa" w:w="100"/>
            </w:tcMar>
          </w:tcPr>
          <w:p>
            <w:pPr>
              <w:spacing w:after="0"/>
            </w:pPr>
            <w:r>
              <w:t xml:space="preserve">Question it asks</w:t>
            </w:r>
          </w:p>
        </w:tc>
        <w:tc>
          <w:tcPr>
            <w:tcW w:type="dxa" w:w="3960"/>
            <w:shd w:fill="E8EAF0" w:val="clear"/>
            <w:tcMar>
              <w:top w:type="dxa" w:w="60"/>
              <w:left w:type="dxa" w:w="100"/>
              <w:bottom w:type="dxa" w:w="60"/>
              <w:right w:type="dxa" w:w="100"/>
            </w:tcMar>
          </w:tcPr>
          <w:p>
            <w:pPr>
              <w:spacing w:after="0"/>
            </w:pPr>
            <w:r>
              <w:t xml:space="preserve">Plain reading</w:t>
            </w:r>
          </w:p>
        </w:tc>
      </w:tr>
      <w:tr>
        <w:tc>
          <w:tcPr>
            <w:tcW w:type="dxa" w:w="1700"/>
            <w:tcMar>
              <w:top w:type="dxa" w:w="60"/>
              <w:left w:type="dxa" w:w="100"/>
              <w:bottom w:type="dxa" w:w="60"/>
              <w:right w:type="dxa" w:w="100"/>
            </w:tcMar>
          </w:tcPr>
          <w:p>
            <w:pPr>
              <w:spacing w:after="0"/>
            </w:pPr>
            <w:r>
              <w:t xml:space="preserve">Pass 1 — Direct</w:t>
            </w:r>
          </w:p>
        </w:tc>
        <w:tc>
          <w:tcPr>
            <w:tcW w:type="dxa" w:w="3700"/>
            <w:tcMar>
              <w:top w:type="dxa" w:w="60"/>
              <w:left w:type="dxa" w:w="100"/>
              <w:bottom w:type="dxa" w:w="60"/>
              <w:right w:type="dxa" w:w="100"/>
            </w:tcMar>
          </w:tcPr>
          <w:p>
            <w:pPr>
              <w:spacing w:after="0"/>
            </w:pPr>
            <w:r>
              <w:t xml:space="preserve">Does an exact Part Number + Next Higher match exist, with sufficient quantity?</w:t>
            </w:r>
          </w:p>
        </w:tc>
        <w:tc>
          <w:tcPr>
            <w:tcW w:type="dxa" w:w="3960"/>
            <w:tcMar>
              <w:top w:type="dxa" w:w="60"/>
              <w:left w:type="dxa" w:w="100"/>
              <w:bottom w:type="dxa" w:w="60"/>
              <w:right w:type="dxa" w:w="100"/>
            </w:tcMar>
          </w:tcPr>
          <w:p>
            <w:pPr>
              <w:spacing w:after="0"/>
            </w:pPr>
            <w:r>
              <w:t xml:space="preserve">The part is there, as its own line, where the design says, in the right amount.</w:t>
            </w:r>
          </w:p>
        </w:tc>
      </w:tr>
      <w:tr>
        <w:tc>
          <w:tcPr>
            <w:tcW w:type="dxa" w:w="1700"/>
            <w:tcMar>
              <w:top w:type="dxa" w:w="60"/>
              <w:left w:type="dxa" w:w="100"/>
              <w:bottom w:type="dxa" w:w="60"/>
              <w:right w:type="dxa" w:w="100"/>
            </w:tcMar>
          </w:tcPr>
          <w:p>
            <w:pPr>
              <w:spacing w:after="0"/>
            </w:pPr>
            <w:r>
              <w:t xml:space="preserve">Pass 2 — Used-On</w:t>
            </w:r>
          </w:p>
        </w:tc>
        <w:tc>
          <w:tcPr>
            <w:tcW w:type="dxa" w:w="3700"/>
            <w:tcMar>
              <w:top w:type="dxa" w:w="60"/>
              <w:left w:type="dxa" w:w="100"/>
              <w:bottom w:type="dxa" w:w="60"/>
              <w:right w:type="dxa" w:w="100"/>
            </w:tcMar>
          </w:tcPr>
          <w:p>
            <w:pPr>
              <w:spacing w:after="0"/>
            </w:pPr>
            <w:r>
              <w:t xml:space="preserve">Does the part’s number appear as a </w:t>
            </w:r>
            <w:r>
              <w:rPr>
                <w:i/>
                <w:iCs/>
              </w:rPr>
              <w:t xml:space="preserve">parent assembly</w:t>
            </w:r>
            <w:r>
              <w:t xml:space="preserve"> (Used-On) value?</w:t>
            </w:r>
          </w:p>
        </w:tc>
        <w:tc>
          <w:tcPr>
            <w:tcW w:type="dxa" w:w="3960"/>
            <w:tcMar>
              <w:top w:type="dxa" w:w="60"/>
              <w:left w:type="dxa" w:w="100"/>
              <w:bottom w:type="dxa" w:w="60"/>
              <w:right w:type="dxa" w:w="100"/>
            </w:tcMar>
          </w:tcPr>
          <w:p>
            <w:pPr>
              <w:spacing w:after="0"/>
            </w:pPr>
            <w:r>
              <w:t xml:space="preserve">The part is present as an assembly that other parts were built into.</w:t>
            </w:r>
          </w:p>
        </w:tc>
      </w:tr>
      <w:tr>
        <w:tc>
          <w:tcPr>
            <w:tcW w:type="dxa" w:w="1700"/>
            <w:tcMar>
              <w:top w:type="dxa" w:w="60"/>
              <w:left w:type="dxa" w:w="100"/>
              <w:bottom w:type="dxa" w:w="60"/>
              <w:right w:type="dxa" w:w="100"/>
            </w:tcMar>
          </w:tcPr>
          <w:p>
            <w:pPr>
              <w:spacing w:after="0"/>
            </w:pPr>
            <w:r>
              <w:t xml:space="preserve">Pass 3 — Ancestor</w:t>
            </w:r>
          </w:p>
        </w:tc>
        <w:tc>
          <w:tcPr>
            <w:tcW w:type="dxa" w:w="3700"/>
            <w:tcMar>
              <w:top w:type="dxa" w:w="60"/>
              <w:left w:type="dxa" w:w="100"/>
              <w:bottom w:type="dxa" w:w="60"/>
              <w:right w:type="dxa" w:w="100"/>
            </w:tcMar>
          </w:tcPr>
          <w:p>
            <w:pPr>
              <w:spacing w:after="0"/>
            </w:pPr>
            <w:r>
              <w:t xml:space="preserve">Is a parent up the indenture chain reconciled?</w:t>
            </w:r>
          </w:p>
        </w:tc>
        <w:tc>
          <w:tcPr>
            <w:tcW w:type="dxa" w:w="3960"/>
            <w:tcMar>
              <w:top w:type="dxa" w:w="60"/>
              <w:left w:type="dxa" w:w="100"/>
              <w:bottom w:type="dxa" w:w="60"/>
              <w:right w:type="dxa" w:w="100"/>
            </w:tcMar>
          </w:tcPr>
          <w:p>
            <w:pPr>
              <w:spacing w:after="0"/>
            </w:pPr>
            <w:r>
              <w:t xml:space="preserve">The part itself isn’t listed, but a higher assembly containing it is accounted for.</w:t>
            </w:r>
          </w:p>
        </w:tc>
      </w:tr>
    </w:tbl>
    <w:p>
      <w:pPr>
        <w:spacing w:after="120"/>
      </w:pPr>
      <w:r>
        <w:t xml:space="preserve">Quantity is checked at Pass 1 only. Passes 2 and 3 establish presence/coverage, not amounts.</w:t>
      </w:r>
    </w:p>
    <w:p>
      <w:pPr>
        <w:pStyle w:val="Heading2"/>
        <w:spacing w:after="120" w:before="240"/>
      </w:pPr>
      <w:r>
        <w:t xml:space="preserve">4.2 Closed vs. open work orders (ABOM side)</w:t>
      </w:r>
    </w:p>
    <w:p>
      <w:pPr>
        <w:spacing w:after="120"/>
      </w:pPr>
      <w:r>
        <w:t xml:space="preserve">The as-built record is split into two pools: rows under </w:t>
      </w:r>
      <w:r>
        <w:rPr>
          <w:b/>
          <w:bCs/>
        </w:rPr>
        <w:t xml:space="preserve">CLOSED</w:t>
      </w:r>
      <w:r>
        <w:t xml:space="preserve"> work orders and rows under any other status. The three passes run against the </w:t>
      </w:r>
      <w:r>
        <w:rPr>
          <w:b/>
          <w:bCs/>
        </w:rPr>
        <w:t xml:space="preserve">closed</w:t>
      </w:r>
      <w:r>
        <w:t xml:space="preserve"> pool — embodiment only "counts" when the paperwork is finished. Items found only under open work orders are surfaced separately (the "WO Not Closed" cards and statuses) so you can see work in progress without letting it inflate closure numbers. "Missing" means the item failed every path against </w:t>
      </w:r>
      <w:r>
        <w:rPr>
          <w:i/>
          <w:iCs/>
        </w:rPr>
        <w:t xml:space="preserve">both</w:t>
      </w:r>
      <w:r>
        <w:t xml:space="preserve"> pools.</w:t>
      </w:r>
    </w:p>
    <w:p>
      <w:pPr>
        <w:pStyle w:val="Heading2"/>
        <w:spacing w:after="120" w:before="240"/>
      </w:pPr>
      <w:r>
        <w:t xml:space="preserve">4.3 ABOM quantities: Roll Up vs. per WO</w:t>
      </w:r>
    </w:p>
    <w:p>
      <w:pPr>
        <w:spacing w:after="120"/>
      </w:pPr>
      <w:r>
        <w:t xml:space="preserve">One part under one assembly may have many as-built records — installs, removals, swaps across work orders. The engine computes a </w:t>
      </w:r>
      <w:r>
        <w:rPr>
          <w:b/>
          <w:bCs/>
        </w:rPr>
        <w:t xml:space="preserve">net</w:t>
      </w:r>
      <w:r>
        <w:t xml:space="preserve"> quantity per line (adds minus removes; a swap with no other add counts as an add). That net is the </w:t>
      </w:r>
      <w:r>
        <w:rPr>
          <w:b/>
          <w:bCs/>
        </w:rPr>
        <w:t xml:space="preserve">"Roll Up"</w:t>
      </w:r>
      <w:r>
        <w:t xml:space="preserve"> figure and is what all quantity checks use. The individual raw records are preserved and shown as </w:t>
      </w:r>
      <w:r>
        <w:rPr>
          <w:b/>
          <w:bCs/>
        </w:rPr>
        <w:t xml:space="preserve">"per WO"</w:t>
      </w:r>
      <w:r>
        <w:t xml:space="preserve"> values, each aligned with its own work order, proc code, WO status, and Job Number. The per-WO values will </w:t>
      </w:r>
      <w:r>
        <w:rPr>
          <w:i/>
          <w:iCs/>
        </w:rPr>
        <w:t xml:space="preserve">not</w:t>
      </w:r>
      <w:r>
        <w:t xml:space="preserve"> always sum to the Roll Up when removals or swaps are present — that is correct, and both views are shown so you can see why.</w:t>
      </w:r>
    </w:p>
    <w:p>
      <w:pPr>
        <w:pStyle w:val="Heading2"/>
        <w:spacing w:after="120" w:before="240"/>
      </w:pPr>
      <w:r>
        <w:t xml:space="preserve">4.4 Duplicate EBOM lines are merged — and numbered</w:t>
      </w:r>
    </w:p>
    <w:p>
      <w:pPr>
        <w:spacing w:after="120"/>
      </w:pPr>
      <w:r>
        <w:t xml:space="preserve">The summary table shows </w:t>
      </w:r>
      <w:r>
        <w:rPr>
          <w:b/>
          <w:bCs/>
        </w:rPr>
        <w:t xml:space="preserve">one row per unique Part Number + Next Higher combination</w:t>
      </w:r>
      <w:r>
        <w:t xml:space="preserve">. If your EBOM contains the same part under the same assembly on two lines (e.g., two find numbers), those lines are </w:t>
      </w:r>
      <w:r>
        <w:rPr>
          <w:b/>
          <w:bCs/>
        </w:rPr>
        <w:t xml:space="preserve">merged into a single row</w:t>
      </w:r>
      <w:r>
        <w:t xml:space="preserve">: its EBOM Qty is their </w:t>
      </w:r>
      <w:r>
        <w:rPr>
          <w:b/>
          <w:bCs/>
        </w:rPr>
        <w:t xml:space="preserve">sum</w:t>
      </w:r>
      <w:r>
        <w:t xml:space="preserve"> (and all quantity checks compare against that sum), and its Part Qty Text shows whichever duplicate appeared </w:t>
      </w:r>
      <w:r>
        <w:rPr>
          <w:i/>
          <w:iCs/>
        </w:rPr>
        <w:t xml:space="preserve">last</w:t>
      </w:r>
      <w:r>
        <w:t xml:space="preserve"> in the file. To keep the original lines visible, every physical EBOM row is assigned a permanent </w:t>
      </w:r>
      <w:r>
        <w:rPr>
          <w:b/>
          <w:bCs/>
        </w:rPr>
        <w:t xml:space="preserve">EBOM Line #</w:t>
      </w:r>
      <w:r>
        <w:t xml:space="preserve"> at load time; a merged row carries all of its source numbers (e.g., "12; 47") in the Excel exports.</w:t>
      </w:r>
    </w:p>
    <w:p>
      <w:pPr>
        <w:pStyle w:val="Heading2"/>
        <w:spacing w:after="120" w:before="240"/>
      </w:pPr>
      <w:r>
        <w:t xml:space="preserve">4.5 What the statuses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AF0" w:val="clear"/>
            <w:tcMar>
              <w:top w:type="dxa" w:w="60"/>
              <w:left w:type="dxa" w:w="100"/>
              <w:bottom w:type="dxa" w:w="60"/>
              <w:right w:type="dxa" w:w="100"/>
            </w:tcMar>
          </w:tcPr>
          <w:p>
            <w:pPr>
              <w:spacing w:after="0"/>
            </w:pPr>
            <w:r>
              <w:t xml:space="preserve">Status / badge</w:t>
            </w:r>
          </w:p>
        </w:tc>
        <w:tc>
          <w:tcPr>
            <w:tcW w:type="dxa" w:w="6760"/>
            <w:shd w:fill="E8EAF0" w:val="clear"/>
            <w:tcMar>
              <w:top w:type="dxa" w:w="60"/>
              <w:left w:type="dxa" w:w="100"/>
              <w:bottom w:type="dxa" w:w="60"/>
              <w:right w:type="dxa" w:w="100"/>
            </w:tcMar>
          </w:tcPr>
          <w:p>
            <w:pPr>
              <w:spacing w:after="0"/>
            </w:pPr>
            <w:r>
              <w:t xml:space="preserve">Meaning</w:t>
            </w:r>
          </w:p>
        </w:tc>
      </w:tr>
      <w:tr>
        <w:tc>
          <w:tcPr>
            <w:tcW w:type="dxa" w:w="2600"/>
            <w:tcMar>
              <w:top w:type="dxa" w:w="60"/>
              <w:left w:type="dxa" w:w="100"/>
              <w:bottom w:type="dxa" w:w="60"/>
              <w:right w:type="dxa" w:w="100"/>
            </w:tcMar>
          </w:tcPr>
          <w:p>
            <w:pPr>
              <w:spacing w:after="0"/>
            </w:pPr>
            <w:r>
              <w:t xml:space="preserve">✓ DIRECT (ok / flex ok)</w:t>
            </w:r>
          </w:p>
        </w:tc>
        <w:tc>
          <w:tcPr>
            <w:tcW w:type="dxa" w:w="6760"/>
            <w:tcMar>
              <w:top w:type="dxa" w:w="60"/>
              <w:left w:type="dxa" w:w="100"/>
              <w:bottom w:type="dxa" w:w="60"/>
              <w:right w:type="dxa" w:w="100"/>
            </w:tcMar>
          </w:tcPr>
          <w:p>
            <w:pPr>
              <w:spacing w:after="0"/>
            </w:pPr>
            <w:r>
              <w:t xml:space="preserve">Pass 1 success. "Flex" means the line is SUB or AR — any quantity is acceptable by design.</w:t>
            </w:r>
          </w:p>
        </w:tc>
      </w:tr>
      <w:tr>
        <w:tc>
          <w:tcPr>
            <w:tcW w:type="dxa" w:w="2600"/>
            <w:tcMar>
              <w:top w:type="dxa" w:w="60"/>
              <w:left w:type="dxa" w:w="100"/>
              <w:bottom w:type="dxa" w:w="60"/>
              <w:right w:type="dxa" w:w="100"/>
            </w:tcMar>
          </w:tcPr>
          <w:p>
            <w:pPr>
              <w:spacing w:after="0"/>
            </w:pPr>
            <w:r>
              <w:t xml:space="preserve">↗ PN USED-ON MATCH</w:t>
            </w:r>
          </w:p>
        </w:tc>
        <w:tc>
          <w:tcPr>
            <w:tcW w:type="dxa" w:w="6760"/>
            <w:tcMar>
              <w:top w:type="dxa" w:w="60"/>
              <w:left w:type="dxa" w:w="100"/>
              <w:bottom w:type="dxa" w:w="60"/>
              <w:right w:type="dxa" w:w="100"/>
            </w:tcMar>
          </w:tcPr>
          <w:p>
            <w:pPr>
              <w:spacing w:after="0"/>
            </w:pPr>
            <w:r>
              <w:t xml:space="preserve">Pass 2 success — the part is present as a parent assembly.</w:t>
            </w:r>
          </w:p>
        </w:tc>
      </w:tr>
      <w:tr>
        <w:tc>
          <w:tcPr>
            <w:tcW w:type="dxa" w:w="2600"/>
            <w:tcMar>
              <w:top w:type="dxa" w:w="60"/>
              <w:left w:type="dxa" w:w="100"/>
              <w:bottom w:type="dxa" w:w="60"/>
              <w:right w:type="dxa" w:w="100"/>
            </w:tcMar>
          </w:tcPr>
          <w:p>
            <w:pPr>
              <w:spacing w:after="0"/>
            </w:pPr>
            <w:r>
              <w:t xml:space="preserve">↑ PARENT IND. (covered)</w:t>
            </w:r>
          </w:p>
        </w:tc>
        <w:tc>
          <w:tcPr>
            <w:tcW w:type="dxa" w:w="6760"/>
            <w:tcMar>
              <w:top w:type="dxa" w:w="60"/>
              <w:left w:type="dxa" w:w="100"/>
              <w:bottom w:type="dxa" w:w="60"/>
              <w:right w:type="dxa" w:w="100"/>
            </w:tcMar>
          </w:tcPr>
          <w:p>
            <w:pPr>
              <w:spacing w:after="0"/>
            </w:pPr>
            <w:r>
              <w:t xml:space="preserve">Pass 3 success — reconciled through an indenture ancestor.</w:t>
            </w:r>
          </w:p>
        </w:tc>
      </w:tr>
      <w:tr>
        <w:tc>
          <w:tcPr>
            <w:tcW w:type="dxa" w:w="2600"/>
            <w:tcMar>
              <w:top w:type="dxa" w:w="60"/>
              <w:left w:type="dxa" w:w="100"/>
              <w:bottom w:type="dxa" w:w="60"/>
              <w:right w:type="dxa" w:w="100"/>
            </w:tcMar>
          </w:tcPr>
          <w:p>
            <w:pPr>
              <w:spacing w:after="0"/>
            </w:pPr>
            <w:r>
              <w:t xml:space="preserve">⚠ QTY MISMATCH</w:t>
            </w:r>
          </w:p>
        </w:tc>
        <w:tc>
          <w:tcPr>
            <w:tcW w:type="dxa" w:w="6760"/>
            <w:tcMar>
              <w:top w:type="dxa" w:w="60"/>
              <w:left w:type="dxa" w:w="100"/>
              <w:bottom w:type="dxa" w:w="60"/>
              <w:right w:type="dxa" w:w="100"/>
            </w:tcMar>
          </w:tcPr>
          <w:p>
            <w:pPr>
              <w:spacing w:after="0"/>
            </w:pPr>
            <w:r>
              <w:t xml:space="preserve">Found directly, but the target quantity is short of the EBOM quantity. Only shortfalls flag; surplus does not.</w:t>
            </w:r>
          </w:p>
        </w:tc>
      </w:tr>
      <w:tr>
        <w:tc>
          <w:tcPr>
            <w:tcW w:type="dxa" w:w="2600"/>
            <w:tcMar>
              <w:top w:type="dxa" w:w="60"/>
              <w:left w:type="dxa" w:w="100"/>
              <w:bottom w:type="dxa" w:w="60"/>
              <w:right w:type="dxa" w:w="100"/>
            </w:tcMar>
          </w:tcPr>
          <w:p>
            <w:pPr>
              <w:spacing w:after="0"/>
            </w:pPr>
            <w:r>
              <w:t xml:space="preserve">⚠ WO NOT CLOSED</w:t>
            </w:r>
          </w:p>
        </w:tc>
        <w:tc>
          <w:tcPr>
            <w:tcW w:type="dxa" w:w="6760"/>
            <w:tcMar>
              <w:top w:type="dxa" w:w="60"/>
              <w:left w:type="dxa" w:w="100"/>
              <w:bottom w:type="dxa" w:w="60"/>
              <w:right w:type="dxa" w:w="100"/>
            </w:tcMar>
          </w:tcPr>
          <w:p>
            <w:pPr>
              <w:spacing w:after="0"/>
            </w:pPr>
            <w:r>
              <w:t xml:space="preserve">Present in the ABOM, but only under a work order that is not closed. In-progress, not final.</w:t>
            </w:r>
          </w:p>
        </w:tc>
      </w:tr>
      <w:tr>
        <w:tc>
          <w:tcPr>
            <w:tcW w:type="dxa" w:w="2600"/>
            <w:tcMar>
              <w:top w:type="dxa" w:w="60"/>
              <w:left w:type="dxa" w:w="100"/>
              <w:bottom w:type="dxa" w:w="60"/>
              <w:right w:type="dxa" w:w="100"/>
            </w:tcMar>
          </w:tcPr>
          <w:p>
            <w:pPr>
              <w:spacing w:after="0"/>
            </w:pPr>
            <w:r>
              <w:t xml:space="preserve">⊘ PROC REMOVED</w:t>
            </w:r>
          </w:p>
        </w:tc>
        <w:tc>
          <w:tcPr>
            <w:tcW w:type="dxa" w:w="6760"/>
            <w:tcMar>
              <w:top w:type="dxa" w:w="60"/>
              <w:left w:type="dxa" w:w="100"/>
              <w:bottom w:type="dxa" w:w="60"/>
              <w:right w:type="dxa" w:w="100"/>
            </w:tcMar>
          </w:tcPr>
          <w:p>
            <w:pPr>
              <w:spacing w:after="0"/>
            </w:pPr>
            <w:r>
              <w:t xml:space="preserve">Every as-built record for the line nets to a removal — it was taken out and nothing effective remains.</w:t>
            </w:r>
          </w:p>
        </w:tc>
      </w:tr>
      <w:tr>
        <w:tc>
          <w:tcPr>
            <w:tcW w:type="dxa" w:w="2600"/>
            <w:tcMar>
              <w:top w:type="dxa" w:w="60"/>
              <w:left w:type="dxa" w:w="100"/>
              <w:bottom w:type="dxa" w:w="60"/>
              <w:right w:type="dxa" w:w="100"/>
            </w:tcMar>
          </w:tcPr>
          <w:p>
            <w:pPr>
              <w:spacing w:after="0"/>
            </w:pPr>
            <w:r>
              <w:t xml:space="preserve">✗ MISSING</w:t>
            </w:r>
          </w:p>
        </w:tc>
        <w:tc>
          <w:tcPr>
            <w:tcW w:type="dxa" w:w="6760"/>
            <w:tcMar>
              <w:top w:type="dxa" w:w="60"/>
              <w:left w:type="dxa" w:w="100"/>
              <w:bottom w:type="dxa" w:w="60"/>
              <w:right w:type="dxa" w:w="100"/>
            </w:tcMar>
          </w:tcPr>
          <w:p>
            <w:pPr>
              <w:spacing w:after="0"/>
            </w:pPr>
            <w:r>
              <w:t xml:space="preserve">Failed all three passes against both WO pools.</w:t>
            </w:r>
          </w:p>
        </w:tc>
      </w:tr>
      <w:tr>
        <w:tc>
          <w:tcPr>
            <w:tcW w:type="dxa" w:w="2600"/>
            <w:tcMar>
              <w:top w:type="dxa" w:w="60"/>
              <w:left w:type="dxa" w:w="100"/>
              <w:bottom w:type="dxa" w:w="60"/>
              <w:right w:type="dxa" w:w="100"/>
            </w:tcMar>
          </w:tcPr>
          <w:p>
            <w:pPr>
              <w:spacing w:after="0"/>
            </w:pPr>
            <w:r>
              <w:t xml:space="preserve">◆ COLLECTOR (A/B)</w:t>
            </w:r>
          </w:p>
        </w:tc>
        <w:tc>
          <w:tcPr>
            <w:tcW w:type="dxa" w:w="6760"/>
            <w:tcMar>
              <w:top w:type="dxa" w:w="60"/>
              <w:left w:type="dxa" w:w="100"/>
              <w:bottom w:type="dxa" w:w="60"/>
              <w:right w:type="dxa" w:w="100"/>
            </w:tcMar>
          </w:tcPr>
          <w:p>
            <w:pPr>
              <w:spacing w:after="0"/>
            </w:pPr>
            <w:r>
              <w:t xml:space="preserve">A structural indenture level A/B row (including the top-level apex). Outside reconciliation scope by design.</w:t>
            </w:r>
          </w:p>
        </w:tc>
      </w:tr>
      <w:tr>
        <w:tc>
          <w:tcPr>
            <w:tcW w:type="dxa" w:w="2600"/>
            <w:tcMar>
              <w:top w:type="dxa" w:w="60"/>
              <w:left w:type="dxa" w:w="100"/>
              <w:bottom w:type="dxa" w:w="60"/>
              <w:right w:type="dxa" w:w="100"/>
            </w:tcMar>
          </w:tcPr>
          <w:p>
            <w:pPr>
              <w:spacing w:after="0"/>
            </w:pPr>
            <w:r>
              <w:t xml:space="preserve">⚑ ADJ (purple)</w:t>
            </w:r>
          </w:p>
        </w:tc>
        <w:tc>
          <w:tcPr>
            <w:tcW w:type="dxa" w:w="6760"/>
            <w:tcMar>
              <w:top w:type="dxa" w:w="60"/>
              <w:left w:type="dxa" w:w="100"/>
              <w:bottom w:type="dxa" w:w="60"/>
              <w:right w:type="dxa" w:w="100"/>
            </w:tcMar>
          </w:tcPr>
          <w:p>
            <w:pPr>
              <w:spacing w:after="0"/>
            </w:pPr>
            <w:r>
              <w:t xml:space="preserve">The status was set or affected by a manual SME adjudication claim (Section 8). Purple always means "a human decided this."</w:t>
            </w:r>
          </w:p>
        </w:tc>
      </w:tr>
    </w:tbl>
    <w:p>
      <w:pPr>
        <w:spacing w:after="120"/>
      </w:pPr>
      <w:r>
        <w:t xml:space="preserve">Structural rows (collectors, REFERENCE / BULK MATL part types, REF-quantity lines, removal-instruction blocks) are shown for context but </w:t>
      </w:r>
      <w:r>
        <w:rPr>
          <w:b/>
          <w:bCs/>
        </w:rPr>
        <w:t xml:space="preserve">excluded from every percentage and KPI count</w:t>
      </w:r>
      <w:r>
        <w:t xml:space="preserve">.</w:t>
      </w:r>
    </w:p>
    <w:p>
      <w:r>
        <w:br w:type="page"/>
      </w:r>
    </w:p>
    <w:p>
      <w:pPr>
        <w:pStyle w:val="Heading1"/>
        <w:spacing w:after="160" w:before="320"/>
      </w:pPr>
      <w:r>
        <w:t xml:space="preserve">5. Reading the Dashboard (Section 02)</w:t>
      </w:r>
    </w:p>
    <w:p>
      <w:pPr>
        <w:spacing w:after="120"/>
      </w:pPr>
      <w:r>
        <w:t xml:space="preserve">Each KPI section has an </w:t>
      </w:r>
      <w:r>
        <w:rPr>
          <w:b/>
          <w:bCs/>
        </w:rPr>
        <w:t xml:space="preserve">Explanation</w:t>
      </w:r>
      <w:r>
        <w:t xml:space="preserve"> button in its header that opens a plain-language description of every card — the authoritative in-tool reference. This chapter is the tour.</w:t>
      </w:r>
    </w:p>
    <w:p>
      <w:pPr>
        <w:spacing w:after="120"/>
      </w:pPr>
      <w:r>
        <w:rPr>
          <w:b/>
          <w:bCs/>
        </w:rPr>
        <w:t xml:space="preserve">Card conventions:</w:t>
      </w:r>
      <w:r>
        <w:t xml:space="preserve"> clickable cards show a hand cursor and lift on hover — clicking opens a drill-down list of the exact rows behind the number. Cards that are not clickable give no hover cue. Green = reconciled (three tiers for the three passes), amber = a non-missing discrepancy, red = missing, teal = RFV, orange = NCR, </w:t>
      </w:r>
      <w:r>
        <w:rPr>
          <w:b/>
          <w:bCs/>
        </w:rPr>
        <w:t xml:space="preserve">purple = manual adjudication</w:t>
      </w:r>
      <w:r>
        <w:t xml:space="preserve">, gray = structural/informational. A dashed sub-line on a card shows how much of its number came from SME claims.</w:t>
      </w:r>
    </w:p>
    <w:p>
      <w:pPr>
        <w:pStyle w:val="Heading2"/>
        <w:spacing w:after="120" w:before="240"/>
      </w:pPr>
      <w:r>
        <w:t xml:space="preserve">5.1 EBOM → MBOM section (planning coverage)</w:t>
      </w:r>
    </w:p>
    <w:p>
      <w:pPr>
        <w:pStyle w:val="ListParagraph"/>
        <w:numPr>
          <w:ilvl w:val="0"/>
          <w:numId w:val="2"/>
        </w:numPr>
        <w:spacing w:after="80"/>
      </w:pPr>
      <w:r>
        <w:rPr>
          <w:b/>
          <w:bCs/>
        </w:rPr>
        <w:t xml:space="preserve">% EBOM Line-Items Directly Accounted For</w:t>
      </w:r>
      <w:r>
        <w:t xml:space="preserve"> — the strict number: Pass 1 only. The most audit-defensible planning figure.</w:t>
      </w:r>
    </w:p>
    <w:p>
      <w:pPr>
        <w:pStyle w:val="ListParagraph"/>
        <w:numPr>
          <w:ilvl w:val="0"/>
          <w:numId w:val="2"/>
        </w:numPr>
        <w:spacing w:after="80"/>
      </w:pPr>
      <w:r>
        <w:rPr>
          <w:b/>
          <w:bCs/>
        </w:rPr>
        <w:t xml:space="preserve">% Accounted For (Any Path)</w:t>
      </w:r>
      <w:r>
        <w:t xml:space="preserve"> — Pass 1, 2, or 3. The gap between this and 100% decomposes exactly into the Missing, Qty Mismatch, and SUB/AR cards below it.</w:t>
      </w:r>
    </w:p>
    <w:p>
      <w:pPr>
        <w:pStyle w:val="ListParagraph"/>
        <w:numPr>
          <w:ilvl w:val="0"/>
          <w:numId w:val="2"/>
        </w:numPr>
        <w:spacing w:after="80"/>
      </w:pPr>
      <w:r>
        <w:rPr>
          <w:b/>
          <w:bCs/>
        </w:rPr>
        <w:t xml:space="preserve">Direct / Used-On / Parent Indenture counts</w:t>
      </w:r>
      <w:r>
        <w:t xml:space="preserve"> — the same coverage split out by pass.</w:t>
      </w:r>
    </w:p>
    <w:p>
      <w:pPr>
        <w:pStyle w:val="ListParagraph"/>
        <w:numPr>
          <w:ilvl w:val="0"/>
          <w:numId w:val="2"/>
        </w:numPr>
        <w:spacing w:after="80"/>
      </w:pPr>
      <w:r>
        <w:rPr>
          <w:b/>
          <w:bCs/>
        </w:rPr>
        <w:t xml:space="preserve">Missing in MBOM</w:t>
      </w:r>
      <w:r>
        <w:t xml:space="preserve"> (red) — failed every path. Click for the row list; the modal also links to adjudication candidates.</w:t>
      </w:r>
    </w:p>
    <w:p>
      <w:pPr>
        <w:pStyle w:val="ListParagraph"/>
        <w:numPr>
          <w:ilvl w:val="0"/>
          <w:numId w:val="2"/>
        </w:numPr>
        <w:spacing w:after="80"/>
      </w:pPr>
      <w:r>
        <w:rPr>
          <w:b/>
          <w:bCs/>
        </w:rPr>
        <w:t xml:space="preserve">EBOM-MBOM Part Qty Mismatch</w:t>
      </w:r>
      <w:r>
        <w:t xml:space="preserve"> (amber) — planned quantity short of design quantity.</w:t>
      </w:r>
    </w:p>
    <w:p>
      <w:pPr>
        <w:pStyle w:val="ListParagraph"/>
        <w:numPr>
          <w:ilvl w:val="0"/>
          <w:numId w:val="2"/>
        </w:numPr>
        <w:spacing w:after="80"/>
      </w:pPr>
      <w:r>
        <w:rPr>
          <w:b/>
          <w:bCs/>
        </w:rPr>
        <w:t xml:space="preserve">SUB/AR Items Not Used</w:t>
      </w:r>
      <w:r>
        <w:t xml:space="preserve"> — flex-quantity lines absent everywhere. Informational: absence may be by design.</w:t>
      </w:r>
    </w:p>
    <w:p>
      <w:pPr>
        <w:pStyle w:val="ListParagraph"/>
        <w:numPr>
          <w:ilvl w:val="0"/>
          <w:numId w:val="2"/>
        </w:numPr>
        <w:spacing w:after="80"/>
      </w:pPr>
      <w:r>
        <w:rPr>
          <w:b/>
          <w:bCs/>
        </w:rPr>
        <w:t xml:space="preserve">Missing APEX Assemblies</w:t>
      </w:r>
      <w:r>
        <w:t xml:space="preserve"> — top-of-tree assemblies with no plan presence; these gate everything beneath them.</w:t>
      </w:r>
    </w:p>
    <w:p>
      <w:pPr>
        <w:pStyle w:val="Heading2"/>
        <w:spacing w:after="120" w:before="240"/>
      </w:pPr>
      <w:r>
        <w:t xml:space="preserve">5.2 EBOM → ABOM section (physical embodiment)</w:t>
      </w:r>
    </w:p>
    <w:p>
      <w:pPr>
        <w:spacing w:after="120"/>
      </w:pPr>
      <w:r>
        <w:t xml:space="preserve">The same structure as the MBOM section, measured against closed-work-order as-built records, plus ABOM-only cards:</w:t>
      </w:r>
    </w:p>
    <w:p>
      <w:pPr>
        <w:pStyle w:val="ListParagraph"/>
        <w:numPr>
          <w:ilvl w:val="0"/>
          <w:numId w:val="2"/>
        </w:numPr>
        <w:spacing w:after="80"/>
      </w:pPr>
      <w:r>
        <w:rPr>
          <w:b/>
          <w:bCs/>
        </w:rPr>
        <w:t xml:space="preserve">% EBOM Line-Items Directly Embodied</w:t>
      </w:r>
      <w:r>
        <w:t xml:space="preserve"> and </w:t>
      </w:r>
      <w:r>
        <w:rPr>
          <w:b/>
          <w:bCs/>
        </w:rPr>
        <w:t xml:space="preserve">% Embodied (Any Path)</w:t>
      </w:r>
      <w:r>
        <w:t xml:space="preserve"> — the Physical Configuration Audit closure numbers. SME-adjudicated items count as reconciled in both; the dashed sub-line shows the claim-derived share.</w:t>
      </w:r>
    </w:p>
    <w:p>
      <w:pPr>
        <w:pStyle w:val="ListParagraph"/>
        <w:numPr>
          <w:ilvl w:val="0"/>
          <w:numId w:val="2"/>
        </w:numPr>
        <w:spacing w:after="80"/>
      </w:pPr>
      <w:r>
        <w:rPr>
          <w:b/>
          <w:bCs/>
        </w:rPr>
        <w:t xml:space="preserve">Part WO Status: Not Closed</w:t>
      </w:r>
      <w:r>
        <w:t xml:space="preserve"> (amber) — present in the ABOM (either pool role) but gated by an unfinished work order. This is your "waiting on paperwork" list.</w:t>
      </w:r>
    </w:p>
    <w:p>
      <w:pPr>
        <w:pStyle w:val="ListParagraph"/>
        <w:numPr>
          <w:ilvl w:val="0"/>
          <w:numId w:val="2"/>
        </w:numPr>
        <w:spacing w:after="80"/>
      </w:pPr>
      <w:r>
        <w:rPr>
          <w:b/>
          <w:bCs/>
        </w:rPr>
        <w:t xml:space="preserve">Used-On WO Not Closed</w:t>
      </w:r>
      <w:r>
        <w:t xml:space="preserve"> — the parent-assembly version of the same. Together with "Embodied as Used On Parts," the two sum to the total used-on population.</w:t>
      </w:r>
    </w:p>
    <w:p>
      <w:pPr>
        <w:pStyle w:val="ListParagraph"/>
        <w:numPr>
          <w:ilvl w:val="0"/>
          <w:numId w:val="2"/>
        </w:numPr>
        <w:spacing w:after="80"/>
      </w:pPr>
      <w:r>
        <w:rPr>
          <w:b/>
          <w:bCs/>
        </w:rPr>
        <w:t xml:space="preserve">Proc Code: Removed from Build</w:t>
      </w:r>
      <w:r>
        <w:t xml:space="preserve"> (⊘) — items whose as-built records net to removal.</w:t>
      </w:r>
    </w:p>
    <w:p>
      <w:pPr>
        <w:pStyle w:val="ListParagraph"/>
        <w:numPr>
          <w:ilvl w:val="0"/>
          <w:numId w:val="2"/>
        </w:numPr>
        <w:spacing w:after="80"/>
      </w:pPr>
      <w:r>
        <w:rPr>
          <w:b/>
          <w:bCs/>
        </w:rPr>
        <w:t xml:space="preserve">Missing in ABOM / Qty Mismatch / SUB/AR / APEX</w:t>
      </w:r>
      <w:r>
        <w:t xml:space="preserve"> — as in the MBOM section, but against the build record.</w:t>
      </w:r>
    </w:p>
    <w:p>
      <w:pPr>
        <w:pStyle w:val="Heading2"/>
        <w:spacing w:after="120" w:before="240"/>
      </w:pPr>
      <w:r>
        <w:t xml:space="preserve">5.3 CI Status section</w:t>
      </w:r>
    </w:p>
    <w:p>
      <w:pPr>
        <w:spacing w:after="120"/>
      </w:pPr>
      <w:r>
        <w:t xml:space="preserve">Everything here counts </w:t>
      </w:r>
      <w:r>
        <w:rPr>
          <w:b/>
          <w:bCs/>
        </w:rPr>
        <w:t xml:space="preserve">distinct Configuration Items</w:t>
      </w:r>
      <w:r>
        <w:t xml:space="preserve"> (CI ID + PN + Next Higher rows from your CI file) rather than EBOM lines. The section only appears when a CI file is loaded.</w:t>
      </w:r>
    </w:p>
    <w:p>
      <w:pPr>
        <w:pStyle w:val="ListParagraph"/>
        <w:numPr>
          <w:ilvl w:val="0"/>
          <w:numId w:val="2"/>
        </w:numPr>
        <w:spacing w:after="80"/>
      </w:pPr>
      <w:r>
        <w:rPr>
          <w:b/>
          <w:bCs/>
        </w:rPr>
        <w:t xml:space="preserve">% CIs Directly Embodied</w:t>
      </w:r>
      <w:r>
        <w:t xml:space="preserve"> and </w:t>
      </w:r>
      <w:r>
        <w:rPr>
          <w:b/>
          <w:bCs/>
        </w:rPr>
        <w:t xml:space="preserve">% CIs Embodied (Any Path)</w:t>
      </w:r>
      <w:r>
        <w:t xml:space="preserve"> — CI-scoped versions of the ABOM headline numbers.</w:t>
      </w:r>
    </w:p>
    <w:p>
      <w:pPr>
        <w:pStyle w:val="ListParagraph"/>
        <w:numPr>
          <w:ilvl w:val="0"/>
          <w:numId w:val="2"/>
        </w:numPr>
        <w:spacing w:after="80"/>
      </w:pPr>
      <w:r>
        <w:rPr>
          <w:b/>
          <w:bCs/>
        </w:rPr>
        <w:t xml:space="preserve">Coverage tier</w:t>
      </w:r>
      <w:r>
        <w:t xml:space="preserve"> (Direct / Used On / Higher Parent) and </w:t>
      </w:r>
      <w:r>
        <w:rPr>
          <w:b/>
          <w:bCs/>
        </w:rPr>
        <w:t xml:space="preserve">issue tier</w:t>
      </w:r>
      <w:r>
        <w:t xml:space="preserve"> (CIs Missing in ABOM, CIs — Open WOs, CIs — ABOM Part Qty Mismatch). The issue cards use independent per-leg tests and may overlap.</w:t>
      </w:r>
    </w:p>
    <w:p>
      <w:pPr>
        <w:pStyle w:val="ListParagraph"/>
        <w:numPr>
          <w:ilvl w:val="0"/>
          <w:numId w:val="2"/>
        </w:numPr>
        <w:spacing w:after="80"/>
      </w:pPr>
      <w:r>
        <w:rPr>
          <w:b/>
          <w:bCs/>
        </w:rPr>
        <w:t xml:space="preserve">CI Scope</w:t>
      </w:r>
      <w:r>
        <w:t xml:space="preserve"> — the denominator: distinct CIs in your file. Not clickable.</w:t>
      </w:r>
    </w:p>
    <w:p>
      <w:pPr>
        <w:pStyle w:val="ListParagraph"/>
        <w:numPr>
          <w:ilvl w:val="0"/>
          <w:numId w:val="2"/>
        </w:numPr>
        <w:spacing w:after="80"/>
      </w:pPr>
      <w:r>
        <w:rPr>
          <w:b/>
          <w:bCs/>
        </w:rPr>
        <w:t xml:space="preserve">CIs Missing from EBOM</w:t>
      </w:r>
      <w:r>
        <w:t xml:space="preserve"> — CIs whose PN + Next Higher combination never appears in the design baseline; a data-quality alarm.</w:t>
      </w:r>
    </w:p>
    <w:p>
      <w:pPr>
        <w:pStyle w:val="ListParagraph"/>
        <w:numPr>
          <w:ilvl w:val="0"/>
          <w:numId w:val="2"/>
        </w:numPr>
        <w:spacing w:after="80"/>
      </w:pPr>
      <w:r>
        <w:rPr>
          <w:b/>
          <w:bCs/>
        </w:rPr>
        <w:t xml:space="preserve">CIs with Closed / Open NCR Dispositions</w:t>
      </w:r>
      <w:r>
        <w:t xml:space="preserve"> (orange) — CIs linked to nonconformances via the automated two-path join </w:t>
      </w:r>
      <w:r>
        <w:rPr>
          <w:i/>
          <w:iCs/>
        </w:rPr>
        <w:t xml:space="preserve">plus manual SME traces</w:t>
      </w:r>
      <w:r>
        <w:t xml:space="preserve"> you record in the Adjudication Workbench.</w:t>
      </w:r>
    </w:p>
    <w:p>
      <w:pPr>
        <w:pStyle w:val="ListParagraph"/>
        <w:numPr>
          <w:ilvl w:val="0"/>
          <w:numId w:val="2"/>
        </w:numPr>
        <w:spacing w:after="80"/>
      </w:pPr>
      <w:r>
        <w:rPr>
          <w:b/>
          <w:bCs/>
        </w:rPr>
        <w:t xml:space="preserve">The four RFV cards</w:t>
      </w:r>
      <w:r>
        <w:t xml:space="preserve"> (teal, ordered Any | P1 | P2 | P3) — CIs with variance coverage directly (P1), via an NCR disposition (P2), or via a work order (P3). Manual SME traces contribute to these too, and appear purple in the drill-downs.</w:t>
      </w:r>
    </w:p>
    <w:p>
      <w:pPr>
        <w:pStyle w:val="Heading2"/>
        <w:spacing w:after="120" w:before="240"/>
      </w:pPr>
      <w:r>
        <w:t xml:space="preserve">5.4 Charts</w:t>
      </w:r>
    </w:p>
    <w:p>
      <w:pPr>
        <w:pStyle w:val="ListParagraph"/>
        <w:numPr>
          <w:ilvl w:val="0"/>
          <w:numId w:val="2"/>
        </w:numPr>
        <w:spacing w:after="80"/>
      </w:pPr>
      <w:r>
        <w:rPr>
          <w:b/>
          <w:bCs/>
        </w:rPr>
        <w:t xml:space="preserve">WO Status Roll-Up</w:t>
      </w:r>
      <w:r>
        <w:t xml:space="preserve"> — unique ABOM work orders by status (a WO’s status is taken from its first appearance in the file). Teal segments and ◈ markers flag WOs that are RFV-authorized — documented open status, lower chase priority.</w:t>
      </w:r>
    </w:p>
    <w:p>
      <w:pPr>
        <w:pStyle w:val="ListParagraph"/>
        <w:numPr>
          <w:ilvl w:val="0"/>
          <w:numId w:val="2"/>
        </w:numPr>
        <w:spacing w:after="80"/>
      </w:pPr>
      <w:r>
        <w:rPr>
          <w:b/>
          <w:bCs/>
        </w:rPr>
        <w:t xml:space="preserve">NCR Cause Code</w:t>
      </w:r>
      <w:r>
        <w:t xml:space="preserve"> (top 6) and </w:t>
      </w:r>
      <w:r>
        <w:rPr>
          <w:b/>
          <w:bCs/>
        </w:rPr>
        <w:t xml:space="preserve">NCR Disposition Status</w:t>
      </w:r>
      <w:r>
        <w:t xml:space="preserve"> — the shape of your nonconformance population.</w:t>
      </w:r>
    </w:p>
    <w:p>
      <w:pPr>
        <w:pStyle w:val="ListParagraph"/>
        <w:numPr>
          <w:ilvl w:val="0"/>
          <w:numId w:val="2"/>
        </w:numPr>
        <w:spacing w:after="80"/>
      </w:pPr>
      <w:r>
        <w:rPr>
          <w:b/>
          <w:bCs/>
        </w:rPr>
        <w:t xml:space="preserve">Coverage Funnel</w:t>
      </w:r>
      <w:r>
        <w:t xml:space="preserve"> — the stepwise ladder from total scope to fully-closed, with a delta column comparing the MBOM and ABOM funnels.</w:t>
      </w:r>
    </w:p>
    <w:p>
      <w:pPr>
        <w:pStyle w:val="Heading2"/>
        <w:spacing w:after="120" w:before="240"/>
      </w:pPr>
      <w:r>
        <w:t xml:space="preserve">5.5 ACN section</w:t>
      </w:r>
    </w:p>
    <w:p>
      <w:pPr>
        <w:spacing w:after="120"/>
      </w:pPr>
      <w:r>
        <w:t xml:space="preserve">When an ACN file is loaded: embodiment of level 4–7 ACN parts and their open-NCR exposure, with per-WO detail in the drill-downs and the ACN report.</w:t>
      </w:r>
    </w:p>
    <w:p>
      <w:r>
        <w:br w:type="page"/>
      </w:r>
    </w:p>
    <w:p>
      <w:pPr>
        <w:pStyle w:val="Heading1"/>
        <w:spacing w:after="160" w:before="320"/>
      </w:pPr>
      <w:r>
        <w:t xml:space="preserve">6. The Detailed View (Section 03)</w:t>
      </w:r>
    </w:p>
    <w:p>
      <w:pPr>
        <w:spacing w:after="120"/>
      </w:pPr>
      <w:r>
        <w:t xml:space="preserve">This is the row-level truth the cards summarize: one row per unique PN + Next Higher (see 4.4), every reconciliation leg visible. The </w:t>
      </w:r>
      <w:r>
        <w:rPr>
          <w:b/>
          <w:bCs/>
        </w:rPr>
        <w:t xml:space="preserve">Explanation</w:t>
      </w:r>
      <w:r>
        <w:t xml:space="preserve"> button at the right end of the tab strip opens the in-tool guide to reading this table. Tabs switch between the comparison summary and raw views of each loaded file.</w:t>
      </w:r>
    </w:p>
    <w:p>
      <w:pPr>
        <w:pStyle w:val="Heading2"/>
        <w:spacing w:after="120" w:before="240"/>
      </w:pPr>
      <w:r>
        <w:t xml:space="preserve">6.1 Column guide</w:t>
      </w:r>
    </w:p>
    <w:p>
      <w:pPr>
        <w:spacing w:after="120"/>
      </w:pPr>
      <w:r>
        <w:t xml:space="preserve">Columns appear left to right in data-source blocks, each with a colored header stripe identifying its source. Columns for files you have not loaded are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8EAF0" w:val="clear"/>
            <w:tcMar>
              <w:top w:type="dxa" w:w="60"/>
              <w:left w:type="dxa" w:w="100"/>
              <w:bottom w:type="dxa" w:w="60"/>
              <w:right w:type="dxa" w:w="100"/>
            </w:tcMar>
          </w:tcPr>
          <w:p>
            <w:pPr>
              <w:spacing w:after="0"/>
            </w:pPr>
            <w:r>
              <w:t xml:space="preserve">Column(s)</w:t>
            </w:r>
          </w:p>
        </w:tc>
        <w:tc>
          <w:tcPr>
            <w:tcW w:type="dxa" w:w="5960"/>
            <w:shd w:fill="E8EAF0" w:val="clear"/>
            <w:tcMar>
              <w:top w:type="dxa" w:w="60"/>
              <w:left w:type="dxa" w:w="100"/>
              <w:bottom w:type="dxa" w:w="60"/>
              <w:right w:type="dxa" w:w="100"/>
            </w:tcMar>
          </w:tcPr>
          <w:p>
            <w:pPr>
              <w:spacing w:after="0"/>
            </w:pPr>
            <w:r>
              <w:t xml:space="preserve">How to read them</w:t>
            </w:r>
          </w:p>
        </w:tc>
      </w:tr>
      <w:tr>
        <w:tc>
          <w:tcPr>
            <w:tcW w:type="dxa" w:w="3400"/>
            <w:tcMar>
              <w:top w:type="dxa" w:w="60"/>
              <w:left w:type="dxa" w:w="100"/>
              <w:bottom w:type="dxa" w:w="60"/>
              <w:right w:type="dxa" w:w="100"/>
            </w:tcMar>
          </w:tcPr>
          <w:p>
            <w:pPr>
              <w:spacing w:after="0"/>
            </w:pPr>
            <w:r>
              <w:t xml:space="preserve">Ind. / Part Number / Description / Next Higher / Part Type</w:t>
            </w:r>
          </w:p>
        </w:tc>
        <w:tc>
          <w:tcPr>
            <w:tcW w:type="dxa" w:w="5960"/>
            <w:tcMar>
              <w:top w:type="dxa" w:w="60"/>
              <w:left w:type="dxa" w:w="100"/>
              <w:bottom w:type="dxa" w:w="60"/>
              <w:right w:type="dxa" w:w="100"/>
            </w:tcMar>
          </w:tcPr>
          <w:p>
            <w:pPr>
              <w:spacing w:after="0"/>
            </w:pPr>
            <w:r>
              <w:t xml:space="preserve">EBOM identity. Structural part types (COLLECTOR, REFERENCE, BULK MATL) carry a ◆ badge.</w:t>
            </w:r>
          </w:p>
        </w:tc>
      </w:tr>
      <w:tr>
        <w:tc>
          <w:tcPr>
            <w:tcW w:type="dxa" w:w="3400"/>
            <w:tcMar>
              <w:top w:type="dxa" w:w="60"/>
              <w:left w:type="dxa" w:w="100"/>
              <w:bottom w:type="dxa" w:w="60"/>
              <w:right w:type="dxa" w:w="100"/>
            </w:tcMar>
          </w:tcPr>
          <w:p>
            <w:pPr>
              <w:spacing w:after="0"/>
            </w:pPr>
            <w:r>
              <w:t xml:space="preserve">EBOM Qty / Part Qty Text (EBOM)</w:t>
            </w:r>
          </w:p>
        </w:tc>
        <w:tc>
          <w:tcPr>
            <w:tcW w:type="dxa" w:w="5960"/>
            <w:tcMar>
              <w:top w:type="dxa" w:w="60"/>
              <w:left w:type="dxa" w:w="100"/>
              <w:bottom w:type="dxa" w:w="60"/>
              <w:right w:type="dxa" w:w="100"/>
            </w:tcMar>
          </w:tcPr>
          <w:p>
            <w:pPr>
              <w:spacing w:after="0"/>
            </w:pPr>
            <w:r>
              <w:t xml:space="preserve">Design quantity. On a merged-duplicates row, Qty is the SUM of the source lines and Qty Text shows the last duplicate’s text — when they disagree, the numeric sum is what the engine used.</w:t>
            </w:r>
          </w:p>
        </w:tc>
      </w:tr>
      <w:tr>
        <w:tc>
          <w:tcPr>
            <w:tcW w:type="dxa" w:w="3400"/>
            <w:tcMar>
              <w:top w:type="dxa" w:w="60"/>
              <w:left w:type="dxa" w:w="100"/>
              <w:bottom w:type="dxa" w:w="60"/>
              <w:right w:type="dxa" w:w="100"/>
            </w:tcMar>
          </w:tcPr>
          <w:p>
            <w:pPr>
              <w:spacing w:after="0"/>
            </w:pPr>
            <w:r>
              <w:t xml:space="preserve">Δ EBOM-ABOM Part Qty (red stripe)</w:t>
            </w:r>
          </w:p>
        </w:tc>
        <w:tc>
          <w:tcPr>
            <w:tcW w:type="dxa" w:w="5960"/>
            <w:tcMar>
              <w:top w:type="dxa" w:w="60"/>
              <w:left w:type="dxa" w:w="100"/>
              <w:bottom w:type="dxa" w:w="60"/>
              <w:right w:type="dxa" w:w="100"/>
            </w:tcMar>
          </w:tcPr>
          <w:p>
            <w:pPr>
              <w:spacing w:after="0"/>
            </w:pPr>
            <w:r>
              <w:t xml:space="preserve">Signed shortfall for quantity-mismatch rows (ABOM qty − EBOM qty; negative = short). In three-way mode the header reads Δ EBOM−MBOM/ABOM and cells prefix MD:/AD: when both deltas exist. A purple "→ n adj" note shows an SME-accepted residual.</w:t>
            </w:r>
          </w:p>
        </w:tc>
      </w:tr>
      <w:tr>
        <w:tc>
          <w:tcPr>
            <w:tcW w:type="dxa" w:w="3400"/>
            <w:tcMar>
              <w:top w:type="dxa" w:w="60"/>
              <w:left w:type="dxa" w:w="100"/>
              <w:bottom w:type="dxa" w:w="60"/>
              <w:right w:type="dxa" w:w="100"/>
            </w:tcMar>
          </w:tcPr>
          <w:p>
            <w:pPr>
              <w:spacing w:after="0"/>
            </w:pPr>
            <w:r>
              <w:t xml:space="preserve">MBOM Traceability / MBOM Job Number / MBOM Reconciliation Notes</w:t>
            </w:r>
          </w:p>
        </w:tc>
        <w:tc>
          <w:tcPr>
            <w:tcW w:type="dxa" w:w="5960"/>
            <w:tcMar>
              <w:top w:type="dxa" w:w="60"/>
              <w:left w:type="dxa" w:w="100"/>
              <w:bottom w:type="dxa" w:w="60"/>
              <w:right w:type="dxa" w:w="100"/>
            </w:tcMar>
          </w:tcPr>
          <w:p>
            <w:pPr>
              <w:spacing w:after="0"/>
            </w:pPr>
            <w:r>
              <w:t xml:space="preserve">Which pass(es) the plan satisfied; the distinct MBOM Job Numbers for the line (stacked when plural); and issue badges.</w:t>
            </w:r>
          </w:p>
        </w:tc>
      </w:tr>
      <w:tr>
        <w:tc>
          <w:tcPr>
            <w:tcW w:type="dxa" w:w="3400"/>
            <w:tcMar>
              <w:top w:type="dxa" w:w="60"/>
              <w:left w:type="dxa" w:w="100"/>
              <w:bottom w:type="dxa" w:w="60"/>
              <w:right w:type="dxa" w:w="100"/>
            </w:tcMar>
          </w:tcPr>
          <w:p>
            <w:pPr>
              <w:spacing w:after="0"/>
            </w:pPr>
            <w:r>
              <w:t xml:space="preserve">MBOM Direct Qty</w:t>
            </w:r>
          </w:p>
        </w:tc>
        <w:tc>
          <w:tcPr>
            <w:tcW w:type="dxa" w:w="5960"/>
            <w:tcMar>
              <w:top w:type="dxa" w:w="60"/>
              <w:left w:type="dxa" w:w="100"/>
              <w:bottom w:type="dxa" w:w="60"/>
              <w:right w:type="dxa" w:w="100"/>
            </w:tcMar>
          </w:tcPr>
          <w:p>
            <w:pPr>
              <w:spacing w:after="0"/>
            </w:pPr>
            <w:r>
              <w:t xml:space="preserve">Planned quantity. Shows "↑ parent" in green italic when the line is covered via an ancestor (no direct qty of its own), or in muted italic on structural A/B collector rows.</w:t>
            </w:r>
          </w:p>
        </w:tc>
      </w:tr>
      <w:tr>
        <w:tc>
          <w:tcPr>
            <w:tcW w:type="dxa" w:w="3400"/>
            <w:tcMar>
              <w:top w:type="dxa" w:w="60"/>
              <w:left w:type="dxa" w:w="100"/>
              <w:bottom w:type="dxa" w:w="60"/>
              <w:right w:type="dxa" w:w="100"/>
            </w:tcMar>
          </w:tcPr>
          <w:p>
            <w:pPr>
              <w:spacing w:after="0"/>
            </w:pPr>
            <w:r>
              <w:t xml:space="preserve">ABOM Traceability / Reconciliation Notes</w:t>
            </w:r>
          </w:p>
        </w:tc>
        <w:tc>
          <w:tcPr>
            <w:tcW w:type="dxa" w:w="5960"/>
            <w:tcMar>
              <w:top w:type="dxa" w:w="60"/>
              <w:left w:type="dxa" w:w="100"/>
              <w:bottom w:type="dxa" w:w="60"/>
              <w:right w:type="dxa" w:w="100"/>
            </w:tcMar>
          </w:tcPr>
          <w:p>
            <w:pPr>
              <w:spacing w:after="0"/>
            </w:pPr>
            <w:r>
              <w:t xml:space="preserve">The build-side pass results and issue badges. ⚑ purple badges mark adjudicated legs.</w:t>
            </w:r>
          </w:p>
        </w:tc>
      </w:tr>
      <w:tr>
        <w:tc>
          <w:tcPr>
            <w:tcW w:type="dxa" w:w="3400"/>
            <w:tcMar>
              <w:top w:type="dxa" w:w="60"/>
              <w:left w:type="dxa" w:w="100"/>
              <w:bottom w:type="dxa" w:w="60"/>
              <w:right w:type="dxa" w:w="100"/>
            </w:tcMar>
          </w:tcPr>
          <w:p>
            <w:pPr>
              <w:spacing w:after="0"/>
            </w:pPr>
            <w:r>
              <w:t xml:space="preserve">ABOM Direct Qty (Roll Up) / ABOM Direct NH</w:t>
            </w:r>
          </w:p>
        </w:tc>
        <w:tc>
          <w:tcPr>
            <w:tcW w:type="dxa" w:w="5960"/>
            <w:tcMar>
              <w:top w:type="dxa" w:w="60"/>
              <w:left w:type="dxa" w:w="100"/>
              <w:bottom w:type="dxa" w:w="60"/>
              <w:right w:type="dxa" w:w="100"/>
            </w:tcMar>
          </w:tcPr>
          <w:p>
            <w:pPr>
              <w:spacing w:after="0"/>
            </w:pPr>
            <w:r>
              <w:t xml:space="preserve">The engine’s net as-built quantity (what checks use) and the Next Higher actually found. A highlighted NH means the part was found under a different parent than designed — expected in many programs, not automatically a defect.</w:t>
            </w:r>
          </w:p>
        </w:tc>
      </w:tr>
      <w:tr>
        <w:tc>
          <w:tcPr>
            <w:tcW w:type="dxa" w:w="3400"/>
            <w:tcMar>
              <w:top w:type="dxa" w:w="60"/>
              <w:left w:type="dxa" w:w="100"/>
              <w:bottom w:type="dxa" w:w="60"/>
              <w:right w:type="dxa" w:w="100"/>
            </w:tcMar>
          </w:tcPr>
          <w:p>
            <w:pPr>
              <w:spacing w:after="0"/>
            </w:pPr>
            <w:r>
              <w:t xml:space="preserve">ABOM Direct Job Number / WO# / Qty (per WO) / Proc Code / WO Status</w:t>
            </w:r>
          </w:p>
        </w:tc>
        <w:tc>
          <w:tcPr>
            <w:tcW w:type="dxa" w:w="5960"/>
            <w:tcMar>
              <w:top w:type="dxa" w:w="60"/>
              <w:left w:type="dxa" w:w="100"/>
              <w:bottom w:type="dxa" w:w="60"/>
              <w:right w:type="dxa" w:w="100"/>
            </w:tcMar>
          </w:tcPr>
          <w:p>
            <w:pPr>
              <w:spacing w:after="0"/>
            </w:pPr>
            <w:r>
              <w:t xml:space="preserve">The raw as-built records, one embedded line each, aligned across all five columns: each Job Number sits beside its own WO, its raw quantity, its proc code, and that WO’s status. A purple ⚑ line is an SME-linked WO from a claim.</w:t>
            </w:r>
          </w:p>
        </w:tc>
      </w:tr>
      <w:tr>
        <w:tc>
          <w:tcPr>
            <w:tcW w:type="dxa" w:w="3400"/>
            <w:tcMar>
              <w:top w:type="dxa" w:w="60"/>
              <w:left w:type="dxa" w:w="100"/>
              <w:bottom w:type="dxa" w:w="60"/>
              <w:right w:type="dxa" w:w="100"/>
            </w:tcMar>
          </w:tcPr>
          <w:p>
            <w:pPr>
              <w:spacing w:after="0"/>
            </w:pPr>
            <w:r>
              <w:t xml:space="preserve">ABOM Used On Job Number / WO# / WO Status</w:t>
            </w:r>
          </w:p>
        </w:tc>
        <w:tc>
          <w:tcPr>
            <w:tcW w:type="dxa" w:w="5960"/>
            <w:tcMar>
              <w:top w:type="dxa" w:w="60"/>
              <w:left w:type="dxa" w:w="100"/>
              <w:bottom w:type="dxa" w:w="60"/>
              <w:right w:type="dxa" w:w="100"/>
            </w:tcMar>
          </w:tcPr>
          <w:p>
            <w:pPr>
              <w:spacing w:after="0"/>
            </w:pPr>
            <w:r>
              <w:t xml:space="preserve">The parent-assembly (Pass 2) work orders, stacked, each Job Number aligned with its WO. One status applies to the whole stack — the engine fills this list from one WO pool at a time.</w:t>
            </w:r>
          </w:p>
        </w:tc>
      </w:tr>
      <w:tr>
        <w:tc>
          <w:tcPr>
            <w:tcW w:type="dxa" w:w="3400"/>
            <w:tcMar>
              <w:top w:type="dxa" w:w="60"/>
              <w:left w:type="dxa" w:w="100"/>
              <w:bottom w:type="dxa" w:w="60"/>
              <w:right w:type="dxa" w:w="100"/>
            </w:tcMar>
          </w:tcPr>
          <w:p>
            <w:pPr>
              <w:spacing w:after="0"/>
            </w:pPr>
            <w:r>
              <w:t xml:space="preserve">Drawing / Drawing PL Rev / DCN / ECN / ECR (+ statuses) / CP History</w:t>
            </w:r>
          </w:p>
        </w:tc>
        <w:tc>
          <w:tcPr>
            <w:tcW w:type="dxa" w:w="5960"/>
            <w:tcMar>
              <w:top w:type="dxa" w:w="60"/>
              <w:left w:type="dxa" w:w="100"/>
              <w:bottom w:type="dxa" w:w="60"/>
              <w:right w:type="dxa" w:w="100"/>
            </w:tcMar>
          </w:tcPr>
          <w:p>
            <w:pPr>
              <w:spacing w:after="0"/>
            </w:pPr>
            <w:r>
              <w:t xml:space="preserve">Change-pedigree columns (CP file). Drawing PL Rev comes from the EBOM.</w:t>
            </w:r>
          </w:p>
        </w:tc>
      </w:tr>
      <w:tr>
        <w:tc>
          <w:tcPr>
            <w:tcW w:type="dxa" w:w="3400"/>
            <w:tcMar>
              <w:top w:type="dxa" w:w="60"/>
              <w:left w:type="dxa" w:w="100"/>
              <w:bottom w:type="dxa" w:w="60"/>
              <w:right w:type="dxa" w:w="100"/>
            </w:tcMar>
          </w:tcPr>
          <w:p>
            <w:pPr>
              <w:spacing w:after="0"/>
            </w:pPr>
            <w:r>
              <w:t xml:space="preserve">WO Action / WO Serial-Meta</w:t>
            </w:r>
          </w:p>
        </w:tc>
        <w:tc>
          <w:tcPr>
            <w:tcW w:type="dxa" w:w="5960"/>
            <w:tcMar>
              <w:top w:type="dxa" w:w="60"/>
              <w:left w:type="dxa" w:w="100"/>
              <w:bottom w:type="dxa" w:w="60"/>
              <w:right w:type="dxa" w:w="100"/>
            </w:tcMar>
          </w:tcPr>
          <w:p>
            <w:pPr>
              <w:spacing w:after="0"/>
            </w:pPr>
            <w:r>
              <w:t xml:space="preserve">Install/remove actions and serials from the WO5 file.</w:t>
            </w:r>
          </w:p>
        </w:tc>
      </w:tr>
      <w:tr>
        <w:tc>
          <w:tcPr>
            <w:tcW w:type="dxa" w:w="3400"/>
            <w:tcMar>
              <w:top w:type="dxa" w:w="60"/>
              <w:left w:type="dxa" w:w="100"/>
              <w:bottom w:type="dxa" w:w="60"/>
              <w:right w:type="dxa" w:w="100"/>
            </w:tcMar>
          </w:tcPr>
          <w:p>
            <w:pPr>
              <w:spacing w:after="0"/>
            </w:pPr>
            <w:r>
              <w:t xml:space="preserve">NCR Direct … / NCR Used On …</w:t>
            </w:r>
          </w:p>
        </w:tc>
        <w:tc>
          <w:tcPr>
            <w:tcW w:type="dxa" w:w="5960"/>
            <w:tcMar>
              <w:top w:type="dxa" w:w="60"/>
              <w:left w:type="dxa" w:w="100"/>
              <w:bottom w:type="dxa" w:w="60"/>
              <w:right w:type="dxa" w:w="100"/>
            </w:tcMar>
          </w:tcPr>
          <w:p>
            <w:pPr>
              <w:spacing w:after="0"/>
            </w:pPr>
            <w:r>
              <w:t xml:space="preserve">Nonconformances where this part is the discrepant part (pool 1) or the assembly it was found on (pool 2), with disposition detail.</w:t>
            </w:r>
          </w:p>
        </w:tc>
      </w:tr>
      <w:tr>
        <w:tc>
          <w:tcPr>
            <w:tcW w:type="dxa" w:w="3400"/>
            <w:tcMar>
              <w:top w:type="dxa" w:w="60"/>
              <w:left w:type="dxa" w:w="100"/>
              <w:bottom w:type="dxa" w:w="60"/>
              <w:right w:type="dxa" w:w="100"/>
            </w:tcMar>
          </w:tcPr>
          <w:p>
            <w:pPr>
              <w:spacing w:after="0"/>
            </w:pPr>
            <w:r>
              <w:t xml:space="preserve">RFV Links / Adj Claims / Overall</w:t>
            </w:r>
          </w:p>
        </w:tc>
        <w:tc>
          <w:tcPr>
            <w:tcW w:type="dxa" w:w="5960"/>
            <w:tcMar>
              <w:top w:type="dxa" w:w="60"/>
              <w:left w:type="dxa" w:w="100"/>
              <w:bottom w:type="dxa" w:w="60"/>
              <w:right w:type="dxa" w:w="100"/>
            </w:tcMar>
          </w:tcPr>
          <w:p>
            <w:pPr>
              <w:spacing w:after="0"/>
            </w:pPr>
            <w:r>
              <w:t xml:space="preserve">Teal ◈ variance links; ⚑ claim badges; and the worst-to-best rollup of every leg.</w:t>
            </w:r>
          </w:p>
        </w:tc>
      </w:tr>
    </w:tbl>
    <w:p>
      <w:pPr>
        <w:pStyle w:val="Heading2"/>
        <w:spacing w:after="120" w:before="240"/>
      </w:pPr>
      <w:r>
        <w:t xml:space="preserve">6.2 Working the table</w:t>
      </w:r>
    </w:p>
    <w:p>
      <w:pPr>
        <w:pStyle w:val="ListParagraph"/>
        <w:numPr>
          <w:ilvl w:val="0"/>
          <w:numId w:val="2"/>
        </w:numPr>
        <w:spacing w:after="80"/>
      </w:pPr>
      <w:r>
        <w:rPr>
          <w:b/>
          <w:bCs/>
        </w:rPr>
        <w:t xml:space="preserve">Filter chips and search</w:t>
      </w:r>
      <w:r>
        <w:t xml:space="preserve"> narrow rows by status, and the </w:t>
      </w:r>
      <w:r>
        <w:rPr>
          <w:b/>
          <w:bCs/>
        </w:rPr>
        <w:t xml:space="preserve">⚑ Adjudicated</w:t>
      </w:r>
      <w:r>
        <w:t xml:space="preserve"> filter appears once any claim is applied.</w:t>
      </w:r>
    </w:p>
    <w:p>
      <w:pPr>
        <w:pStyle w:val="ListParagraph"/>
        <w:numPr>
          <w:ilvl w:val="0"/>
          <w:numId w:val="2"/>
        </w:numPr>
        <w:spacing w:after="80"/>
      </w:pPr>
      <w:r>
        <w:rPr>
          <w:b/>
          <w:bCs/>
        </w:rPr>
        <w:t xml:space="preserve">Contextual search</w:t>
      </w:r>
      <w:r>
        <w:t xml:space="preserve"> re-frames the table around one part — its ancestors and descendants — with a Relationship column, and has its own Excel export.</w:t>
      </w:r>
    </w:p>
    <w:p>
      <w:pPr>
        <w:pStyle w:val="ListParagraph"/>
        <w:numPr>
          <w:ilvl w:val="0"/>
          <w:numId w:val="2"/>
        </w:numPr>
        <w:spacing w:after="80"/>
      </w:pPr>
      <w:r>
        <w:rPr>
          <w:b/>
          <w:bCs/>
        </w:rPr>
        <w:t xml:space="preserve">Stacked cells</w:t>
      </w:r>
      <w:r>
        <w:t xml:space="preserve">: multiple values inside one cell (WOs, jobs, per-WO quantities) are embedded rows, aligned line-for-line across neighboring columns so each as-built record reads straight across.</w:t>
      </w:r>
    </w:p>
    <w:p>
      <w:r>
        <w:br w:type="page"/>
      </w:r>
    </w:p>
    <w:p>
      <w:pPr>
        <w:pStyle w:val="Heading1"/>
        <w:spacing w:after="160" w:before="320"/>
      </w:pPr>
      <w:r>
        <w:t xml:space="preserve">7. Drill-Down Windows</w:t>
      </w:r>
    </w:p>
    <w:p>
      <w:pPr>
        <w:spacing w:after="120"/>
      </w:pPr>
      <w:r>
        <w:t xml:space="preserve">Clicking any clickable card opens a window listing the exact rows behind its number — the count in the title always matches the card. Every list window gives you the same three tools:</w:t>
      </w:r>
    </w:p>
    <w:p>
      <w:pPr>
        <w:pStyle w:val="ListParagraph"/>
        <w:numPr>
          <w:ilvl w:val="0"/>
          <w:numId w:val="2"/>
        </w:numPr>
        <w:spacing w:after="80"/>
      </w:pPr>
      <w:r>
        <w:rPr>
          <w:b/>
          <w:bCs/>
        </w:rPr>
        <w:t xml:space="preserve">Type-to-filter bar</w:t>
      </w:r>
      <w:r>
        <w:t xml:space="preserve"> — filters rows live across every table in the window by any visible text (part number, WO, CI, status), with an "N of M rows match" count. Note rows are never hidden.</w:t>
      </w:r>
    </w:p>
    <w:p>
      <w:pPr>
        <w:pStyle w:val="ListParagraph"/>
        <w:numPr>
          <w:ilvl w:val="0"/>
          <w:numId w:val="2"/>
        </w:numPr>
        <w:spacing w:after="80"/>
      </w:pPr>
      <w:r>
        <w:rPr>
          <w:b/>
          <w:bCs/>
        </w:rPr>
        <w:t xml:space="preserve">⬇ Export XLSX</w:t>
      </w:r>
      <w:r>
        <w:t xml:space="preserve"> — exports the window’s table(s) to Excel.</w:t>
      </w:r>
    </w:p>
    <w:p>
      <w:pPr>
        <w:pStyle w:val="ListParagraph"/>
        <w:numPr>
          <w:ilvl w:val="0"/>
          <w:numId w:val="2"/>
        </w:numPr>
        <w:spacing w:after="80"/>
      </w:pPr>
      <w:r>
        <w:rPr>
          <w:b/>
          <w:bCs/>
        </w:rPr>
        <w:t xml:space="preserve">✕ Close / Esc / click-outside</w:t>
      </w:r>
      <w:r>
        <w:t xml:space="preserve"> — Esc closes one layer at a time when windows are stacked.</w:t>
      </w:r>
    </w:p>
    <w:p>
      <w:pPr>
        <w:spacing w:after="120"/>
      </w:pPr>
      <w:r>
        <w:t xml:space="preserve">Issue windows (Missing, Qty Mismatch) also carry a per-row </w:t>
      </w:r>
      <w:r>
        <w:rPr>
          <w:b/>
          <w:bCs/>
        </w:rPr>
        <w:t xml:space="preserve">⚑ Adjudicate</w:t>
      </w:r>
      <w:r>
        <w:t xml:space="preserve"> action that opens the claim form pre-filled for that row (Section 8).</w:t>
      </w:r>
    </w:p>
    <w:p>
      <w:pPr>
        <w:pStyle w:val="Heading1"/>
        <w:spacing w:after="160" w:before="320"/>
      </w:pPr>
      <w:r>
        <w:t xml:space="preserve">8. Making Claims — the Adjudication Workbench</w:t>
      </w:r>
    </w:p>
    <w:p>
      <w:pPr>
        <w:spacing w:after="120"/>
      </w:pPr>
      <w:r>
        <w:t xml:space="preserve">The engine reports what the data supports. When you, as the subject-matter expert, know something the data doesn’t show — a part embodied under a work order the ABOM missed, an acceptable quantity variance, a CI-to-NCR relationship — you record it as a </w:t>
      </w:r>
      <w:r>
        <w:rPr>
          <w:b/>
          <w:bCs/>
        </w:rPr>
        <w:t xml:space="preserve">claim</w:t>
      </w:r>
      <w:r>
        <w:t xml:space="preserve">. Claims never alter your raw data or the engine’s raw results; they form a reviewable overlay, and everything they touch is shown in </w:t>
      </w:r>
      <w:r>
        <w:rPr>
          <w:b/>
          <w:bCs/>
        </w:rPr>
        <w:t xml:space="preserve">purple</w:t>
      </w:r>
      <w:r>
        <w:t xml:space="preserve"> and tagged "Manual SME" wherever it appears.</w:t>
      </w:r>
    </w:p>
    <w:p>
      <w:pPr>
        <w:pStyle w:val="Heading2"/>
        <w:spacing w:after="120" w:before="240"/>
      </w:pPr>
      <w:r>
        <w:t xml:space="preserve">8.1 The claim workflow</w:t>
      </w:r>
    </w:p>
    <w:p>
      <w:pPr>
        <w:pStyle w:val="ListParagraph"/>
        <w:numPr>
          <w:ilvl w:val="0"/>
          <w:numId w:val="2"/>
        </w:numPr>
        <w:spacing w:after="80"/>
      </w:pPr>
      <w:r>
        <w:rPr>
          <w:b/>
          <w:bCs/>
        </w:rPr>
        <w:t xml:space="preserve">Find candidates.</w:t>
      </w:r>
      <w:r>
        <w:t xml:space="preserve"> The Workbench’s helper cards surface likely matches: dash-variant part numbers, next-higher near-matches, NCRs lacking an EBOM trace, MBOM/ABOM parts absent from the EBOM. Helpers are informational — nothing happens without your review.</w:t>
      </w:r>
    </w:p>
    <w:p>
      <w:pPr>
        <w:pStyle w:val="ListParagraph"/>
        <w:numPr>
          <w:ilvl w:val="0"/>
          <w:numId w:val="2"/>
        </w:numPr>
        <w:spacing w:after="80"/>
      </w:pPr>
      <w:r>
        <w:rPr>
          <w:b/>
          <w:bCs/>
        </w:rPr>
        <w:t xml:space="preserve">File the claim</w:t>
      </w:r>
      <w:r>
        <w:t xml:space="preserve"> from a helper row, from an issue window’s ⚑ Adjudicate button, or from the Manual CI Trace form (up to 6 CIs per NCR disposition). Enter your name/role and rationale; claims can carry an SME-linked work order.</w:t>
      </w:r>
    </w:p>
    <w:p>
      <w:pPr>
        <w:pStyle w:val="ListParagraph"/>
        <w:numPr>
          <w:ilvl w:val="0"/>
          <w:numId w:val="2"/>
        </w:numPr>
        <w:spacing w:after="80"/>
      </w:pPr>
      <w:r>
        <w:rPr>
          <w:b/>
          <w:bCs/>
        </w:rPr>
        <w:t xml:space="preserve">Process Adjudications.</w:t>
      </w:r>
      <w:r>
        <w:t xml:space="preserve"> Claims apply as a batch, rebuilding the overlay from the untouched raw results plus every claim. You can revert to raw at any time.</w:t>
      </w:r>
    </w:p>
    <w:p>
      <w:pPr>
        <w:pStyle w:val="Heading2"/>
        <w:spacing w:after="120" w:before="240"/>
      </w:pPr>
      <w:r>
        <w:t xml:space="preserve">8.2 Where claims show up</w:t>
      </w:r>
    </w:p>
    <w:p>
      <w:pPr>
        <w:spacing w:after="120"/>
      </w:pPr>
      <w:r>
        <w:t xml:space="preserve">Applied claims surface anywhere a status is read: ⚑ badges in the summary table, purple traceability variants, dashed "from SME claims" sub-lines on the cards, the ⚑ filter — and in the Excel reports: the CI report’s two claims sheets, the RFV report’s SME-tagged rows, Change Commitment closures (closed </w:t>
      </w:r>
      <w:r>
        <w:rPr>
          <w:i/>
          <w:iCs/>
        </w:rPr>
        <w:t xml:space="preserve">or</w:t>
      </w:r>
      <w:r>
        <w:t xml:space="preserve"> adjudicated), and the Planned Not Installed qualifying set and residuals. Headline percentages count adjudicated legs as reconciled.</w:t>
      </w:r>
    </w:p>
    <w:p>
      <w:pPr>
        <w:spacing w:after="120"/>
      </w:pPr>
      <w:r>
        <w:rPr>
          <w:i/>
          <w:iCs/>
        </w:rPr>
        <w:t xml:space="preserve">Interpretation rule:</w:t>
      </w:r>
      <w:r>
        <w:t xml:space="preserve"> purple means a human decision. Auditors can separate machine findings from SME judgment at a glance, and the claims export lists every claim with its author and rationale.</w:t>
      </w:r>
    </w:p>
    <w:p>
      <w:r>
        <w:br w:type="page"/>
      </w:r>
    </w:p>
    <w:p>
      <w:pPr>
        <w:pStyle w:val="Heading1"/>
        <w:spacing w:after="160" w:before="320"/>
      </w:pPr>
      <w:r>
        <w:t xml:space="preserve">9. Reports &amp; Exports</w:t>
      </w:r>
    </w:p>
    <w:p>
      <w:pPr>
        <w:pStyle w:val="Heading2"/>
        <w:spacing w:after="120" w:before="240"/>
      </w:pPr>
      <w:r>
        <w:t xml:space="preserve">9.1 The main comparison exports</w:t>
      </w:r>
    </w:p>
    <w:p>
      <w:pPr>
        <w:spacing w:after="120"/>
      </w:pPr>
      <w:r>
        <w:rPr>
          <w:b/>
          <w:bCs/>
        </w:rPr>
        <w:t xml:space="preserve">Excel (three sheets: Comparison Summary, Issues Only, WO Status Not Closed), CSV, and a standalone HTML report.</w:t>
      </w:r>
      <w:r>
        <w:t xml:space="preserve"> The Excel and CSV mirror the Detailed View’s columns; the HTML report mirrors the on-screen presentation with stacked cells.</w:t>
      </w:r>
    </w:p>
    <w:p>
      <w:pPr>
        <w:spacing w:after="120"/>
      </w:pPr>
      <w:r>
        <w:rPr>
          <w:b/>
          <w:bCs/>
        </w:rPr>
        <w:t xml:space="preserve">Row fanning — read this before counting anything.</w:t>
      </w:r>
      <w:r>
        <w:t xml:space="preserve"> Excel cells cannot stack, so the exports </w:t>
      </w:r>
      <w:r>
        <w:rPr>
          <w:i/>
          <w:iCs/>
        </w:rPr>
        <w:t xml:space="preserve">fan</w:t>
      </w:r>
      <w:r>
        <w:t xml:space="preserve">: one row per as-built record, with used-on work orders and MBOM Job Numbers fanned in parallel (a line’s row count is the longest of its lists, times its NCR entries). Two leading columns keep this honest:</w:t>
      </w:r>
    </w:p>
    <w:p>
      <w:pPr>
        <w:pStyle w:val="ListParagraph"/>
        <w:numPr>
          <w:ilvl w:val="0"/>
          <w:numId w:val="2"/>
        </w:numPr>
        <w:spacing w:after="80"/>
      </w:pPr>
      <w:r>
        <w:rPr>
          <w:b/>
          <w:bCs/>
        </w:rPr>
        <w:t xml:space="preserve">EBOM Line #</w:t>
      </w:r>
      <w:r>
        <w:t xml:space="preserve"> — the permanent line number(s) from your EBOM file. Repeats on every fanned row of the same line; "12; 47" marks a merged duplicate; gaps are excluded lines. On the full Comparison Summary sheet, the highest number equals your EBOM’s true data-row count.</w:t>
      </w:r>
    </w:p>
    <w:p>
      <w:pPr>
        <w:pStyle w:val="ListParagraph"/>
        <w:numPr>
          <w:ilvl w:val="0"/>
          <w:numId w:val="2"/>
        </w:numPr>
        <w:spacing w:after="80"/>
      </w:pPr>
      <w:r>
        <w:rPr>
          <w:b/>
          <w:bCs/>
        </w:rPr>
        <w:t xml:space="preserve">Export Row (not a qty)</w:t>
      </w:r>
      <w:r>
        <w:t xml:space="preserve"> — reads "Row 2 of 4": this row’s position within its line’s fan. </w:t>
      </w:r>
      <w:r>
        <w:rPr>
          <w:b/>
          <w:bCs/>
        </w:rPr>
        <w:t xml:space="preserve">Never a quantity.</w:t>
      </w:r>
      <w:r>
        <w:t xml:space="preserve"> Filter to "Row 1 of" for one row per line, or pivot on EBOM Line #.</w:t>
      </w:r>
    </w:p>
    <w:p>
      <w:pPr>
        <w:pStyle w:val="Heading2"/>
        <w:spacing w:after="120" w:before="240"/>
      </w:pPr>
      <w:r>
        <w:t xml:space="preserve">9.2 The specialty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8EAF0" w:val="clear"/>
            <w:tcMar>
              <w:top w:type="dxa" w:w="60"/>
              <w:left w:type="dxa" w:w="100"/>
              <w:bottom w:type="dxa" w:w="60"/>
              <w:right w:type="dxa" w:w="100"/>
            </w:tcMar>
          </w:tcPr>
          <w:p>
            <w:pPr>
              <w:spacing w:after="0"/>
            </w:pPr>
            <w:r>
              <w:t xml:space="preserve">Report</w:t>
            </w:r>
          </w:p>
        </w:tc>
        <w:tc>
          <w:tcPr>
            <w:tcW w:type="dxa" w:w="6660"/>
            <w:shd w:fill="E8EAF0" w:val="clear"/>
            <w:tcMar>
              <w:top w:type="dxa" w:w="60"/>
              <w:left w:type="dxa" w:w="100"/>
              <w:bottom w:type="dxa" w:w="60"/>
              <w:right w:type="dxa" w:w="100"/>
            </w:tcMar>
          </w:tcPr>
          <w:p>
            <w:pPr>
              <w:spacing w:after="0"/>
            </w:pPr>
            <w:r>
              <w:t xml:space="preserve">What it answers</w:t>
            </w:r>
          </w:p>
        </w:tc>
      </w:tr>
      <w:tr>
        <w:tc>
          <w:tcPr>
            <w:tcW w:type="dxa" w:w="2700"/>
            <w:tcMar>
              <w:top w:type="dxa" w:w="60"/>
              <w:left w:type="dxa" w:w="100"/>
              <w:bottom w:type="dxa" w:w="60"/>
              <w:right w:type="dxa" w:w="100"/>
            </w:tcMar>
          </w:tcPr>
          <w:p>
            <w:pPr>
              <w:spacing w:after="0"/>
            </w:pPr>
            <w:r>
              <w:t xml:space="preserve">CI Traceability Report</w:t>
            </w:r>
          </w:p>
        </w:tc>
        <w:tc>
          <w:tcPr>
            <w:tcW w:type="dxa" w:w="6660"/>
            <w:tcMar>
              <w:top w:type="dxa" w:w="60"/>
              <w:left w:type="dxa" w:w="100"/>
              <w:bottom w:type="dxa" w:w="60"/>
              <w:right w:type="dxa" w:w="100"/>
            </w:tcMar>
          </w:tcPr>
          <w:p>
            <w:pPr>
              <w:spacing w:after="0"/>
            </w:pPr>
            <w:r>
              <w:t xml:space="preserve">The full CSA pedigree per Configuration Item across ~15 sheets: per-line detail, one-row-per-CI summary, embodiment paths, NCR/drawing/change traces, and the two processed-claims sheets.</w:t>
            </w:r>
          </w:p>
        </w:tc>
      </w:tr>
      <w:tr>
        <w:tc>
          <w:tcPr>
            <w:tcW w:type="dxa" w:w="2700"/>
            <w:tcMar>
              <w:top w:type="dxa" w:w="60"/>
              <w:left w:type="dxa" w:w="100"/>
              <w:bottom w:type="dxa" w:w="60"/>
              <w:right w:type="dxa" w:w="100"/>
            </w:tcMar>
          </w:tcPr>
          <w:p>
            <w:pPr>
              <w:spacing w:after="0"/>
            </w:pPr>
            <w:r>
              <w:t xml:space="preserve">CI As-Built Records Guide</w:t>
            </w:r>
          </w:p>
        </w:tc>
        <w:tc>
          <w:tcPr>
            <w:tcW w:type="dxa" w:w="6660"/>
            <w:tcMar>
              <w:top w:type="dxa" w:w="60"/>
              <w:left w:type="dxa" w:w="100"/>
              <w:bottom w:type="dxa" w:w="60"/>
              <w:right w:type="dxa" w:w="100"/>
            </w:tcMar>
          </w:tcPr>
          <w:p>
            <w:pPr>
              <w:spacing w:after="0"/>
            </w:pPr>
            <w:r>
              <w:t xml:space="preserve">A per-CI yes/no flag matrix (columns F–M) indexing the Traceability Report: physical presence by path, NCR and RFV linkage, manual-trace flags, and overall presence. The legend on the sheet explains each column and how it relates to the dashboard KPIs.</w:t>
            </w:r>
          </w:p>
        </w:tc>
      </w:tr>
      <w:tr>
        <w:tc>
          <w:tcPr>
            <w:tcW w:type="dxa" w:w="2700"/>
            <w:tcMar>
              <w:top w:type="dxa" w:w="60"/>
              <w:left w:type="dxa" w:w="100"/>
              <w:bottom w:type="dxa" w:w="60"/>
              <w:right w:type="dxa" w:w="100"/>
            </w:tcMar>
          </w:tcPr>
          <w:p>
            <w:pPr>
              <w:spacing w:after="0"/>
            </w:pPr>
            <w:r>
              <w:t xml:space="preserve">RFV Traceability Report</w:t>
            </w:r>
          </w:p>
        </w:tc>
        <w:tc>
          <w:tcPr>
            <w:tcW w:type="dxa" w:w="6660"/>
            <w:tcMar>
              <w:top w:type="dxa" w:w="60"/>
              <w:left w:type="dxa" w:w="100"/>
              <w:bottom w:type="dxa" w:w="60"/>
              <w:right w:type="dxa" w:w="100"/>
            </w:tcMar>
          </w:tcPr>
          <w:p>
            <w:pPr>
              <w:spacing w:after="0"/>
            </w:pPr>
            <w:r>
              <w:t xml:space="preserve">Four sheets: variances matched by part (A), via NCR disposition (B), via work order — physical and SME-linked (C), and unmatched (D).</w:t>
            </w:r>
          </w:p>
        </w:tc>
      </w:tr>
      <w:tr>
        <w:tc>
          <w:tcPr>
            <w:tcW w:type="dxa" w:w="2700"/>
            <w:tcMar>
              <w:top w:type="dxa" w:w="60"/>
              <w:left w:type="dxa" w:w="100"/>
              <w:bottom w:type="dxa" w:w="60"/>
              <w:right w:type="dxa" w:w="100"/>
            </w:tcMar>
          </w:tcPr>
          <w:p>
            <w:pPr>
              <w:spacing w:after="0"/>
            </w:pPr>
            <w:r>
              <w:t xml:space="preserve">Planned Not Installed</w:t>
            </w:r>
          </w:p>
        </w:tc>
        <w:tc>
          <w:tcPr>
            <w:tcW w:type="dxa" w:w="6660"/>
            <w:tcMar>
              <w:top w:type="dxa" w:w="60"/>
              <w:left w:type="dxa" w:w="100"/>
              <w:bottom w:type="dxa" w:w="60"/>
              <w:right w:type="dxa" w:w="100"/>
            </w:tcMar>
          </w:tcPr>
          <w:p>
            <w:pPr>
              <w:spacing w:after="0"/>
            </w:pPr>
            <w:r>
              <w:t xml:space="preserve">Items complete in the plan (including SME-adjudicated legs) but missing or short in the build — your open-work list.</w:t>
            </w:r>
          </w:p>
        </w:tc>
      </w:tr>
      <w:tr>
        <w:tc>
          <w:tcPr>
            <w:tcW w:type="dxa" w:w="2700"/>
            <w:tcMar>
              <w:top w:type="dxa" w:w="60"/>
              <w:left w:type="dxa" w:w="100"/>
              <w:bottom w:type="dxa" w:w="60"/>
              <w:right w:type="dxa" w:w="100"/>
            </w:tcMar>
          </w:tcPr>
          <w:p>
            <w:pPr>
              <w:spacing w:after="0"/>
            </w:pPr>
            <w:r>
              <w:t xml:space="preserve">Unplanned Not Installed</w:t>
            </w:r>
          </w:p>
        </w:tc>
        <w:tc>
          <w:tcPr>
            <w:tcW w:type="dxa" w:w="6660"/>
            <w:tcMar>
              <w:top w:type="dxa" w:w="60"/>
              <w:left w:type="dxa" w:w="100"/>
              <w:bottom w:type="dxa" w:w="60"/>
              <w:right w:type="dxa" w:w="100"/>
            </w:tcMar>
          </w:tcPr>
          <w:p>
            <w:pPr>
              <w:spacing w:after="0"/>
            </w:pPr>
            <w:r>
              <w:t xml:space="preserve">The complement: design lines never planned. Together the two reports partition the gaps.</w:t>
            </w:r>
          </w:p>
        </w:tc>
      </w:tr>
      <w:tr>
        <w:tc>
          <w:tcPr>
            <w:tcW w:type="dxa" w:w="2700"/>
            <w:tcMar>
              <w:top w:type="dxa" w:w="60"/>
              <w:left w:type="dxa" w:w="100"/>
              <w:bottom w:type="dxa" w:w="60"/>
              <w:right w:type="dxa" w:w="100"/>
            </w:tcMar>
          </w:tcPr>
          <w:p>
            <w:pPr>
              <w:spacing w:after="0"/>
            </w:pPr>
            <w:r>
              <w:t xml:space="preserve">Change Commitment List</w:t>
            </w:r>
          </w:p>
        </w:tc>
        <w:tc>
          <w:tcPr>
            <w:tcW w:type="dxa" w:w="6660"/>
            <w:tcMar>
              <w:top w:type="dxa" w:w="60"/>
              <w:left w:type="dxa" w:w="100"/>
              <w:bottom w:type="dxa" w:w="60"/>
              <w:right w:type="dxa" w:w="100"/>
            </w:tcMar>
          </w:tcPr>
          <w:p>
            <w:pPr>
              <w:spacing w:after="0"/>
            </w:pPr>
            <w:r>
              <w:t xml:space="preserve">ECNs whose entire EBOM footprint is embodied under closed WOs or SME adjudication — recommended closures.</w:t>
            </w:r>
          </w:p>
        </w:tc>
      </w:tr>
      <w:tr>
        <w:tc>
          <w:tcPr>
            <w:tcW w:type="dxa" w:w="2700"/>
            <w:tcMar>
              <w:top w:type="dxa" w:w="60"/>
              <w:left w:type="dxa" w:w="100"/>
              <w:bottom w:type="dxa" w:w="60"/>
              <w:right w:type="dxa" w:w="100"/>
            </w:tcMar>
          </w:tcPr>
          <w:p>
            <w:pPr>
              <w:spacing w:after="0"/>
            </w:pPr>
            <w:r>
              <w:t xml:space="preserve">ACN Report</w:t>
            </w:r>
          </w:p>
        </w:tc>
        <w:tc>
          <w:tcPr>
            <w:tcW w:type="dxa" w:w="6660"/>
            <w:tcMar>
              <w:top w:type="dxa" w:w="60"/>
              <w:left w:type="dxa" w:w="100"/>
              <w:bottom w:type="dxa" w:w="60"/>
              <w:right w:type="dxa" w:w="100"/>
            </w:tcMar>
          </w:tcPr>
          <w:p>
            <w:pPr>
              <w:spacing w:after="0"/>
            </w:pPr>
            <w:r>
              <w:t xml:space="preserve">Level 4–7 ACN embodiment with per-WO detail and open-NCR exposure.</w:t>
            </w:r>
          </w:p>
        </w:tc>
      </w:tr>
      <w:tr>
        <w:tc>
          <w:tcPr>
            <w:tcW w:type="dxa" w:w="2700"/>
            <w:tcMar>
              <w:top w:type="dxa" w:w="60"/>
              <w:left w:type="dxa" w:w="100"/>
              <w:bottom w:type="dxa" w:w="60"/>
              <w:right w:type="dxa" w:w="100"/>
            </w:tcMar>
          </w:tcPr>
          <w:p>
            <w:pPr>
              <w:spacing w:after="0"/>
            </w:pPr>
            <w:r>
              <w:t xml:space="preserve">WO5/ABOM Discrepancy, Apex, Ranked WOs, and others</w:t>
            </w:r>
          </w:p>
        </w:tc>
        <w:tc>
          <w:tcPr>
            <w:tcW w:type="dxa" w:w="6660"/>
            <w:tcMar>
              <w:top w:type="dxa" w:w="60"/>
              <w:left w:type="dxa" w:w="100"/>
              <w:bottom w:type="dxa" w:w="60"/>
              <w:right w:type="dxa" w:w="100"/>
            </w:tcMar>
          </w:tcPr>
          <w:p>
            <w:pPr>
              <w:spacing w:after="0"/>
            </w:pPr>
            <w:r>
              <w:t xml:space="preserve">Focused lists exported from their cards and windows; the Ranked Non-Closed WOs report orders open work by how many residual items each WO is gating.</w:t>
            </w:r>
          </w:p>
        </w:tc>
      </w:tr>
    </w:tbl>
    <w:p>
      <w:pPr>
        <w:pStyle w:val="Heading1"/>
        <w:spacing w:after="160" w:before="320"/>
      </w:pPr>
      <w:r>
        <w:t xml:space="preserve">10. Saving Your Work — Sessions and the Audit Certificate</w:t>
      </w:r>
    </w:p>
    <w:p>
      <w:pPr>
        <w:pStyle w:val="Heading2"/>
        <w:spacing w:after="120" w:before="240"/>
      </w:pPr>
      <w:r>
        <w:t xml:space="preserve">10.1 Session export / import</w:t>
      </w:r>
    </w:p>
    <w:p>
      <w:pPr>
        <w:spacing w:after="120"/>
      </w:pPr>
      <w:r>
        <w:rPr>
          <w:b/>
          <w:bCs/>
        </w:rPr>
        <w:t xml:space="preserve">Export Session</w:t>
      </w:r>
      <w:r>
        <w:t xml:space="preserve"> writes one JSON file containing everything: your uploaded data, the full results, every claim, and your column mappings. </w:t>
      </w:r>
      <w:r>
        <w:rPr>
          <w:b/>
          <w:bCs/>
        </w:rPr>
        <w:t xml:space="preserve">Import Session</w:t>
      </w:r>
      <w:r>
        <w:t xml:space="preserve"> restores it exactly — including on a different computer. Very large sessions import in a streaming mode (the tool tells you; allow a minute or two). Sessions saved by older builds import cleanly and gain newer features, such as EBOM line numbers, automatically.</w:t>
      </w:r>
    </w:p>
    <w:p>
      <w:pPr>
        <w:pStyle w:val="Heading2"/>
        <w:spacing w:after="120" w:before="240"/>
      </w:pPr>
      <w:r>
        <w:t xml:space="preserve">10.2 Finalize &amp; Freeze</w:t>
      </w:r>
    </w:p>
    <w:p>
      <w:pPr>
        <w:spacing w:after="120"/>
      </w:pPr>
      <w:r>
        <w:t xml:space="preserve">When the reconciliation is done and claims are processed, </w:t>
      </w:r>
      <w:r>
        <w:rPr>
          <w:b/>
          <w:bCs/>
        </w:rPr>
        <w:t xml:space="preserve">Finalize &amp; Freeze</w:t>
      </w:r>
      <w:r>
        <w:t xml:space="preserve"> locks the session and produces a </w:t>
      </w:r>
      <w:r>
        <w:rPr>
          <w:b/>
          <w:bCs/>
        </w:rPr>
        <w:t xml:space="preserve">Certificate of Configuration Audit</w:t>
      </w:r>
      <w:r>
        <w:t xml:space="preserve">: auditor name, timestamp, comparison mode, and a cryptographic hash covering the raw results, the effective (adjudicated) results, and every claim. A frozen session disables further uploads and re-runs, making the exported record defensible — any change to data or claims after freezing would no longer match the certificate.</w:t>
      </w:r>
    </w:p>
    <w:p>
      <w:r>
        <w:br w:type="page"/>
      </w:r>
    </w:p>
    <w:p>
      <w:pPr>
        <w:pStyle w:val="Heading1"/>
        <w:spacing w:after="160" w:before="320"/>
      </w:pPr>
      <w:r>
        <w:t xml:space="preserve">11. Interpreting What You See — Common Questions</w:t>
      </w:r>
    </w:p>
    <w:p>
      <w:pPr>
        <w:pStyle w:val="Heading3"/>
        <w:spacing w:after="100" w:before="180"/>
      </w:pPr>
      <w:r>
        <w:t xml:space="preserve">"The Excel export has far more rows than my EBOM."</w:t>
      </w:r>
    </w:p>
    <w:p>
      <w:pPr>
        <w:spacing w:after="120"/>
      </w:pPr>
      <w:r>
        <w:t xml:space="preserve">That is the row fanning (9.1). Count with EBOM Line #, never by counting rows.</w:t>
      </w:r>
    </w:p>
    <w:p>
      <w:pPr>
        <w:pStyle w:val="Heading3"/>
        <w:spacing w:after="100" w:before="180"/>
      </w:pPr>
      <w:r>
        <w:t xml:space="preserve">"Two columns disagree about quantity on one row."</w:t>
      </w:r>
    </w:p>
    <w:p>
      <w:pPr>
        <w:spacing w:after="120"/>
      </w:pPr>
      <w:r>
        <w:t xml:space="preserve">Probably a merged-duplicates row (4.4): EBOM Qty is the sum of the merged lines; Part Qty Text is one line’s text. The sum is what the engine used.</w:t>
      </w:r>
    </w:p>
    <w:p>
      <w:pPr>
        <w:pStyle w:val="Heading3"/>
        <w:spacing w:after="100" w:before="180"/>
      </w:pPr>
      <w:r>
        <w:t xml:space="preserve">"A part shows a different Next Higher than designed."</w:t>
      </w:r>
    </w:p>
    <w:p>
      <w:pPr>
        <w:spacing w:after="120"/>
      </w:pPr>
      <w:r>
        <w:t xml:space="preserve">Manufacturing structure legitimately need not mirror design structure. The parentage highlight is information, not automatically a defect.</w:t>
      </w:r>
    </w:p>
    <w:p>
      <w:pPr>
        <w:pStyle w:val="Heading3"/>
        <w:spacing w:after="100" w:before="180"/>
      </w:pPr>
      <w:r>
        <w:t xml:space="preserve">"The per-WO quantities don’t add up to the Roll Up."</w:t>
      </w:r>
    </w:p>
    <w:p>
      <w:pPr>
        <w:spacing w:after="120"/>
      </w:pPr>
      <w:r>
        <w:t xml:space="preserve">Removals and swaps net out (4.3). The per-WO column shows raw history; the Roll Up shows the effective net.</w:t>
      </w:r>
    </w:p>
    <w:p>
      <w:pPr>
        <w:pStyle w:val="Heading3"/>
        <w:spacing w:after="100" w:before="180"/>
      </w:pPr>
      <w:r>
        <w:t xml:space="preserve">"An item is on the WO Not Closed card — is it missing?"</w:t>
      </w:r>
    </w:p>
    <w:p>
      <w:pPr>
        <w:spacing w:after="120"/>
      </w:pPr>
      <w:r>
        <w:t xml:space="preserve">No. It is physically present but its work order isn’t closed. It moves to embodied when the WO closes. A teal ◈ means the open WO is RFV-authorized — documented, lower priority to chase.</w:t>
      </w:r>
    </w:p>
    <w:p>
      <w:pPr>
        <w:pStyle w:val="Heading3"/>
        <w:spacing w:after="100" w:before="180"/>
      </w:pPr>
      <w:r>
        <w:t xml:space="preserve">"Why is a CI on the Missing list when the Guide says it’s present?"</w:t>
      </w:r>
    </w:p>
    <w:p>
      <w:pPr>
        <w:spacing w:after="120"/>
      </w:pPr>
      <w:r>
        <w:t xml:space="preserve">The Guide’s presence columns ignore work-order status; the dashboard’s missing KPI requires a </w:t>
      </w:r>
      <w:r>
        <w:rPr>
          <w:i/>
          <w:iCs/>
        </w:rPr>
        <w:t xml:space="preserve">closed</w:t>
      </w:r>
      <w:r>
        <w:t xml:space="preserve">-WO ancestor. A CI covered only by an open-WO ancestor is "present" in the Guide and still "missing" (pending) on the dashboard — the drill-down flags exactly these.</w:t>
      </w:r>
    </w:p>
    <w:p>
      <w:pPr>
        <w:pStyle w:val="Heading3"/>
        <w:spacing w:after="100" w:before="180"/>
      </w:pPr>
      <w:r>
        <w:t xml:space="preserve">"The top-level aircraft row shows ◆ COLLECTOR — is that a problem?"</w:t>
      </w:r>
    </w:p>
    <w:p>
      <w:pPr>
        <w:spacing w:after="120"/>
      </w:pPr>
      <w:r>
        <w:t xml:space="preserve">No. Indenture A/B rows are structural context, deliberately outside reconciliation scope and excluded from every percentage.</w:t>
      </w:r>
    </w:p>
    <w:p>
      <w:pPr>
        <w:pStyle w:val="Heading3"/>
        <w:spacing w:after="100" w:before="180"/>
      </w:pPr>
      <w:r>
        <w:t xml:space="preserve">"Numbers changed after I processed claims."</w:t>
      </w:r>
    </w:p>
    <w:p>
      <w:pPr>
        <w:spacing w:after="120"/>
      </w:pPr>
      <w:r>
        <w:t xml:space="preserve">That is the point: adjudicated legs count as reconciled. Every affected surface shows purple provenance, and Revert restores the raw view.</w:t>
      </w:r>
    </w:p>
    <w:p>
      <w:pPr>
        <w:pStyle w:val="Heading1"/>
        <w:spacing w:after="160" w:before="320"/>
      </w:pPr>
      <w:r>
        <w:t xml:space="preserve">12. Symbol &amp; Color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AF0" w:val="clear"/>
            <w:tcMar>
              <w:top w:type="dxa" w:w="60"/>
              <w:left w:type="dxa" w:w="100"/>
              <w:bottom w:type="dxa" w:w="60"/>
              <w:right w:type="dxa" w:w="100"/>
            </w:tcMar>
          </w:tcPr>
          <w:p>
            <w:pPr>
              <w:spacing w:after="0"/>
            </w:pPr>
            <w:r>
              <w:t xml:space="preserve">Symbol / color</w:t>
            </w:r>
          </w:p>
        </w:tc>
        <w:tc>
          <w:tcPr>
            <w:tcW w:type="dxa" w:w="6760"/>
            <w:shd w:fill="E8EAF0" w:val="clear"/>
            <w:tcMar>
              <w:top w:type="dxa" w:w="60"/>
              <w:left w:type="dxa" w:w="100"/>
              <w:bottom w:type="dxa" w:w="60"/>
              <w:right w:type="dxa" w:w="100"/>
            </w:tcMar>
          </w:tcPr>
          <w:p>
            <w:pPr>
              <w:spacing w:after="0"/>
            </w:pPr>
            <w:r>
              <w:t xml:space="preserve">Meaning — everywhere in the tool</w:t>
            </w:r>
          </w:p>
        </w:tc>
      </w:tr>
      <w:tr>
        <w:tc>
          <w:tcPr>
            <w:tcW w:type="dxa" w:w="2600"/>
            <w:tcMar>
              <w:top w:type="dxa" w:w="60"/>
              <w:left w:type="dxa" w:w="100"/>
              <w:bottom w:type="dxa" w:w="60"/>
              <w:right w:type="dxa" w:w="100"/>
            </w:tcMar>
          </w:tcPr>
          <w:p>
            <w:pPr>
              <w:spacing w:after="0"/>
            </w:pPr>
            <w:r>
              <w:t xml:space="preserve">Green (three tiers)</w:t>
            </w:r>
          </w:p>
        </w:tc>
        <w:tc>
          <w:tcPr>
            <w:tcW w:type="dxa" w:w="6760"/>
            <w:tcMar>
              <w:top w:type="dxa" w:w="60"/>
              <w:left w:type="dxa" w:w="100"/>
              <w:bottom w:type="dxa" w:w="60"/>
              <w:right w:type="dxa" w:w="100"/>
            </w:tcMar>
          </w:tcPr>
          <w:p>
            <w:pPr>
              <w:spacing w:after="0"/>
            </w:pPr>
            <w:r>
              <w:t xml:space="preserve">Reconciled — direct, used-on, ancestor.</w:t>
            </w:r>
          </w:p>
        </w:tc>
      </w:tr>
      <w:tr>
        <w:tc>
          <w:tcPr>
            <w:tcW w:type="dxa" w:w="2600"/>
            <w:tcMar>
              <w:top w:type="dxa" w:w="60"/>
              <w:left w:type="dxa" w:w="100"/>
              <w:bottom w:type="dxa" w:w="60"/>
              <w:right w:type="dxa" w:w="100"/>
            </w:tcMar>
          </w:tcPr>
          <w:p>
            <w:pPr>
              <w:spacing w:after="0"/>
            </w:pPr>
            <w:r>
              <w:t xml:space="preserve">Amber</w:t>
            </w:r>
          </w:p>
        </w:tc>
        <w:tc>
          <w:tcPr>
            <w:tcW w:type="dxa" w:w="6760"/>
            <w:tcMar>
              <w:top w:type="dxa" w:w="60"/>
              <w:left w:type="dxa" w:w="100"/>
              <w:bottom w:type="dxa" w:w="60"/>
              <w:right w:type="dxa" w:w="100"/>
            </w:tcMar>
          </w:tcPr>
          <w:p>
            <w:pPr>
              <w:spacing w:after="0"/>
            </w:pPr>
            <w:r>
              <w:t xml:space="preserve">A non-missing discrepancy (quantity short, WO open).</w:t>
            </w:r>
          </w:p>
        </w:tc>
      </w:tr>
      <w:tr>
        <w:tc>
          <w:tcPr>
            <w:tcW w:type="dxa" w:w="2600"/>
            <w:tcMar>
              <w:top w:type="dxa" w:w="60"/>
              <w:left w:type="dxa" w:w="100"/>
              <w:bottom w:type="dxa" w:w="60"/>
              <w:right w:type="dxa" w:w="100"/>
            </w:tcMar>
          </w:tcPr>
          <w:p>
            <w:pPr>
              <w:spacing w:after="0"/>
            </w:pPr>
            <w:r>
              <w:t xml:space="preserve">Red</w:t>
            </w:r>
          </w:p>
        </w:tc>
        <w:tc>
          <w:tcPr>
            <w:tcW w:type="dxa" w:w="6760"/>
            <w:tcMar>
              <w:top w:type="dxa" w:w="60"/>
              <w:left w:type="dxa" w:w="100"/>
              <w:bottom w:type="dxa" w:w="60"/>
              <w:right w:type="dxa" w:w="100"/>
            </w:tcMar>
          </w:tcPr>
          <w:p>
            <w:pPr>
              <w:spacing w:after="0"/>
            </w:pPr>
            <w:r>
              <w:t xml:space="preserve">Missing / failed every path.</w:t>
            </w:r>
          </w:p>
        </w:tc>
      </w:tr>
      <w:tr>
        <w:tc>
          <w:tcPr>
            <w:tcW w:type="dxa" w:w="2600"/>
            <w:tcMar>
              <w:top w:type="dxa" w:w="60"/>
              <w:left w:type="dxa" w:w="100"/>
              <w:bottom w:type="dxa" w:w="60"/>
              <w:right w:type="dxa" w:w="100"/>
            </w:tcMar>
          </w:tcPr>
          <w:p>
            <w:pPr>
              <w:spacing w:after="0"/>
            </w:pPr>
            <w:r>
              <w:t xml:space="preserve">Purple ⚑</w:t>
            </w:r>
          </w:p>
        </w:tc>
        <w:tc>
          <w:tcPr>
            <w:tcW w:type="dxa" w:w="6760"/>
            <w:tcMar>
              <w:top w:type="dxa" w:w="60"/>
              <w:left w:type="dxa" w:w="100"/>
              <w:bottom w:type="dxa" w:w="60"/>
              <w:right w:type="dxa" w:w="100"/>
            </w:tcMar>
          </w:tcPr>
          <w:p>
            <w:pPr>
              <w:spacing w:after="0"/>
            </w:pPr>
            <w:r>
              <w:t xml:space="preserve">Manual SME adjudication — a human decision, always attributed.</w:t>
            </w:r>
          </w:p>
        </w:tc>
      </w:tr>
      <w:tr>
        <w:tc>
          <w:tcPr>
            <w:tcW w:type="dxa" w:w="2600"/>
            <w:tcMar>
              <w:top w:type="dxa" w:w="60"/>
              <w:left w:type="dxa" w:w="100"/>
              <w:bottom w:type="dxa" w:w="60"/>
              <w:right w:type="dxa" w:w="100"/>
            </w:tcMar>
          </w:tcPr>
          <w:p>
            <w:pPr>
              <w:spacing w:after="0"/>
            </w:pPr>
            <w:r>
              <w:t xml:space="preserve">Teal ◈</w:t>
            </w:r>
          </w:p>
        </w:tc>
        <w:tc>
          <w:tcPr>
            <w:tcW w:type="dxa" w:w="6760"/>
            <w:tcMar>
              <w:top w:type="dxa" w:w="60"/>
              <w:left w:type="dxa" w:w="100"/>
              <w:bottom w:type="dxa" w:w="60"/>
              <w:right w:type="dxa" w:w="100"/>
            </w:tcMar>
          </w:tcPr>
          <w:p>
            <w:pPr>
              <w:spacing w:after="0"/>
            </w:pPr>
            <w:r>
              <w:t xml:space="preserve">RFV — variance coverage or RFV-authorized work orders.</w:t>
            </w:r>
          </w:p>
        </w:tc>
      </w:tr>
      <w:tr>
        <w:tc>
          <w:tcPr>
            <w:tcW w:type="dxa" w:w="2600"/>
            <w:tcMar>
              <w:top w:type="dxa" w:w="60"/>
              <w:left w:type="dxa" w:w="100"/>
              <w:bottom w:type="dxa" w:w="60"/>
              <w:right w:type="dxa" w:w="100"/>
            </w:tcMar>
          </w:tcPr>
          <w:p>
            <w:pPr>
              <w:spacing w:after="0"/>
            </w:pPr>
            <w:r>
              <w:t xml:space="preserve">Orange</w:t>
            </w:r>
          </w:p>
        </w:tc>
        <w:tc>
          <w:tcPr>
            <w:tcW w:type="dxa" w:w="6760"/>
            <w:tcMar>
              <w:top w:type="dxa" w:w="60"/>
              <w:left w:type="dxa" w:w="100"/>
              <w:bottom w:type="dxa" w:w="60"/>
              <w:right w:type="dxa" w:w="100"/>
            </w:tcMar>
          </w:tcPr>
          <w:p>
            <w:pPr>
              <w:spacing w:after="0"/>
            </w:pPr>
            <w:r>
              <w:t xml:space="preserve">NCR — nonconformance linkage.</w:t>
            </w:r>
          </w:p>
        </w:tc>
      </w:tr>
      <w:tr>
        <w:tc>
          <w:tcPr>
            <w:tcW w:type="dxa" w:w="2600"/>
            <w:tcMar>
              <w:top w:type="dxa" w:w="60"/>
              <w:left w:type="dxa" w:w="100"/>
              <w:bottom w:type="dxa" w:w="60"/>
              <w:right w:type="dxa" w:w="100"/>
            </w:tcMar>
          </w:tcPr>
          <w:p>
            <w:pPr>
              <w:spacing w:after="0"/>
            </w:pPr>
            <w:r>
              <w:t xml:space="preserve">Gray ◆</w:t>
            </w:r>
          </w:p>
        </w:tc>
        <w:tc>
          <w:tcPr>
            <w:tcW w:type="dxa" w:w="6760"/>
            <w:tcMar>
              <w:top w:type="dxa" w:w="60"/>
              <w:left w:type="dxa" w:w="100"/>
              <w:bottom w:type="dxa" w:w="60"/>
              <w:right w:type="dxa" w:w="100"/>
            </w:tcMar>
          </w:tcPr>
          <w:p>
            <w:pPr>
              <w:spacing w:after="0"/>
            </w:pPr>
            <w:r>
              <w:t xml:space="preserve">Structural — collectors and excluded part types; outside all counts.</w:t>
            </w:r>
          </w:p>
        </w:tc>
      </w:tr>
      <w:tr>
        <w:tc>
          <w:tcPr>
            <w:tcW w:type="dxa" w:w="2600"/>
            <w:tcMar>
              <w:top w:type="dxa" w:w="60"/>
              <w:left w:type="dxa" w:w="100"/>
              <w:bottom w:type="dxa" w:w="60"/>
              <w:right w:type="dxa" w:w="100"/>
            </w:tcMar>
          </w:tcPr>
          <w:p>
            <w:pPr>
              <w:spacing w:after="0"/>
            </w:pPr>
            <w:r>
              <w:t xml:space="preserve">⊘</w:t>
            </w:r>
          </w:p>
        </w:tc>
        <w:tc>
          <w:tcPr>
            <w:tcW w:type="dxa" w:w="6760"/>
            <w:tcMar>
              <w:top w:type="dxa" w:w="60"/>
              <w:left w:type="dxa" w:w="100"/>
              <w:bottom w:type="dxa" w:w="60"/>
              <w:right w:type="dxa" w:w="100"/>
            </w:tcMar>
          </w:tcPr>
          <w:p>
            <w:pPr>
              <w:spacing w:after="0"/>
            </w:pPr>
            <w:r>
              <w:t xml:space="preserve">Proc-removed — net removal from the build.</w:t>
            </w:r>
          </w:p>
        </w:tc>
      </w:tr>
      <w:tr>
        <w:tc>
          <w:tcPr>
            <w:tcW w:type="dxa" w:w="2600"/>
            <w:tcMar>
              <w:top w:type="dxa" w:w="60"/>
              <w:left w:type="dxa" w:w="100"/>
              <w:bottom w:type="dxa" w:w="60"/>
              <w:right w:type="dxa" w:w="100"/>
            </w:tcMar>
          </w:tcPr>
          <w:p>
            <w:pPr>
              <w:spacing w:after="0"/>
            </w:pPr>
            <w:r>
              <w:t xml:space="preserve">⬇</w:t>
            </w:r>
          </w:p>
        </w:tc>
        <w:tc>
          <w:tcPr>
            <w:tcW w:type="dxa" w:w="6760"/>
            <w:tcMar>
              <w:top w:type="dxa" w:w="60"/>
              <w:left w:type="dxa" w:w="100"/>
              <w:bottom w:type="dxa" w:w="60"/>
              <w:right w:type="dxa" w:w="100"/>
            </w:tcMar>
          </w:tcPr>
          <w:p>
            <w:pPr>
              <w:spacing w:after="0"/>
            </w:pPr>
            <w:r>
              <w:t xml:space="preserve">Export / download.</w:t>
            </w:r>
          </w:p>
        </w:tc>
      </w:tr>
      <w:tr>
        <w:tc>
          <w:tcPr>
            <w:tcW w:type="dxa" w:w="2600"/>
            <w:tcMar>
              <w:top w:type="dxa" w:w="60"/>
              <w:left w:type="dxa" w:w="100"/>
              <w:bottom w:type="dxa" w:w="60"/>
              <w:right w:type="dxa" w:w="100"/>
            </w:tcMar>
          </w:tcPr>
          <w:p>
            <w:pPr>
              <w:spacing w:after="0"/>
            </w:pPr>
            <w:r>
              <w:t xml:space="preserve">↑ parent (italic)</w:t>
            </w:r>
          </w:p>
        </w:tc>
        <w:tc>
          <w:tcPr>
            <w:tcW w:type="dxa" w:w="6760"/>
            <w:tcMar>
              <w:top w:type="dxa" w:w="60"/>
              <w:left w:type="dxa" w:w="100"/>
              <w:bottom w:type="dxa" w:w="60"/>
              <w:right w:type="dxa" w:w="100"/>
            </w:tcMar>
          </w:tcPr>
          <w:p>
            <w:pPr>
              <w:spacing w:after="0"/>
            </w:pPr>
            <w:r>
              <w:t xml:space="preserve">Green: covered via an indenture ancestor. Muted: structural A/B row.</w:t>
            </w:r>
          </w:p>
        </w:tc>
      </w:tr>
      <w:tr>
        <w:tc>
          <w:tcPr>
            <w:tcW w:type="dxa" w:w="2600"/>
            <w:tcMar>
              <w:top w:type="dxa" w:w="60"/>
              <w:left w:type="dxa" w:w="100"/>
              <w:bottom w:type="dxa" w:w="60"/>
              <w:right w:type="dxa" w:w="100"/>
            </w:tcMar>
          </w:tcPr>
          <w:p>
            <w:pPr>
              <w:spacing w:after="0"/>
            </w:pPr>
            <w:r>
              <w:t xml:space="preserve">"Roll Up" / "per WO"</w:t>
            </w:r>
          </w:p>
        </w:tc>
        <w:tc>
          <w:tcPr>
            <w:tcW w:type="dxa" w:w="6760"/>
            <w:tcMar>
              <w:top w:type="dxa" w:w="60"/>
              <w:left w:type="dxa" w:w="100"/>
              <w:bottom w:type="dxa" w:w="60"/>
              <w:right w:type="dxa" w:w="100"/>
            </w:tcMar>
          </w:tcPr>
          <w:p>
            <w:pPr>
              <w:spacing w:after="0"/>
            </w:pPr>
            <w:r>
              <w:t xml:space="preserve">Engine net quantity vs. raw per-record quantity (4.3).</w:t>
            </w:r>
          </w:p>
        </w:tc>
      </w:tr>
      <w:tr>
        <w:tc>
          <w:tcPr>
            <w:tcW w:type="dxa" w:w="2600"/>
            <w:tcMar>
              <w:top w:type="dxa" w:w="60"/>
              <w:left w:type="dxa" w:w="100"/>
              <w:bottom w:type="dxa" w:w="60"/>
              <w:right w:type="dxa" w:w="100"/>
            </w:tcMar>
          </w:tcPr>
          <w:p>
            <w:pPr>
              <w:spacing w:after="0"/>
            </w:pPr>
            <w:r>
              <w:t xml:space="preserve">"Row n of m"</w:t>
            </w:r>
          </w:p>
        </w:tc>
        <w:tc>
          <w:tcPr>
            <w:tcW w:type="dxa" w:w="6760"/>
            <w:tcMar>
              <w:top w:type="dxa" w:w="60"/>
              <w:left w:type="dxa" w:w="100"/>
              <w:bottom w:type="dxa" w:w="60"/>
              <w:right w:type="dxa" w:w="100"/>
            </w:tcMar>
          </w:tcPr>
          <w:p>
            <w:pPr>
              <w:spacing w:after="0"/>
            </w:pPr>
            <w:r>
              <w:t xml:space="preserve">Export fan position — never a quantity (9.1).</w:t>
            </w:r>
          </w:p>
        </w:tc>
      </w:tr>
    </w:tbl>
    <w:p>
      <w:pPr>
        <w:spacing w:after="120"/>
      </w:pPr>
    </w:p>
    <w:p>
      <w:pPr>
        <w:spacing w:after="120"/>
      </w:pPr>
      <w:r>
        <w:rPr>
          <w:i/>
          <w:iCs/>
        </w:rPr>
        <w:t xml:space="preserve">Guide prepared against build v149 (offline build 49), July 2026. The in-tool Explanation buttons are updated with every build and are the authoritative reference where this document and the tool ever differ.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4"/>
      <w:szCs w:val="34"/>
    </w:rPr>
  </w:style>
  <w:style w:type="paragraph" w:styleId="Heading2">
    <w:name w:val="Heading 2"/>
    <w:basedOn w:val="Normal"/>
    <w:next w:val="Normal"/>
    <w:qFormat/>
    <w:rPr>
      <w:rFonts w:ascii="Calibri" w:cs="Calibri" w:eastAsia="Calibri" w:hAnsi="Calibri"/>
      <w:b/>
      <w:bCs/>
      <w:color w:val="2E5496"/>
      <w:sz w:val="27"/>
      <w:szCs w:val="27"/>
    </w:rPr>
  </w:style>
  <w:style w:type="paragraph" w:styleId="Heading3">
    <w:name w:val="Heading 3"/>
    <w:basedOn w:val="Normal"/>
    <w:next w:val="Normal"/>
    <w:qFormat/>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 Comparator User Guide — v149</dc:title>
  <dc:creator>BOM Comparator</dc:creator>
  <cp:lastModifiedBy>Un-named</cp:lastModifiedBy>
  <cp:revision>1</cp:revision>
  <dcterms:created xsi:type="dcterms:W3CDTF">2026-07-12T19:57:05.447Z</dcterms:created>
  <dcterms:modified xsi:type="dcterms:W3CDTF">2026-07-12T19:57:05.462Z</dcterms:modified>
</cp:coreProperties>
</file>

<file path=docProps/custom.xml><?xml version="1.0" encoding="utf-8"?>
<Properties xmlns="http://schemas.openxmlformats.org/officeDocument/2006/custom-properties" xmlns:vt="http://schemas.openxmlformats.org/officeDocument/2006/docPropsVTypes"/>
</file>