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720"/>
      </w:pPr>
    </w:p>
    <w:p>
      <w:pPr>
        <w:spacing w:after="120" w:before="0"/>
        <w:jc w:val="center"/>
      </w:pPr>
      <w:r>
        <w:rPr>
          <w:rFonts w:ascii="Arial" w:cs="Arial" w:eastAsia="Arial" w:hAnsi="Arial"/>
          <w:b/>
          <w:bCs/>
          <w:color w:val="1F3864"/>
          <w:sz w:val="56"/>
          <w:szCs w:val="56"/>
        </w:rPr>
        <w:t xml:space="preserve">CONFIGURATION MANAGEMENT</w:t>
      </w:r>
    </w:p>
    <w:p>
      <w:pPr>
        <w:spacing w:after="80" w:before="0"/>
        <w:jc w:val="center"/>
      </w:pPr>
      <w:r>
        <w:rPr>
          <w:rFonts w:ascii="Arial" w:cs="Arial" w:eastAsia="Arial" w:hAnsi="Arial"/>
          <w:b/>
          <w:bCs/>
          <w:color w:val="1F3864"/>
          <w:sz w:val="56"/>
          <w:szCs w:val="56"/>
        </w:rPr>
        <w:t xml:space="preserve">WORKFORCE COMPETENCY ANALYSIS</w:t>
      </w:r>
    </w:p>
    <w:p>
      <w:pPr>
        <w:pBdr>
          <w:bottom w:val="single" w:color="2E5F8A" w:sz="12"/>
        </w:pBdr>
        <w:spacing w:after="80" w:before="80"/>
      </w:pPr>
    </w:p>
    <w:p>
      <w:pPr>
        <w:spacing w:after="0" w:before="120"/>
      </w:pPr>
    </w:p>
    <w:p>
      <w:pPr>
        <w:spacing w:after="80" w:before="0"/>
        <w:jc w:val="center"/>
      </w:pPr>
      <w:r>
        <w:rPr>
          <w:rFonts w:ascii="Arial" w:cs="Arial" w:eastAsia="Arial" w:hAnsi="Arial"/>
          <w:b w:val="false"/>
          <w:bCs w:val="false"/>
          <w:i/>
          <w:iCs/>
          <w:color w:val="2E5F8A"/>
          <w:sz w:val="32"/>
          <w:szCs w:val="32"/>
        </w:rPr>
        <w:t xml:space="preserve">Education Degree Requirements, Technical Skills, and Soft Skills</w:t>
      </w:r>
    </w:p>
    <w:p>
      <w:pPr>
        <w:spacing w:after="240" w:before="0"/>
        <w:jc w:val="center"/>
      </w:pPr>
      <w:r>
        <w:rPr>
          <w:rFonts w:ascii="Arial" w:cs="Arial" w:eastAsia="Arial" w:hAnsi="Arial"/>
          <w:color w:val="595959"/>
          <w:sz w:val="28"/>
          <w:szCs w:val="28"/>
        </w:rPr>
        <w:t xml:space="preserve">Per EIA-649-1 Configuration Management Requirements for Defense Contracts</w:t>
      </w:r>
    </w:p>
    <w:p>
      <w:pPr>
        <w:spacing w:after="80" w:before="0"/>
        <w:jc w:val="center"/>
      </w:pPr>
      <w:r>
        <w:rPr>
          <w:rFonts w:ascii="Arial" w:cs="Arial" w:eastAsia="Arial" w:hAnsi="Arial"/>
          <w:i/>
          <w:iCs/>
          <w:color w:val="595959"/>
          <w:sz w:val="24"/>
          <w:szCs w:val="24"/>
        </w:rPr>
        <w:t xml:space="preserve">Prepared for: HR, Senior CM Leadership, and Executive Aerospace Leadership</w:t>
      </w:r>
    </w:p>
    <w:p>
      <w:pPr>
        <w:spacing w:after="80" w:before="0"/>
        <w:jc w:val="center"/>
      </w:pPr>
      <w:r>
        <w:rPr>
          <w:rFonts w:ascii="Arial" w:cs="Arial" w:eastAsia="Arial" w:hAnsi="Arial"/>
          <w:color w:val="595959"/>
          <w:sz w:val="22"/>
          <w:szCs w:val="22"/>
        </w:rPr>
        <w:t xml:space="preserve">Date: May 24, 2026</w:t>
      </w:r>
    </w:p>
    <w:p>
      <w:pPr>
        <w:spacing w:after="0" w:before="240"/>
      </w:pPr>
    </w:p>
    <w:tbl>
      <w:tblPr>
        <w:tblW w:type="dxa" w:w="9360"/>
        <w:tblBorders>
          <w:top w:val="single" w:color="2E5F8A" w:sz="8"/>
          <w:left w:val="single" w:color="2E5F8A" w:sz="8"/>
          <w:bottom w:val="single" w:color="2E5F8A" w:sz="8"/>
          <w:right w:val="single" w:color="2E5F8A" w:sz="8"/>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BDD7EE" w:val="clear"/>
            <w:tcMar>
              <w:top w:type="dxa" w:w="100"/>
              <w:left w:type="dxa" w:w="200"/>
              <w:bottom w:type="dxa" w:w="100"/>
              <w:right w:type="dxa" w:w="200"/>
            </w:tcMar>
          </w:tcPr>
          <w:p>
            <w:pPr>
              <w:spacing w:after="40" w:before="40"/>
            </w:pPr>
            <w:r>
              <w:rPr>
                <w:rFonts w:ascii="Arial" w:cs="Arial" w:eastAsia="Arial" w:hAnsi="Arial"/>
                <w:b/>
                <w:bCs/>
                <w:color w:val="1F3864"/>
                <w:sz w:val="22"/>
                <w:szCs w:val="22"/>
              </w:rPr>
              <w:t xml:space="preserve">Key Assumptions Governing This Analysis</w:t>
            </w:r>
          </w:p>
        </w:tc>
      </w:tr>
      <w:tr>
        <w:tc>
          <w:tcPr>
            <w:tcW w:type="dxa" w:w="9360"/>
            <w:tcBorders>
              <w:top w:val="none" w:color="FFFFFF" w:sz="0"/>
              <w:left w:val="none" w:color="FFFFFF" w:sz="0"/>
              <w:bottom w:val="none" w:color="FFFFFF" w:sz="0"/>
              <w:right w:val="none" w:color="FFFFFF" w:sz="0"/>
            </w:tcBorders>
            <w:shd w:fill="D5E8F0" w:val="clear"/>
            <w:tcMar>
              <w:top w:type="dxa" w:w="80"/>
              <w:left w:type="dxa" w:w="200"/>
              <w:bottom w:type="dxa" w:w="80"/>
              <w:right w:type="dxa" w:w="200"/>
            </w:tcMar>
          </w:tcPr>
          <w:p>
            <w:pPr>
              <w:spacing w:after="40" w:before="40"/>
            </w:pPr>
            <w:r>
              <w:rPr>
                <w:rFonts w:ascii="Arial" w:cs="Arial" w:eastAsia="Arial" w:hAnsi="Arial"/>
                <w:color w:val="404040"/>
                <w:sz w:val="20"/>
                <w:szCs w:val="20"/>
              </w:rPr>
              <w:t xml:space="preserve">1. All EIA-649-1 requirements are allocated to the CM Organization (no engineering hand-off of CM duties).</w:t>
            </w:r>
          </w:p>
        </w:tc>
      </w:tr>
      <w:tr>
        <w:tc>
          <w:tcPr>
            <w:tcW w:type="dxa" w:w="9360"/>
            <w:tcBorders>
              <w:top w:val="none" w:color="FFFFFF" w:sz="0"/>
              <w:left w:val="none" w:color="FFFFFF" w:sz="0"/>
              <w:bottom w:val="none" w:color="FFFFFF" w:sz="0"/>
              <w:right w:val="none" w:color="FFFFFF" w:sz="0"/>
            </w:tcBorders>
            <w:shd w:fill="D5E8F0" w:val="clear"/>
            <w:tcMar>
              <w:top w:type="dxa" w:w="80"/>
              <w:left w:type="dxa" w:w="200"/>
              <w:bottom w:type="dxa" w:w="80"/>
              <w:right w:type="dxa" w:w="200"/>
            </w:tcMar>
          </w:tcPr>
          <w:p>
            <w:pPr>
              <w:spacing w:after="40" w:before="40"/>
            </w:pPr>
            <w:r>
              <w:rPr>
                <w:rFonts w:ascii="Arial" w:cs="Arial" w:eastAsia="Arial" w:hAnsi="Arial"/>
                <w:color w:val="404040"/>
                <w:sz w:val="20"/>
                <w:szCs w:val="20"/>
              </w:rPr>
              <w:t xml:space="preserve">2. The company has no CSA tool automating reconciliation of Design to Procurement Planning to Build.</w:t>
            </w:r>
          </w:p>
        </w:tc>
      </w:tr>
      <w:tr>
        <w:tc>
          <w:tcPr>
            <w:tcW w:type="dxa" w:w="9360"/>
            <w:tcBorders>
              <w:top w:val="none" w:color="FFFFFF" w:sz="0"/>
              <w:left w:val="none" w:color="FFFFFF" w:sz="0"/>
              <w:bottom w:val="none" w:color="FFFFFF" w:sz="0"/>
              <w:right w:val="none" w:color="FFFFFF" w:sz="0"/>
            </w:tcBorders>
            <w:shd w:fill="D5E8F0" w:val="clear"/>
            <w:tcMar>
              <w:top w:type="dxa" w:w="80"/>
              <w:left w:type="dxa" w:w="200"/>
              <w:bottom w:type="dxa" w:w="80"/>
              <w:right w:type="dxa" w:w="200"/>
            </w:tcMar>
          </w:tcPr>
          <w:p>
            <w:pPr>
              <w:spacing w:after="40" w:before="40"/>
            </w:pPr>
            <w:r>
              <w:rPr>
                <w:rFonts w:ascii="Arial" w:cs="Arial" w:eastAsia="Arial" w:hAnsi="Arial"/>
                <w:color w:val="404040"/>
                <w:sz w:val="20"/>
                <w:szCs w:val="20"/>
              </w:rPr>
              <w:t xml:space="preserve">3. The current hiring standard is an Associate's Degree — this document makes the case where that must change.</w:t>
            </w:r>
          </w:p>
        </w:tc>
      </w:tr>
      <w:tr>
        <w:tc>
          <w:tcPr>
            <w:tcW w:type="dxa" w:w="9360"/>
            <w:tcBorders>
              <w:top w:val="none" w:color="FFFFFF" w:sz="0"/>
              <w:left w:val="none" w:color="FFFFFF" w:sz="0"/>
              <w:bottom w:val="none" w:color="FFFFFF" w:sz="0"/>
              <w:right w:val="none" w:color="FFFFFF" w:sz="0"/>
            </w:tcBorders>
            <w:shd w:fill="D5E8F0" w:val="clear"/>
            <w:tcMar>
              <w:top w:type="dxa" w:w="80"/>
              <w:left w:type="dxa" w:w="200"/>
              <w:bottom w:type="dxa" w:w="80"/>
              <w:right w:type="dxa" w:w="200"/>
            </w:tcMar>
          </w:tcPr>
          <w:p>
            <w:pPr>
              <w:spacing w:after="40" w:before="40"/>
            </w:pPr>
            <w:r>
              <w:rPr>
                <w:rFonts w:ascii="Arial" w:cs="Arial" w:eastAsia="Arial" w:hAnsi="Arial"/>
                <w:color w:val="404040"/>
                <w:sz w:val="20"/>
                <w:szCs w:val="20"/>
              </w:rPr>
              <w:t xml:space="preserve">4. Degree traceability to specific 649-1 paragraphs is provided to support HR and leadership decision-making.</w:t>
            </w:r>
          </w:p>
        </w:tc>
      </w:tr>
      <w:tr>
        <w:tc>
          <w:tcPr>
            <w:tcW w:type="dxa" w:w="9360"/>
            <w:tcBorders>
              <w:top w:val="none" w:color="FFFFFF" w:sz="0"/>
              <w:left w:val="none" w:color="FFFFFF" w:sz="0"/>
              <w:bottom w:val="none" w:color="FFFFFF" w:sz="0"/>
              <w:right w:val="none" w:color="FFFFFF" w:sz="0"/>
            </w:tcBorders>
            <w:shd w:fill="D5E8F0" w:val="clear"/>
            <w:tcMar>
              <w:top w:type="dxa" w:w="80"/>
              <w:left w:type="dxa" w:w="200"/>
              <w:bottom w:type="dxa" w:w="80"/>
              <w:right w:type="dxa" w:w="200"/>
            </w:tcMar>
          </w:tcPr>
          <w:p>
            <w:pPr>
              <w:spacing w:after="40" w:before="40"/>
            </w:pPr>
            <w:r>
              <w:rPr>
                <w:rFonts w:ascii="Arial" w:cs="Arial" w:eastAsia="Arial" w:hAnsi="Arial"/>
                <w:color w:val="404040"/>
                <w:sz w:val="20"/>
                <w:szCs w:val="20"/>
              </w:rPr>
              <w:t xml:space="preserve">5. 'Technical Degree' means a B.S. in Engineering (B.S.E.) or Engineering Technology (B.S.E.T.) unless noted otherwise.</w:t>
            </w:r>
          </w:p>
        </w:tc>
      </w:tr>
    </w:tbl>
    <w:p>
      <w:r>
        <w:br w:type="page"/>
      </w:r>
    </w:p>
    <w:p>
      <w:pPr>
        <w:pStyle w:val="Heading1"/>
        <w:shd w:fill="1F3864" w:val="clear"/>
        <w:spacing w:after="80" w:before="0"/>
        <w:ind w:left="120"/>
        <w:jc w:val="center"/>
      </w:pPr>
      <w:r>
        <w:rPr>
          <w:rFonts w:ascii="Arial" w:cs="Arial" w:eastAsia="Arial" w:hAnsi="Arial"/>
          <w:b/>
          <w:bCs/>
          <w:color w:val="FFFFFF"/>
          <w:sz w:val="36"/>
          <w:szCs w:val="36"/>
        </w:rPr>
        <w:t xml:space="preserve">EXECUTIVE ONE-PAGER</w:t>
      </w:r>
    </w:p>
    <w:p>
      <w:pPr>
        <w:spacing w:after="160" w:before="0"/>
        <w:jc w:val="center"/>
      </w:pPr>
      <w:r>
        <w:rPr>
          <w:rFonts w:ascii="Arial" w:cs="Arial" w:eastAsia="Arial" w:hAnsi="Arial"/>
          <w:i/>
          <w:iCs/>
          <w:color w:val="595959"/>
          <w:sz w:val="22"/>
          <w:szCs w:val="22"/>
        </w:rPr>
        <w:t xml:space="preserve">If you read nothing else, read this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F8A" w:sz="8"/>
              <w:left w:val="single" w:color="2E5F8A" w:sz="8"/>
              <w:bottom w:val="single" w:color="2E5F8A" w:sz="8"/>
              <w:right w:val="single" w:color="2E5F8A" w:sz="8"/>
            </w:tcBorders>
            <w:shd w:fill="D5E8F0" w:val="clear"/>
            <w:tcMar>
              <w:top w:type="dxa" w:w="160"/>
              <w:left w:type="dxa" w:w="240"/>
              <w:bottom w:type="dxa" w:w="160"/>
              <w:right w:type="dxa" w:w="240"/>
            </w:tcMar>
          </w:tcPr>
          <w:p>
            <w:pPr>
              <w:spacing w:after="80" w:before="0"/>
            </w:pPr>
            <w:r>
              <w:rPr>
                <w:rFonts w:ascii="Arial" w:cs="Arial" w:eastAsia="Arial" w:hAnsi="Arial"/>
                <w:b/>
                <w:bCs/>
                <w:color w:val="1F3864"/>
                <w:sz w:val="24"/>
                <w:szCs w:val="24"/>
              </w:rPr>
              <w:t xml:space="preserve">THE ASK</w:t>
            </w:r>
          </w:p>
          <w:p>
            <w:pPr>
              <w:spacing w:after="0" w:before="0"/>
            </w:pPr>
            <w:r>
              <w:rPr>
                <w:rFonts w:ascii="Arial" w:cs="Arial" w:eastAsia="Arial" w:hAnsi="Arial"/>
                <w:color w:val="404040"/>
                <w:sz w:val="22"/>
                <w:szCs w:val="22"/>
              </w:rPr>
              <w:t xml:space="preserve">Approve restructuring of the CM organization's hiring standards to require a B.S. in Engineering, Engineering Technology, or equivalent qualification for technical CM roles. Maintain A.A.S. eligibility for support roles. Recognize non-traditional advanced degrees with domain proximity to defense systems as equivalent credentials.</w:t>
            </w:r>
          </w:p>
        </w:tc>
      </w:tr>
    </w:tbl>
    <w:p>
      <w:pPr>
        <w:spacing w:after="0" w:before="120"/>
      </w:pPr>
    </w:p>
    <w:p>
      <w:pPr>
        <w:spacing w:after="80" w:before="0"/>
      </w:pPr>
      <w:r>
        <w:rPr>
          <w:rFonts w:ascii="Arial" w:cs="Arial" w:eastAsia="Arial" w:hAnsi="Arial"/>
          <w:b/>
          <w:bCs/>
          <w:color w:val="1F3864"/>
          <w:sz w:val="24"/>
          <w:szCs w:val="24"/>
        </w:rPr>
        <w:t xml:space="preserve">WHY THIS MATTERS</w:t>
      </w:r>
    </w:p>
    <w:p>
      <w:pPr>
        <w:pStyle w:val="ListParagraph"/>
        <w:numPr>
          <w:ilvl w:val="0"/>
          <w:numId w:val="2"/>
        </w:numPr>
        <w:spacing w:after="40" w:before="40"/>
      </w:pPr>
      <w:r>
        <w:rPr>
          <w:rFonts w:ascii="Arial" w:cs="Arial" w:eastAsia="Arial" w:hAnsi="Arial"/>
          <w:color w:val="404040"/>
          <w:sz w:val="22"/>
          <w:szCs w:val="22"/>
        </w:rPr>
        <w:t xml:space="preserve">EIA-649-1 imposes contractual obligations on this company that cannot be met by the current A.A.S.-only CM workforce.</w:t>
      </w:r>
    </w:p>
    <w:p>
      <w:pPr>
        <w:pStyle w:val="ListParagraph"/>
        <w:numPr>
          <w:ilvl w:val="0"/>
          <w:numId w:val="2"/>
        </w:numPr>
        <w:spacing w:after="40" w:before="40"/>
      </w:pPr>
      <w:r>
        <w:rPr>
          <w:rFonts w:ascii="Arial" w:cs="Arial" w:eastAsia="Arial" w:hAnsi="Arial"/>
          <w:color w:val="404040"/>
          <w:sz w:val="22"/>
          <w:szCs w:val="22"/>
        </w:rPr>
        <w:t xml:space="preserve">Three of five CM functions contain explicit technical requirements (CI safety criticality assessment, ECP classification, FCA/PCA conduct) that require engineering knowledge.</w:t>
      </w:r>
    </w:p>
    <w:p>
      <w:pPr>
        <w:pStyle w:val="ListParagraph"/>
        <w:numPr>
          <w:ilvl w:val="0"/>
          <w:numId w:val="2"/>
        </w:numPr>
        <w:spacing w:after="40" w:before="40"/>
      </w:pPr>
      <w:r>
        <w:rPr>
          <w:rFonts w:ascii="Arial" w:cs="Arial" w:eastAsia="Arial" w:hAnsi="Arial"/>
          <w:color w:val="404040"/>
          <w:sz w:val="22"/>
          <w:szCs w:val="22"/>
        </w:rPr>
        <w:t xml:space="preserve">The absence of a CSA automation tool further amplifies the technical demand on personnel performing Configuration Status Accounting.</w:t>
      </w:r>
    </w:p>
    <w:p>
      <w:pPr>
        <w:pStyle w:val="ListParagraph"/>
        <w:numPr>
          <w:ilvl w:val="0"/>
          <w:numId w:val="2"/>
        </w:numPr>
        <w:spacing w:after="40" w:before="40"/>
      </w:pPr>
      <w:r>
        <w:rPr>
          <w:rFonts w:ascii="Arial" w:cs="Arial" w:eastAsia="Arial" w:hAnsi="Arial"/>
          <w:color w:val="404040"/>
          <w:sz w:val="22"/>
          <w:szCs w:val="22"/>
        </w:rPr>
        <w:t xml:space="preserve">Real aviation disasters — Partnair 394, Alaska 261, AA 191, B-2 Spirit of Kansas, 737 MAX — have been traced to CM and configuration verification failures, costing hundreds of lives and billions of dollars.</w:t>
      </w:r>
    </w:p>
    <w:p>
      <w:pPr>
        <w:pStyle w:val="ListParagraph"/>
        <w:numPr>
          <w:ilvl w:val="0"/>
          <w:numId w:val="2"/>
        </w:numPr>
        <w:spacing w:after="40" w:before="40"/>
      </w:pPr>
      <w:r>
        <w:rPr>
          <w:rFonts w:ascii="Arial" w:cs="Arial" w:eastAsia="Arial" w:hAnsi="Arial"/>
          <w:color w:val="404040"/>
          <w:sz w:val="22"/>
          <w:szCs w:val="22"/>
        </w:rPr>
        <w:t xml:space="preserve">Industry peers (Lockheed Martin, Northrop Grumman, Boeing) already require B.S. engineering for equivalent CM positions. The company is an outlier.</w:t>
      </w:r>
    </w:p>
    <w:p>
      <w:pPr>
        <w:spacing w:after="0" w:before="120"/>
      </w:pPr>
    </w:p>
    <w:p>
      <w:pPr>
        <w:spacing w:after="80" w:before="0"/>
      </w:pPr>
      <w:r>
        <w:rPr>
          <w:rFonts w:ascii="Arial" w:cs="Arial" w:eastAsia="Arial" w:hAnsi="Arial"/>
          <w:b/>
          <w:bCs/>
          <w:color w:val="1F3864"/>
          <w:sz w:val="24"/>
          <w:szCs w:val="24"/>
        </w:rPr>
        <w:t xml:space="preserve">WHAT WE ARE PROPOSING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vAlign w:val="top"/>
          </w:tcPr>
          <w:p>
            <w:pPr>
              <w:spacing w:after="40" w:before="40"/>
            </w:pPr>
            <w:r>
              <w:rPr>
                <w:rFonts w:ascii="Arial" w:cs="Arial" w:eastAsia="Arial" w:hAnsi="Arial"/>
                <w:b/>
                <w:bCs/>
                <w:color w:val="1F3864"/>
                <w:sz w:val="20"/>
                <w:szCs w:val="20"/>
              </w:rPr>
              <w:t xml:space="preserve">KEEP</w:t>
            </w:r>
          </w:p>
        </w:tc>
        <w:tc>
          <w:tcPr>
            <w:tcW w:type="dxa" w:w="666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20"/>
                <w:szCs w:val="20"/>
              </w:rPr>
              <w:t xml:space="preserve">Current A.A.S. workforce in newly-defined Tier 1 (CM Technician) roles with a clear career development pathway. Institutional memory and procedural discipline are preserved.</w:t>
            </w:r>
          </w:p>
        </w:tc>
      </w:tr>
      <w:tr>
        <w:tc>
          <w:tcPr>
            <w:tcW w:type="dxa" w:w="2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1F3864"/>
                <w:sz w:val="20"/>
                <w:szCs w:val="20"/>
              </w:rPr>
              <w:t xml:space="preserve">ADD</w:t>
            </w:r>
          </w:p>
        </w:tc>
        <w:tc>
          <w:tcPr>
            <w:tcW w:type="dxa" w:w="66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20"/>
                <w:szCs w:val="20"/>
              </w:rPr>
              <w:t xml:space="preserve">New Tier 3 CM Engineer roles requiring a B.S. in Engineering or equivalent, specifically for CI selection, ECP classification, and FCA/PCA leadership. New Tier 4 SME roles for senior advisors with advanced degrees including equivalency-qualified non-engineering doctorates.</w:t>
            </w:r>
          </w:p>
        </w:tc>
      </w:tr>
      <w:tr>
        <w:tc>
          <w:tcPr>
            <w:tcW w:type="dxa" w:w="270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vAlign w:val="top"/>
          </w:tcPr>
          <w:p>
            <w:pPr>
              <w:spacing w:after="40" w:before="40"/>
            </w:pPr>
            <w:r>
              <w:rPr>
                <w:rFonts w:ascii="Arial" w:cs="Arial" w:eastAsia="Arial" w:hAnsi="Arial"/>
                <w:b/>
                <w:bCs/>
                <w:color w:val="1F3864"/>
                <w:sz w:val="20"/>
                <w:szCs w:val="20"/>
              </w:rPr>
              <w:t xml:space="preserve">CHANGE</w:t>
            </w:r>
          </w:p>
        </w:tc>
        <w:tc>
          <w:tcPr>
            <w:tcW w:type="dxa" w:w="666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20"/>
                <w:szCs w:val="20"/>
              </w:rPr>
              <w:t xml:space="preserve">HR position descriptions to reflect the four-tier model. Hiring practices to recognize the Two-Gate Equivalency Test for non-traditional credentials. Performance assessment to align with EIA-649-1 functional responsibilities.</w:t>
            </w:r>
          </w:p>
        </w:tc>
      </w:tr>
      <w:tr>
        <w:tc>
          <w:tcPr>
            <w:tcW w:type="dxa" w:w="2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1F3864"/>
                <w:sz w:val="20"/>
                <w:szCs w:val="20"/>
              </w:rPr>
              <w:t xml:space="preserve">INVEST</w:t>
            </w:r>
          </w:p>
        </w:tc>
        <w:tc>
          <w:tcPr>
            <w:tcW w:type="dxa" w:w="66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20"/>
                <w:szCs w:val="20"/>
              </w:rPr>
              <w:t xml:space="preserve">In a CSA automation tool to reduce the technical workload created by manual Design-to-Procurement-to-Build reconciliation. Cost is materially less than the cost of a failed audit or compliance finding.</w:t>
            </w:r>
          </w:p>
        </w:tc>
      </w:tr>
    </w:tbl>
    <w:p>
      <w:pPr>
        <w:spacing w:after="0" w:before="120"/>
      </w:pPr>
    </w:p>
    <w:tbl>
      <w:tblPr>
        <w:tblW w:type="dxa" w:w="9360"/>
        <w:tblBorders>
          <w:top w:val="single" w:color="2E5F8A" w:sz="8"/>
          <w:left w:val="single" w:color="2E5F8A" w:sz="8"/>
          <w:bottom w:val="single" w:color="2E5F8A" w:sz="8"/>
          <w:right w:val="single" w:color="2E5F8A" w:sz="8"/>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BDD7EE" w:val="clear"/>
            <w:tcMar>
              <w:top w:type="dxa" w:w="100"/>
              <w:left w:type="dxa" w:w="200"/>
              <w:bottom w:type="dxa" w:w="100"/>
              <w:right w:type="dxa" w:w="200"/>
            </w:tcMar>
          </w:tcPr>
          <w:p>
            <w:pPr>
              <w:spacing w:after="40" w:before="40"/>
            </w:pPr>
            <w:r>
              <w:rPr>
                <w:rFonts w:ascii="Arial" w:cs="Arial" w:eastAsia="Arial" w:hAnsi="Arial"/>
                <w:b/>
                <w:bCs/>
                <w:color w:val="1F3864"/>
                <w:sz w:val="22"/>
                <w:szCs w:val="22"/>
              </w:rPr>
              <w:t xml:space="preserve">If We Do Not Act</w:t>
            </w:r>
          </w:p>
        </w:tc>
      </w:tr>
      <w:tr>
        <w:tc>
          <w:tcPr>
            <w:tcW w:type="dxa" w:w="9360"/>
            <w:tcBorders>
              <w:top w:val="none" w:color="FFFFFF" w:sz="0"/>
              <w:left w:val="none" w:color="FFFFFF" w:sz="0"/>
              <w:bottom w:val="none" w:color="FFFFFF" w:sz="0"/>
              <w:right w:val="none" w:color="FFFFFF" w:sz="0"/>
            </w:tcBorders>
            <w:shd w:fill="D5E8F0" w:val="clear"/>
            <w:tcMar>
              <w:top w:type="dxa" w:w="80"/>
              <w:left w:type="dxa" w:w="200"/>
              <w:bottom w:type="dxa" w:w="80"/>
              <w:right w:type="dxa" w:w="200"/>
            </w:tcMar>
          </w:tcPr>
          <w:p>
            <w:pPr>
              <w:spacing w:after="40" w:before="40"/>
            </w:pPr>
            <w:r>
              <w:rPr>
                <w:rFonts w:ascii="Arial" w:cs="Arial" w:eastAsia="Arial" w:hAnsi="Arial"/>
                <w:color w:val="404040"/>
                <w:sz w:val="20"/>
                <w:szCs w:val="20"/>
              </w:rPr>
              <w:t xml:space="preserve">• Continued structural non-compliance risk against EIA-649-1 contractual obligations.</w:t>
            </w:r>
          </w:p>
        </w:tc>
      </w:tr>
      <w:tr>
        <w:tc>
          <w:tcPr>
            <w:tcW w:type="dxa" w:w="9360"/>
            <w:tcBorders>
              <w:top w:val="none" w:color="FFFFFF" w:sz="0"/>
              <w:left w:val="none" w:color="FFFFFF" w:sz="0"/>
              <w:bottom w:val="none" w:color="FFFFFF" w:sz="0"/>
              <w:right w:val="none" w:color="FFFFFF" w:sz="0"/>
            </w:tcBorders>
            <w:shd w:fill="D5E8F0" w:val="clear"/>
            <w:tcMar>
              <w:top w:type="dxa" w:w="80"/>
              <w:left w:type="dxa" w:w="200"/>
              <w:bottom w:type="dxa" w:w="80"/>
              <w:right w:type="dxa" w:w="200"/>
            </w:tcMar>
          </w:tcPr>
          <w:p>
            <w:pPr>
              <w:spacing w:after="40" w:before="40"/>
            </w:pPr>
            <w:r>
              <w:rPr>
                <w:rFonts w:ascii="Arial" w:cs="Arial" w:eastAsia="Arial" w:hAnsi="Arial"/>
                <w:color w:val="404040"/>
                <w:sz w:val="20"/>
                <w:szCs w:val="20"/>
              </w:rPr>
              <w:t xml:space="preserve">• Elevated probability of failed FCA, PCA, or DCMA audit findings.</w:t>
            </w:r>
          </w:p>
        </w:tc>
      </w:tr>
      <w:tr>
        <w:tc>
          <w:tcPr>
            <w:tcW w:type="dxa" w:w="9360"/>
            <w:tcBorders>
              <w:top w:val="none" w:color="FFFFFF" w:sz="0"/>
              <w:left w:val="none" w:color="FFFFFF" w:sz="0"/>
              <w:bottom w:val="none" w:color="FFFFFF" w:sz="0"/>
              <w:right w:val="none" w:color="FFFFFF" w:sz="0"/>
            </w:tcBorders>
            <w:shd w:fill="D5E8F0" w:val="clear"/>
            <w:tcMar>
              <w:top w:type="dxa" w:w="80"/>
              <w:left w:type="dxa" w:w="200"/>
              <w:bottom w:type="dxa" w:w="80"/>
              <w:right w:type="dxa" w:w="200"/>
            </w:tcMar>
          </w:tcPr>
          <w:p>
            <w:pPr>
              <w:spacing w:after="40" w:before="40"/>
            </w:pPr>
            <w:r>
              <w:rPr>
                <w:rFonts w:ascii="Arial" w:cs="Arial" w:eastAsia="Arial" w:hAnsi="Arial"/>
                <w:color w:val="404040"/>
                <w:sz w:val="20"/>
                <w:szCs w:val="20"/>
              </w:rPr>
              <w:t xml:space="preserve">• Erosion of competitive position against peers who already meet the standard.</w:t>
            </w:r>
          </w:p>
        </w:tc>
      </w:tr>
      <w:tr>
        <w:tc>
          <w:tcPr>
            <w:tcW w:type="dxa" w:w="9360"/>
            <w:tcBorders>
              <w:top w:val="none" w:color="FFFFFF" w:sz="0"/>
              <w:left w:val="none" w:color="FFFFFF" w:sz="0"/>
              <w:bottom w:val="none" w:color="FFFFFF" w:sz="0"/>
              <w:right w:val="none" w:color="FFFFFF" w:sz="0"/>
            </w:tcBorders>
            <w:shd w:fill="D5E8F0" w:val="clear"/>
            <w:tcMar>
              <w:top w:type="dxa" w:w="80"/>
              <w:left w:type="dxa" w:w="200"/>
              <w:bottom w:type="dxa" w:w="80"/>
              <w:right w:type="dxa" w:w="200"/>
            </w:tcMar>
          </w:tcPr>
          <w:p>
            <w:pPr>
              <w:spacing w:after="40" w:before="40"/>
            </w:pPr>
            <w:r>
              <w:rPr>
                <w:rFonts w:ascii="Arial" w:cs="Arial" w:eastAsia="Arial" w:hAnsi="Arial"/>
                <w:color w:val="404040"/>
                <w:sz w:val="20"/>
                <w:szCs w:val="20"/>
              </w:rPr>
              <w:t xml:space="preserve">• Risk of safety, schedule, and cost consequences from CM failures of the type documented in the case studies of this report.</w:t>
            </w:r>
          </w:p>
        </w:tc>
      </w:tr>
      <w:tr>
        <w:tc>
          <w:tcPr>
            <w:tcW w:type="dxa" w:w="9360"/>
            <w:tcBorders>
              <w:top w:val="none" w:color="FFFFFF" w:sz="0"/>
              <w:left w:val="none" w:color="FFFFFF" w:sz="0"/>
              <w:bottom w:val="none" w:color="FFFFFF" w:sz="0"/>
              <w:right w:val="none" w:color="FFFFFF" w:sz="0"/>
            </w:tcBorders>
            <w:shd w:fill="D5E8F0" w:val="clear"/>
            <w:tcMar>
              <w:top w:type="dxa" w:w="80"/>
              <w:left w:type="dxa" w:w="200"/>
              <w:bottom w:type="dxa" w:w="80"/>
              <w:right w:type="dxa" w:w="200"/>
            </w:tcMar>
          </w:tcPr>
          <w:p>
            <w:pPr>
              <w:spacing w:after="40" w:before="40"/>
            </w:pPr>
            <w:r>
              <w:rPr>
                <w:rFonts w:ascii="Arial" w:cs="Arial" w:eastAsia="Arial" w:hAnsi="Arial"/>
                <w:color w:val="404040"/>
                <w:sz w:val="20"/>
                <w:szCs w:val="20"/>
              </w:rPr>
              <w:t xml:space="preserve">• An undocumented dependency on individual SMEs whose contributions are not formally recognized in HR systems.</w:t>
            </w:r>
          </w:p>
        </w:tc>
      </w:tr>
    </w:tbl>
    <w:p>
      <w:r>
        <w:br w:type="page"/>
      </w:r>
    </w:p>
    <w:p>
      <w:pPr>
        <w:pStyle w:val="Heading1"/>
        <w:shd w:fill="1F3864" w:val="clear"/>
        <w:spacing w:after="120" w:before="240"/>
        <w:ind w:left="120"/>
      </w:pPr>
      <w:r>
        <w:rPr>
          <w:rFonts w:ascii="Arial" w:cs="Arial" w:eastAsia="Arial" w:hAnsi="Arial"/>
          <w:b/>
          <w:bCs/>
          <w:color w:val="FFFFFF"/>
          <w:sz w:val="36"/>
          <w:szCs w:val="36"/>
        </w:rPr>
        <w:t xml:space="preserve">EXECUTIVE SUMMARY</w:t>
      </w:r>
    </w:p>
    <w:p>
      <w:pPr>
        <w:spacing w:after="0" w:before="80"/>
      </w:pPr>
    </w:p>
    <w:p>
      <w:pPr>
        <w:spacing w:after="100" w:before="80"/>
        <w:jc w:val="left"/>
      </w:pPr>
      <w:r>
        <w:rPr>
          <w:rFonts w:ascii="Arial" w:cs="Arial" w:eastAsia="Arial" w:hAnsi="Arial"/>
          <w:i w:val="false"/>
          <w:iCs w:val="false"/>
          <w:color w:val="404040"/>
          <w:sz w:val="22"/>
          <w:szCs w:val="22"/>
        </w:rPr>
        <w:t xml:space="preserve">EIA-649-1, Configuration Management Requirements for Defense Contracts, imposes technically complex obligations across five CM functions. This analysis evaluates the education, technical skills, and soft skills required to fulfill each function when all requirements are allocated to the CM organization — as is the case at this company.</w:t>
      </w:r>
    </w:p>
    <w:p>
      <w:pPr>
        <w:spacing w:after="100" w:before="80"/>
        <w:jc w:val="left"/>
      </w:pPr>
      <w:r>
        <w:rPr>
          <w:rFonts w:ascii="Arial" w:cs="Arial" w:eastAsia="Arial" w:hAnsi="Arial"/>
          <w:i w:val="false"/>
          <w:iCs w:val="false"/>
          <w:color w:val="404040"/>
          <w:sz w:val="22"/>
          <w:szCs w:val="22"/>
        </w:rPr>
        <w:t xml:space="preserve">The central finding is this: three of the five CM functions — Configuration Identification, Configuration Verification and Audits, and Configuration Change Management — contain specific, non-delegable requirements that cannot be competently executed without a bachelor's degree in engineering or engineering technology. A fourth function, Configuration Status Accounting, is sufficiently complex in the absence of a CSA automation tool that a technical bachelor's degree is strongly recommended.</w:t>
      </w:r>
    </w:p>
    <w:p>
      <w:pPr>
        <w:spacing w:after="100" w:before="80"/>
        <w:jc w:val="left"/>
      </w:pPr>
      <w:r>
        <w:rPr>
          <w:rFonts w:ascii="Arial" w:cs="Arial" w:eastAsia="Arial" w:hAnsi="Arial"/>
          <w:i w:val="false"/>
          <w:iCs w:val="false"/>
          <w:color w:val="404040"/>
          <w:sz w:val="22"/>
          <w:szCs w:val="22"/>
        </w:rPr>
        <w:t xml:space="preserve">The current practice of hiring only associate's degree personnel creates a structural competency gap that places the company at risk of non-compliance with its defense contracts, potential audit failures, and downstream costs associated with incorrect CI selection, improper change classification, and inaccurate as-built records.</w:t>
      </w:r>
    </w:p>
    <w:p>
      <w:pPr>
        <w:spacing w:after="100" w:before="80"/>
        <w:jc w:val="left"/>
      </w:pPr>
      <w:r>
        <w:rPr>
          <w:rFonts w:ascii="Arial" w:cs="Arial" w:eastAsia="Arial" w:hAnsi="Arial"/>
          <w:i w:val="false"/>
          <w:iCs w:val="false"/>
          <w:color w:val="404040"/>
          <w:sz w:val="22"/>
          <w:szCs w:val="22"/>
        </w:rPr>
        <w:t xml:space="preserve">Equally important: this document establishes that the path to qualified CM personnel is not limited to engineering degrees. The A.A.S. workforce occupies a clearly defined and valued tier with specific strengths and a career development pathway. Furthermore, non-traditional advanced degrees — including doctoral credentials in the history of technology, nuclear manufacturing, logistics, and related fields — can qualify for senior CM roles when their subject matter is sufficiently proximate to defense systems and manufacturing. The Workforce Qualification Framework section that follows addresses both of these pathways in detail.</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2160"/>
        <w:gridCol w:w="2520"/>
        <w:gridCol w:w="4140"/>
      </w:tblGrid>
      <w:tr>
        <w:trPr>
          <w:tblHeader/>
        </w:trPr>
        <w:tc>
          <w:tcPr>
            <w:tcW w:type="dxa" w:w="540"/>
            <w:tcBorders>
              <w:top w:val="single" w:color="AAAAAA" w:sz="4"/>
              <w:left w:val="single" w:color="AAAAAA" w:sz="4"/>
              <w:bottom w:val="single" w:color="AAAAAA" w:sz="4"/>
              <w:right w:val="single" w:color="AAAAAA" w:sz="4"/>
            </w:tcBorders>
            <w:shd w:fill="1F3864" w:val="clear"/>
            <w:tcMar>
              <w:top w:type="dxa" w:w="100"/>
              <w:left w:type="dxa" w:w="120"/>
              <w:bottom w:type="dxa" w:w="100"/>
              <w:right w:type="dxa" w:w="120"/>
            </w:tcMar>
            <w:vAlign w:val="center"/>
          </w:tcPr>
          <w:p>
            <w:pPr>
              <w:spacing w:after="40" w:before="40"/>
              <w:jc w:val="center"/>
            </w:pPr>
            <w:r>
              <w:rPr>
                <w:rFonts w:ascii="Arial" w:cs="Arial" w:eastAsia="Arial" w:hAnsi="Arial"/>
                <w:b/>
                <w:bCs/>
                <w:color w:val="FFFFFF"/>
                <w:sz w:val="20"/>
                <w:szCs w:val="20"/>
              </w:rPr>
              <w:t xml:space="preserve">Fn.</w:t>
            </w:r>
          </w:p>
        </w:tc>
        <w:tc>
          <w:tcPr>
            <w:tcW w:type="dxa" w:w="2160"/>
            <w:tcBorders>
              <w:top w:val="single" w:color="AAAAAA" w:sz="4"/>
              <w:left w:val="single" w:color="AAAAAA" w:sz="4"/>
              <w:bottom w:val="single" w:color="AAAAAA" w:sz="4"/>
              <w:right w:val="single" w:color="AAAAAA" w:sz="4"/>
            </w:tcBorders>
            <w:shd w:fill="1F3864" w:val="clear"/>
            <w:tcMar>
              <w:top w:type="dxa" w:w="100"/>
              <w:left w:type="dxa" w:w="120"/>
              <w:bottom w:type="dxa" w:w="100"/>
              <w:right w:type="dxa" w:w="120"/>
            </w:tcMar>
            <w:vAlign w:val="center"/>
          </w:tcPr>
          <w:p>
            <w:pPr>
              <w:spacing w:after="40" w:before="40"/>
              <w:jc w:val="center"/>
            </w:pPr>
            <w:r>
              <w:rPr>
                <w:rFonts w:ascii="Arial" w:cs="Arial" w:eastAsia="Arial" w:hAnsi="Arial"/>
                <w:b/>
                <w:bCs/>
                <w:color w:val="FFFFFF"/>
                <w:sz w:val="20"/>
                <w:szCs w:val="20"/>
              </w:rPr>
              <w:t xml:space="preserve">CM Function</w:t>
            </w:r>
          </w:p>
        </w:tc>
        <w:tc>
          <w:tcPr>
            <w:tcW w:type="dxa" w:w="2520"/>
            <w:tcBorders>
              <w:top w:val="single" w:color="AAAAAA" w:sz="4"/>
              <w:left w:val="single" w:color="AAAAAA" w:sz="4"/>
              <w:bottom w:val="single" w:color="AAAAAA" w:sz="4"/>
              <w:right w:val="single" w:color="AAAAAA" w:sz="4"/>
            </w:tcBorders>
            <w:shd w:fill="1F3864" w:val="clear"/>
            <w:tcMar>
              <w:top w:type="dxa" w:w="100"/>
              <w:left w:type="dxa" w:w="120"/>
              <w:bottom w:type="dxa" w:w="100"/>
              <w:right w:type="dxa" w:w="120"/>
            </w:tcMar>
            <w:vAlign w:val="center"/>
          </w:tcPr>
          <w:p>
            <w:pPr>
              <w:spacing w:after="40" w:before="40"/>
              <w:jc w:val="center"/>
            </w:pPr>
            <w:r>
              <w:rPr>
                <w:rFonts w:ascii="Arial" w:cs="Arial" w:eastAsia="Arial" w:hAnsi="Arial"/>
                <w:b/>
                <w:bCs/>
                <w:color w:val="FFFFFF"/>
                <w:sz w:val="20"/>
                <w:szCs w:val="20"/>
              </w:rPr>
              <w:t xml:space="preserve">Minimum Degree</w:t>
            </w:r>
          </w:p>
        </w:tc>
        <w:tc>
          <w:tcPr>
            <w:tcW w:type="dxa" w:w="4140"/>
            <w:tcBorders>
              <w:top w:val="single" w:color="AAAAAA" w:sz="4"/>
              <w:left w:val="single" w:color="AAAAAA" w:sz="4"/>
              <w:bottom w:val="single" w:color="AAAAAA" w:sz="4"/>
              <w:right w:val="single" w:color="AAAAAA" w:sz="4"/>
            </w:tcBorders>
            <w:shd w:fill="1F3864" w:val="clear"/>
            <w:tcMar>
              <w:top w:type="dxa" w:w="100"/>
              <w:left w:type="dxa" w:w="120"/>
              <w:bottom w:type="dxa" w:w="100"/>
              <w:right w:type="dxa" w:w="120"/>
            </w:tcMar>
            <w:vAlign w:val="center"/>
          </w:tcPr>
          <w:p>
            <w:pPr>
              <w:spacing w:after="40" w:before="40"/>
              <w:jc w:val="center"/>
            </w:pPr>
            <w:r>
              <w:rPr>
                <w:rFonts w:ascii="Arial" w:cs="Arial" w:eastAsia="Arial" w:hAnsi="Arial"/>
                <w:b/>
                <w:bCs/>
                <w:color w:val="FFFFFF"/>
                <w:sz w:val="20"/>
                <w:szCs w:val="20"/>
              </w:rPr>
              <w:t xml:space="preserve">Key 649-1 Drivers</w:t>
            </w:r>
          </w:p>
        </w:tc>
      </w:tr>
      <w:tr>
        <w:tc>
          <w:tcPr>
            <w:tcW w:type="dxa" w:w="5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1F3864"/>
                <w:sz w:val="18"/>
                <w:szCs w:val="18"/>
              </w:rPr>
              <w:t xml:space="preserve">3.1</w:t>
            </w:r>
          </w:p>
        </w:tc>
        <w:tc>
          <w:tcPr>
            <w:tcW w:type="dxa" w:w="2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404040"/>
                <w:sz w:val="18"/>
                <w:szCs w:val="18"/>
              </w:rPr>
              <w:t xml:space="preserve">Configuration Planning &amp; Management</w:t>
            </w:r>
          </w:p>
        </w:tc>
        <w:tc>
          <w:tcPr>
            <w:tcW w:type="dxa" w:w="25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8"/>
                <w:szCs w:val="18"/>
              </w:rPr>
              <w:t xml:space="preserve">B.S. Engineering Technology (Lead)
A.A.S. acceptable for support roles</w:t>
            </w:r>
          </w:p>
        </w:tc>
        <w:tc>
          <w:tcPr>
            <w:tcW w:type="dxa" w:w="41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595959"/>
                <w:sz w:val="18"/>
                <w:szCs w:val="18"/>
              </w:rPr>
              <w:t xml:space="preserve">§3.1.3 Technical Reviews; §3.1(1)b Life cycle planning judgment; §3.1.4 Data management</w:t>
            </w:r>
          </w:p>
        </w:tc>
      </w:tr>
      <w:tr>
        <w:tc>
          <w:tcPr>
            <w:tcW w:type="dxa" w:w="54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vAlign w:val="top"/>
          </w:tcPr>
          <w:p>
            <w:pPr>
              <w:spacing w:after="40" w:before="40"/>
            </w:pPr>
            <w:r>
              <w:rPr>
                <w:rFonts w:ascii="Arial" w:cs="Arial" w:eastAsia="Arial" w:hAnsi="Arial"/>
                <w:b/>
                <w:bCs/>
                <w:color w:val="1F3864"/>
                <w:sz w:val="18"/>
                <w:szCs w:val="18"/>
              </w:rPr>
              <w:t xml:space="preserve">3.2</w:t>
            </w:r>
          </w:p>
        </w:tc>
        <w:tc>
          <w:tcPr>
            <w:tcW w:type="dxa" w:w="216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vAlign w:val="top"/>
          </w:tcPr>
          <w:p>
            <w:pPr>
              <w:spacing w:after="40" w:before="40"/>
            </w:pPr>
            <w:r>
              <w:rPr>
                <w:rFonts w:ascii="Arial" w:cs="Arial" w:eastAsia="Arial" w:hAnsi="Arial"/>
                <w:b/>
                <w:bCs/>
                <w:color w:val="404040"/>
                <w:sz w:val="18"/>
                <w:szCs w:val="18"/>
              </w:rPr>
              <w:t xml:space="preserve">Configuration Identification</w:t>
            </w:r>
          </w:p>
        </w:tc>
        <w:tc>
          <w:tcPr>
            <w:tcW w:type="dxa" w:w="252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8"/>
                <w:szCs w:val="18"/>
              </w:rPr>
              <w:t xml:space="preserve">B.S. Engineering or Engineering Technology REQUIRED</w:t>
            </w:r>
          </w:p>
        </w:tc>
        <w:tc>
          <w:tcPr>
            <w:tcW w:type="dxa" w:w="414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vAlign w:val="top"/>
          </w:tcPr>
          <w:p>
            <w:pPr>
              <w:spacing w:after="40" w:before="40"/>
            </w:pPr>
            <w:r>
              <w:rPr>
                <w:rFonts w:ascii="Arial" w:cs="Arial" w:eastAsia="Arial" w:hAnsi="Arial"/>
                <w:b w:val="false"/>
                <w:bCs w:val="false"/>
                <w:color w:val="595959"/>
                <w:sz w:val="18"/>
                <w:szCs w:val="18"/>
              </w:rPr>
              <w:t xml:space="preserve">§3.2.1(2)a-c Safety/criticality assessment; §3.2.2.2 Baseline documentation; §3.2.5 Interface management</w:t>
            </w:r>
          </w:p>
        </w:tc>
      </w:tr>
      <w:tr>
        <w:tc>
          <w:tcPr>
            <w:tcW w:type="dxa" w:w="5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1F3864"/>
                <w:sz w:val="18"/>
                <w:szCs w:val="18"/>
              </w:rPr>
              <w:t xml:space="preserve">3.3</w:t>
            </w:r>
          </w:p>
        </w:tc>
        <w:tc>
          <w:tcPr>
            <w:tcW w:type="dxa" w:w="2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404040"/>
                <w:sz w:val="18"/>
                <w:szCs w:val="18"/>
              </w:rPr>
              <w:t xml:space="preserve">Configuration Change Management</w:t>
            </w:r>
          </w:p>
        </w:tc>
        <w:tc>
          <w:tcPr>
            <w:tcW w:type="dxa" w:w="25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8"/>
                <w:szCs w:val="18"/>
              </w:rPr>
              <w:t xml:space="preserve">B.S. Engineering or Engineering Technology REQUIRED for ECP leads; A.A.S. for support processing</w:t>
            </w:r>
          </w:p>
        </w:tc>
        <w:tc>
          <w:tcPr>
            <w:tcW w:type="dxa" w:w="41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595959"/>
                <w:sz w:val="18"/>
                <w:szCs w:val="18"/>
              </w:rPr>
              <w:t xml:space="preserve">§3.3.1.1(1)b Review product models; §3.3.1.2 Class I/II classification; §3.3.1.4 Interchangeability/test data</w:t>
            </w:r>
          </w:p>
        </w:tc>
      </w:tr>
      <w:tr>
        <w:tc>
          <w:tcPr>
            <w:tcW w:type="dxa" w:w="54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vAlign w:val="top"/>
          </w:tcPr>
          <w:p>
            <w:pPr>
              <w:spacing w:after="40" w:before="40"/>
            </w:pPr>
            <w:r>
              <w:rPr>
                <w:rFonts w:ascii="Arial" w:cs="Arial" w:eastAsia="Arial" w:hAnsi="Arial"/>
                <w:b/>
                <w:bCs/>
                <w:color w:val="1F3864"/>
                <w:sz w:val="18"/>
                <w:szCs w:val="18"/>
              </w:rPr>
              <w:t xml:space="preserve">3.4</w:t>
            </w:r>
          </w:p>
        </w:tc>
        <w:tc>
          <w:tcPr>
            <w:tcW w:type="dxa" w:w="216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vAlign w:val="top"/>
          </w:tcPr>
          <w:p>
            <w:pPr>
              <w:spacing w:after="40" w:before="40"/>
            </w:pPr>
            <w:r>
              <w:rPr>
                <w:rFonts w:ascii="Arial" w:cs="Arial" w:eastAsia="Arial" w:hAnsi="Arial"/>
                <w:b/>
                <w:bCs/>
                <w:color w:val="404040"/>
                <w:sz w:val="18"/>
                <w:szCs w:val="18"/>
              </w:rPr>
              <w:t xml:space="preserve">Configuration Status Accounting</w:t>
            </w:r>
          </w:p>
        </w:tc>
        <w:tc>
          <w:tcPr>
            <w:tcW w:type="dxa" w:w="252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8"/>
                <w:szCs w:val="18"/>
              </w:rPr>
              <w:t xml:space="preserve">B.S. Engineering Technology STRONGLY RECOMMENDED (no CSA tool); A.A.S. minimum with tool present</w:t>
            </w:r>
          </w:p>
        </w:tc>
        <w:tc>
          <w:tcPr>
            <w:tcW w:type="dxa" w:w="414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vAlign w:val="top"/>
          </w:tcPr>
          <w:p>
            <w:pPr>
              <w:spacing w:after="40" w:before="40"/>
            </w:pPr>
            <w:r>
              <w:rPr>
                <w:rFonts w:ascii="Arial" w:cs="Arial" w:eastAsia="Arial" w:hAnsi="Arial"/>
                <w:b w:val="false"/>
                <w:bCs w:val="false"/>
                <w:color w:val="595959"/>
                <w:sz w:val="18"/>
                <w:szCs w:val="18"/>
              </w:rPr>
              <w:t xml:space="preserve">§3.4.1(3)a-d,j Manual CI/BOM traceability; §3.4.1(1) Design-to-build reconciliation without automation</w:t>
            </w:r>
          </w:p>
        </w:tc>
      </w:tr>
      <w:tr>
        <w:tc>
          <w:tcPr>
            <w:tcW w:type="dxa" w:w="5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1F3864"/>
                <w:sz w:val="18"/>
                <w:szCs w:val="18"/>
              </w:rPr>
              <w:t xml:space="preserve">3.5</w:t>
            </w:r>
          </w:p>
        </w:tc>
        <w:tc>
          <w:tcPr>
            <w:tcW w:type="dxa" w:w="2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404040"/>
                <w:sz w:val="18"/>
                <w:szCs w:val="18"/>
              </w:rPr>
              <w:t xml:space="preserve">Configuration Verification &amp; Audit</w:t>
            </w:r>
          </w:p>
        </w:tc>
        <w:tc>
          <w:tcPr>
            <w:tcW w:type="dxa" w:w="25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8"/>
                <w:szCs w:val="18"/>
              </w:rPr>
              <w:t xml:space="preserve">B.S. Engineering or Engineering Technology REQUIRED</w:t>
            </w:r>
          </w:p>
        </w:tc>
        <w:tc>
          <w:tcPr>
            <w:tcW w:type="dxa" w:w="41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595959"/>
                <w:sz w:val="18"/>
                <w:szCs w:val="18"/>
              </w:rPr>
              <w:t xml:space="preserve">§3.5.2(1) Performance req. verification; §3.5.2.1(1)c RTM/test data; §3.5.3 PCA drawing/CAD review</w:t>
            </w:r>
          </w:p>
        </w:tc>
      </w:tr>
    </w:tbl>
    <w:p>
      <w:pPr>
        <w:spacing w:after="0" w:before="120"/>
      </w:pPr>
    </w:p>
    <w:p>
      <w:pPr>
        <w:spacing w:after="100" w:before="80"/>
        <w:jc w:val="left"/>
      </w:pPr>
      <w:r>
        <w:rPr>
          <w:rFonts w:ascii="Arial" w:cs="Arial" w:eastAsia="Arial" w:hAnsi="Arial"/>
          <w:i w:val="false"/>
          <w:iCs w:val="false"/>
          <w:color w:val="404040"/>
          <w:sz w:val="22"/>
          <w:szCs w:val="22"/>
        </w:rPr>
        <w:t xml:space="preserve">The sections that follow provide function-by-function detail, including specific paragraph-level traceability to EIA-649-1, for use in HR position descriptions, staffing conversations, and executive workforce decisions.</w:t>
      </w:r>
    </w:p>
    <w:p>
      <w:r>
        <w:br w:type="page"/>
      </w:r>
    </w:p>
    <w:p>
      <w:pPr>
        <w:pStyle w:val="Heading1"/>
        <w:shd w:fill="1F3864" w:val="clear"/>
        <w:spacing w:after="120" w:before="240"/>
        <w:ind w:left="120"/>
      </w:pPr>
      <w:r>
        <w:rPr>
          <w:rFonts w:ascii="Arial" w:cs="Arial" w:eastAsia="Arial" w:hAnsi="Arial"/>
          <w:b/>
          <w:bCs/>
          <w:color w:val="FFFFFF"/>
          <w:sz w:val="36"/>
          <w:szCs w:val="36"/>
        </w:rPr>
        <w:t xml:space="preserve">WORKFORCE QUALIFICATION FRAMEWORK</w:t>
      </w:r>
    </w:p>
    <w:p>
      <w:pPr>
        <w:spacing w:after="0" w:before="80"/>
      </w:pPr>
    </w:p>
    <w:p>
      <w:pPr>
        <w:spacing w:after="100" w:before="80"/>
        <w:jc w:val="left"/>
      </w:pPr>
      <w:r>
        <w:rPr>
          <w:rFonts w:ascii="Arial" w:cs="Arial" w:eastAsia="Arial" w:hAnsi="Arial"/>
          <w:i w:val="false"/>
          <w:iCs w:val="false"/>
          <w:color w:val="404040"/>
          <w:sz w:val="22"/>
          <w:szCs w:val="22"/>
        </w:rPr>
        <w:t xml:space="preserve">A credential-only hiring model is wrong in both directions. It would disqualify a 20-year A.A.S.-holding CM veteran with deep institutional knowledge while automatically credentialing a B.S. engineering graduate who has never read a specification. This document uses credentials as a proxy for competency — but competency is the actual requirement. This section establishes the full qualification framework, including three pathways to CM roles: the traditional engineering degree path, the A.A.S. support tier, and the equivalent qualification pathway for non-traditional advanced degrees with demonstrated domain relevance.</w:t>
      </w:r>
    </w:p>
    <w:p>
      <w:pPr>
        <w:spacing w:after="0" w:before="80"/>
      </w:pPr>
    </w:p>
    <w:p>
      <w:pPr>
        <w:pStyle w:val="Heading2"/>
        <w:shd w:fill="2E5F8A" w:val="clear"/>
        <w:spacing w:after="80" w:before="200"/>
        <w:ind w:left="120"/>
      </w:pPr>
      <w:r>
        <w:rPr>
          <w:rFonts w:ascii="Arial" w:cs="Arial" w:eastAsia="Arial" w:hAnsi="Arial"/>
          <w:b/>
          <w:bCs/>
          <w:color w:val="FFFFFF"/>
          <w:sz w:val="28"/>
          <w:szCs w:val="28"/>
        </w:rPr>
        <w:t xml:space="preserve">The Four-Tier CM Workforce Model</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480"/>
        <w:gridCol w:w="3080"/>
      </w:tblGrid>
      <w:tr>
        <w:trPr>
          <w:tblHeader/>
        </w:trPr>
        <w:tc>
          <w:tcPr>
            <w:tcW w:type="dxa" w:w="1800"/>
            <w:tcBorders>
              <w:top w:val="single" w:color="AAAAAA" w:sz="4"/>
              <w:left w:val="single" w:color="AAAAAA" w:sz="4"/>
              <w:bottom w:val="single" w:color="AAAAAA" w:sz="4"/>
              <w:right w:val="single" w:color="AAAAAA" w:sz="4"/>
            </w:tcBorders>
            <w:shd w:fill="1F3864" w:val="clear"/>
            <w:tcMar>
              <w:top w:type="dxa" w:w="100"/>
              <w:left w:type="dxa" w:w="120"/>
              <w:bottom w:type="dxa" w:w="100"/>
              <w:right w:type="dxa" w:w="120"/>
            </w:tcMar>
            <w:vAlign w:val="center"/>
          </w:tcPr>
          <w:p>
            <w:pPr>
              <w:spacing w:after="40" w:before="40"/>
              <w:jc w:val="center"/>
            </w:pPr>
            <w:r>
              <w:rPr>
                <w:rFonts w:ascii="Arial" w:cs="Arial" w:eastAsia="Arial" w:hAnsi="Arial"/>
                <w:b/>
                <w:bCs/>
                <w:color w:val="FFFFFF"/>
                <w:sz w:val="20"/>
                <w:szCs w:val="20"/>
              </w:rPr>
              <w:t xml:space="preserve">Tier</w:t>
            </w:r>
          </w:p>
        </w:tc>
        <w:tc>
          <w:tcPr>
            <w:tcW w:type="dxa" w:w="2000"/>
            <w:tcBorders>
              <w:top w:val="single" w:color="AAAAAA" w:sz="4"/>
              <w:left w:val="single" w:color="AAAAAA" w:sz="4"/>
              <w:bottom w:val="single" w:color="AAAAAA" w:sz="4"/>
              <w:right w:val="single" w:color="AAAAAA" w:sz="4"/>
            </w:tcBorders>
            <w:shd w:fill="1F3864" w:val="clear"/>
            <w:tcMar>
              <w:top w:type="dxa" w:w="100"/>
              <w:left w:type="dxa" w:w="120"/>
              <w:bottom w:type="dxa" w:w="100"/>
              <w:right w:type="dxa" w:w="120"/>
            </w:tcMar>
            <w:vAlign w:val="center"/>
          </w:tcPr>
          <w:p>
            <w:pPr>
              <w:spacing w:after="40" w:before="40"/>
              <w:jc w:val="center"/>
            </w:pPr>
            <w:r>
              <w:rPr>
                <w:rFonts w:ascii="Arial" w:cs="Arial" w:eastAsia="Arial" w:hAnsi="Arial"/>
                <w:b/>
                <w:bCs/>
                <w:color w:val="FFFFFF"/>
                <w:sz w:val="20"/>
                <w:szCs w:val="20"/>
              </w:rPr>
              <w:t xml:space="preserve">Title</w:t>
            </w:r>
          </w:p>
        </w:tc>
        <w:tc>
          <w:tcPr>
            <w:tcW w:type="dxa" w:w="2480"/>
            <w:tcBorders>
              <w:top w:val="single" w:color="AAAAAA" w:sz="4"/>
              <w:left w:val="single" w:color="AAAAAA" w:sz="4"/>
              <w:bottom w:val="single" w:color="AAAAAA" w:sz="4"/>
              <w:right w:val="single" w:color="AAAAAA" w:sz="4"/>
            </w:tcBorders>
            <w:shd w:fill="1F3864" w:val="clear"/>
            <w:tcMar>
              <w:top w:type="dxa" w:w="100"/>
              <w:left w:type="dxa" w:w="120"/>
              <w:bottom w:type="dxa" w:w="100"/>
              <w:right w:type="dxa" w:w="120"/>
            </w:tcMar>
            <w:vAlign w:val="center"/>
          </w:tcPr>
          <w:p>
            <w:pPr>
              <w:spacing w:after="40" w:before="40"/>
              <w:jc w:val="center"/>
            </w:pPr>
            <w:r>
              <w:rPr>
                <w:rFonts w:ascii="Arial" w:cs="Arial" w:eastAsia="Arial" w:hAnsi="Arial"/>
                <w:b/>
                <w:bCs/>
                <w:color w:val="FFFFFF"/>
                <w:sz w:val="20"/>
                <w:szCs w:val="20"/>
              </w:rPr>
              <w:t xml:space="preserve">Credential Requirement</w:t>
            </w:r>
          </w:p>
        </w:tc>
        <w:tc>
          <w:tcPr>
            <w:tcW w:type="dxa" w:w="3080"/>
            <w:tcBorders>
              <w:top w:val="single" w:color="AAAAAA" w:sz="4"/>
              <w:left w:val="single" w:color="AAAAAA" w:sz="4"/>
              <w:bottom w:val="single" w:color="AAAAAA" w:sz="4"/>
              <w:right w:val="single" w:color="AAAAAA" w:sz="4"/>
            </w:tcBorders>
            <w:shd w:fill="1F3864" w:val="clear"/>
            <w:tcMar>
              <w:top w:type="dxa" w:w="100"/>
              <w:left w:type="dxa" w:w="120"/>
              <w:bottom w:type="dxa" w:w="100"/>
              <w:right w:type="dxa" w:w="120"/>
            </w:tcMar>
            <w:vAlign w:val="center"/>
          </w:tcPr>
          <w:p>
            <w:pPr>
              <w:spacing w:after="40" w:before="40"/>
              <w:jc w:val="center"/>
            </w:pPr>
            <w:r>
              <w:rPr>
                <w:rFonts w:ascii="Arial" w:cs="Arial" w:eastAsia="Arial" w:hAnsi="Arial"/>
                <w:b/>
                <w:bCs/>
                <w:color w:val="FFFFFF"/>
                <w:sz w:val="20"/>
                <w:szCs w:val="20"/>
              </w:rPr>
              <w:t xml:space="preserve">Primary Scope</w:t>
            </w:r>
          </w:p>
        </w:tc>
      </w:tr>
      <w:tr>
        <w:tc>
          <w:tcPr>
            <w:tcW w:type="dxa" w:w="180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vAlign w:val="top"/>
          </w:tcPr>
          <w:p>
            <w:pPr>
              <w:spacing w:after="40" w:before="40"/>
            </w:pPr>
            <w:r>
              <w:rPr>
                <w:rFonts w:ascii="Arial" w:cs="Arial" w:eastAsia="Arial" w:hAnsi="Arial"/>
                <w:b/>
                <w:bCs/>
                <w:color w:val="1F3864"/>
                <w:sz w:val="19"/>
                <w:szCs w:val="19"/>
              </w:rPr>
              <w:t xml:space="preserve">Tier 1
CM Technician</w:t>
            </w:r>
          </w:p>
        </w:tc>
        <w:tc>
          <w:tcPr>
            <w:tcW w:type="dxa" w:w="200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9"/>
                <w:szCs w:val="19"/>
              </w:rPr>
              <w:t xml:space="preserve">CM Technician /
CM Coordinator</w:t>
            </w:r>
          </w:p>
        </w:tc>
        <w:tc>
          <w:tcPr>
            <w:tcW w:type="dxa" w:w="248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9"/>
                <w:szCs w:val="19"/>
              </w:rPr>
              <w:t xml:space="preserve">A.A.S. in any technical, business, or related field</w:t>
            </w:r>
          </w:p>
        </w:tc>
        <w:tc>
          <w:tcPr>
            <w:tcW w:type="dxa" w:w="308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9"/>
                <w:szCs w:val="19"/>
              </w:rPr>
              <w:t xml:space="preserve">Administrative CM support, change processing support, CSA data entry, audit logistics, scheduling, records management</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1F3864"/>
                <w:sz w:val="19"/>
                <w:szCs w:val="19"/>
              </w:rPr>
              <w:t xml:space="preserve">Tier 2
CM Specialist</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9"/>
                <w:szCs w:val="19"/>
              </w:rPr>
              <w:t xml:space="preserve">CM Specialist /
CM Analyst</w:t>
            </w:r>
          </w:p>
        </w:tc>
        <w:tc>
          <w:tcPr>
            <w:tcW w:type="dxa" w:w="24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9"/>
                <w:szCs w:val="19"/>
              </w:rPr>
              <w:t xml:space="preserve">B.S. Engineering Technology or equivalent (see Equivalent Qualification Pathways)</w:t>
            </w:r>
          </w:p>
        </w:tc>
        <w:tc>
          <w:tcPr>
            <w:tcW w:type="dxa" w:w="30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9"/>
                <w:szCs w:val="19"/>
              </w:rPr>
              <w:t xml:space="preserve">CI documentation, change classification support, CSA system management, baseline maintenance, interface documentation</w:t>
            </w:r>
          </w:p>
        </w:tc>
      </w:tr>
      <w:tr>
        <w:tc>
          <w:tcPr>
            <w:tcW w:type="dxa" w:w="180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vAlign w:val="top"/>
          </w:tcPr>
          <w:p>
            <w:pPr>
              <w:spacing w:after="40" w:before="40"/>
            </w:pPr>
            <w:r>
              <w:rPr>
                <w:rFonts w:ascii="Arial" w:cs="Arial" w:eastAsia="Arial" w:hAnsi="Arial"/>
                <w:b/>
                <w:bCs/>
                <w:color w:val="1F3864"/>
                <w:sz w:val="19"/>
                <w:szCs w:val="19"/>
              </w:rPr>
              <w:t xml:space="preserve">Tier 3
CM Engineer</w:t>
            </w:r>
          </w:p>
        </w:tc>
        <w:tc>
          <w:tcPr>
            <w:tcW w:type="dxa" w:w="200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9"/>
                <w:szCs w:val="19"/>
              </w:rPr>
              <w:t xml:space="preserve">CM Engineer /
CM Lead</w:t>
            </w:r>
          </w:p>
        </w:tc>
        <w:tc>
          <w:tcPr>
            <w:tcW w:type="dxa" w:w="248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9"/>
                <w:szCs w:val="19"/>
              </w:rPr>
              <w:t xml:space="preserve">B.S. Engineering or advanced equivalent (see Equivalent Qualification Pathways)</w:t>
            </w:r>
          </w:p>
        </w:tc>
        <w:tc>
          <w:tcPr>
            <w:tcW w:type="dxa" w:w="308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9"/>
                <w:szCs w:val="19"/>
              </w:rPr>
              <w:t xml:space="preserve">CI selection, ECP classification, FCA/PCA lead, baseline establishment, interface management, CCB authority</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1F3864"/>
                <w:sz w:val="19"/>
                <w:szCs w:val="19"/>
              </w:rPr>
              <w:t xml:space="preserve">Tier 4
Senior CM / SME</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9"/>
                <w:szCs w:val="19"/>
              </w:rPr>
              <w:t xml:space="preserve">Senior CM Engineer /
CM Subject Matter Expert</w:t>
            </w:r>
          </w:p>
        </w:tc>
        <w:tc>
          <w:tcPr>
            <w:tcW w:type="dxa" w:w="24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9"/>
                <w:szCs w:val="19"/>
              </w:rPr>
              <w:t xml:space="preserve">Advanced degree (M.S., Ph.D.) or B.S. + extensive demonstrated competency; may include non-traditional advanced degrees</w:t>
            </w:r>
          </w:p>
        </w:tc>
        <w:tc>
          <w:tcPr>
            <w:tcW w:type="dxa" w:w="30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9"/>
                <w:szCs w:val="19"/>
              </w:rPr>
              <w:t xml:space="preserve">Program-level CM strategy, Acquirer relationships, enterprise CM standards, CM Plan ownership, audit leadership, workforce development</w:t>
            </w:r>
          </w:p>
        </w:tc>
      </w:tr>
    </w:tbl>
    <w:p>
      <w:pPr>
        <w:spacing w:after="0" w:before="120"/>
      </w:pPr>
    </w:p>
    <w:p>
      <w:pPr>
        <w:pStyle w:val="Heading2"/>
        <w:shd w:fill="2E5F8A" w:val="clear"/>
        <w:spacing w:after="80" w:before="200"/>
        <w:ind w:left="120"/>
      </w:pPr>
      <w:r>
        <w:rPr>
          <w:rFonts w:ascii="Arial" w:cs="Arial" w:eastAsia="Arial" w:hAnsi="Arial"/>
          <w:b/>
          <w:bCs/>
          <w:color w:val="FFFFFF"/>
          <w:sz w:val="28"/>
          <w:szCs w:val="28"/>
        </w:rPr>
        <w:t xml:space="preserve">The A.A.S. Workforce: Role Profile, Strengths, and Career Development</w:t>
      </w:r>
    </w:p>
    <w:p>
      <w:pPr>
        <w:spacing w:after="0" w:before="60"/>
      </w:pPr>
    </w:p>
    <w:p>
      <w:pPr>
        <w:spacing w:after="100" w:before="80"/>
        <w:jc w:val="left"/>
      </w:pPr>
      <w:r>
        <w:rPr>
          <w:rFonts w:ascii="Arial" w:cs="Arial" w:eastAsia="Arial" w:hAnsi="Arial"/>
          <w:i w:val="false"/>
          <w:iCs w:val="false"/>
          <w:color w:val="404040"/>
          <w:sz w:val="22"/>
          <w:szCs w:val="22"/>
        </w:rPr>
        <w:t xml:space="preserve">The associate's-degree CM workforce is not a deficiency to be corrected — it is an asset to be properly deployed. A.A.S.-trained CM Technicians and Coordinators provide the procedural discipline, administrative accuracy, and institutional continuity that CM programs depend on daily. The objective of this analysis is not to replace the A.A.S. workforce but to position it correctly: in roles where its strengths are maximized and where the technical judgment requirements of EIA-649-1 are covered by appropriately degreed personnel working alongside them.</w:t>
      </w:r>
    </w:p>
    <w:p>
      <w:pPr>
        <w:spacing w:after="0" w:before="60"/>
      </w:pPr>
    </w:p>
    <w:p>
      <w:pPr>
        <w:pStyle w:val="Heading3"/>
        <w:pBdr>
          <w:bottom w:val="single" w:color="2E5F8A" w:sz="6"/>
        </w:pBdr>
        <w:spacing w:after="80" w:before="160"/>
      </w:pPr>
      <w:r>
        <w:rPr>
          <w:rFonts w:ascii="Arial" w:cs="Arial" w:eastAsia="Arial" w:hAnsi="Arial"/>
          <w:b/>
          <w:bCs/>
          <w:color w:val="1F3864"/>
          <w:sz w:val="24"/>
          <w:szCs w:val="24"/>
        </w:rPr>
        <w:t xml:space="preserve">What A.A.S. CM Personnel Do Exceptionally Well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tcBorders>
              <w:top w:val="single" w:color="AAAAAA" w:sz="4"/>
              <w:left w:val="single" w:color="AAAAAA" w:sz="4"/>
              <w:bottom w:val="single" w:color="AAAAAA" w:sz="4"/>
              <w:right w:val="single" w:color="AAAAAA" w:sz="4"/>
            </w:tcBorders>
            <w:shd w:fill="2E5F8A" w:val="clear"/>
            <w:tcMar>
              <w:top w:type="dxa" w:w="100"/>
              <w:left w:type="dxa" w:w="120"/>
              <w:bottom w:type="dxa" w:w="100"/>
              <w:right w:type="dxa" w:w="120"/>
            </w:tcMar>
            <w:vAlign w:val="center"/>
          </w:tcPr>
          <w:p>
            <w:pPr>
              <w:spacing w:after="40" w:before="40"/>
              <w:jc w:val="center"/>
            </w:pPr>
            <w:r>
              <w:rPr>
                <w:rFonts w:ascii="Arial" w:cs="Arial" w:eastAsia="Arial" w:hAnsi="Arial"/>
                <w:b/>
                <w:bCs/>
                <w:color w:val="FFFFFF"/>
                <w:sz w:val="20"/>
                <w:szCs w:val="20"/>
              </w:rPr>
              <w:t xml:space="preserve">Strength Area</w:t>
            </w:r>
          </w:p>
        </w:tc>
        <w:tc>
          <w:tcPr>
            <w:tcW w:type="dxa" w:w="6480"/>
            <w:tcBorders>
              <w:top w:val="single" w:color="AAAAAA" w:sz="4"/>
              <w:left w:val="single" w:color="AAAAAA" w:sz="4"/>
              <w:bottom w:val="single" w:color="AAAAAA" w:sz="4"/>
              <w:right w:val="single" w:color="AAAAAA" w:sz="4"/>
            </w:tcBorders>
            <w:shd w:fill="2E5F8A" w:val="clear"/>
            <w:tcMar>
              <w:top w:type="dxa" w:w="100"/>
              <w:left w:type="dxa" w:w="120"/>
              <w:bottom w:type="dxa" w:w="100"/>
              <w:right w:type="dxa" w:w="120"/>
            </w:tcMar>
            <w:vAlign w:val="center"/>
          </w:tcPr>
          <w:p>
            <w:pPr>
              <w:spacing w:after="40" w:before="40"/>
              <w:jc w:val="center"/>
            </w:pPr>
            <w:r>
              <w:rPr>
                <w:rFonts w:ascii="Arial" w:cs="Arial" w:eastAsia="Arial" w:hAnsi="Arial"/>
                <w:b/>
                <w:bCs/>
                <w:color w:val="FFFFFF"/>
                <w:sz w:val="20"/>
                <w:szCs w:val="20"/>
              </w:rPr>
              <w:t xml:space="preserve">Application in CM</w:t>
            </w:r>
          </w:p>
        </w:tc>
      </w:tr>
      <w:tr>
        <w:tc>
          <w:tcPr>
            <w:tcW w:type="dxa" w:w="28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2E5F8A"/>
                <w:sz w:val="19"/>
                <w:szCs w:val="19"/>
              </w:rPr>
              <w:t xml:space="preserve">Process Discipline &amp; Consistency</w:t>
            </w:r>
          </w:p>
        </w:tc>
        <w:tc>
          <w:tcPr>
            <w:tcW w:type="dxa" w:w="64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9"/>
                <w:szCs w:val="19"/>
              </w:rPr>
              <w:t xml:space="preserve">Follow established CM procedures with precision and repeatability — critical for ECP routing, ERR processing, and CSA data entry where consistency prevents errors.</w:t>
            </w:r>
          </w:p>
        </w:tc>
      </w:tr>
      <w:tr>
        <w:tc>
          <w:tcPr>
            <w:tcW w:type="dxa" w:w="28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bCs/>
                <w:color w:val="2E5F8A"/>
                <w:sz w:val="19"/>
                <w:szCs w:val="19"/>
              </w:rPr>
              <w:t xml:space="preserve">Administrative Change Processing</w:t>
            </w:r>
          </w:p>
        </w:tc>
        <w:tc>
          <w:tcPr>
            <w:tcW w:type="dxa" w:w="64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9"/>
                <w:szCs w:val="19"/>
              </w:rPr>
              <w:t xml:space="preserve">Manage the mechanics of ECP/RFV/SCN/NOR routing: form population, distribution, tracking open/closed status, maintaining the change log per §3.3. Under direction of a Tier 3 engineer.</w:t>
            </w:r>
          </w:p>
        </w:tc>
      </w:tr>
      <w:tr>
        <w:tc>
          <w:tcPr>
            <w:tcW w:type="dxa" w:w="28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2E5F8A"/>
                <w:sz w:val="19"/>
                <w:szCs w:val="19"/>
              </w:rPr>
              <w:t xml:space="preserve">CSA Data Entry &amp; Maintenance</w:t>
            </w:r>
          </w:p>
        </w:tc>
        <w:tc>
          <w:tcPr>
            <w:tcW w:type="dxa" w:w="64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9"/>
                <w:szCs w:val="19"/>
              </w:rPr>
              <w:t xml:space="preserve">Accurately capture, store, and maintain product configuration information in the CSA system per §3.4.1(3); generate status reports, metrics, and Acquirer data submittals.</w:t>
            </w:r>
          </w:p>
        </w:tc>
      </w:tr>
      <w:tr>
        <w:tc>
          <w:tcPr>
            <w:tcW w:type="dxa" w:w="28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bCs/>
                <w:color w:val="2E5F8A"/>
                <w:sz w:val="19"/>
                <w:szCs w:val="19"/>
              </w:rPr>
              <w:t xml:space="preserve">Audit Logistics &amp; Coordination</w:t>
            </w:r>
          </w:p>
        </w:tc>
        <w:tc>
          <w:tcPr>
            <w:tcW w:type="dxa" w:w="64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9"/>
                <w:szCs w:val="19"/>
              </w:rPr>
              <w:t xml:space="preserve">Schedule audits; prepare conference agendas and minutes (DI-ADMN-81249/81250); manage discrepancy action item logs; track closure status per §3.5.1(1)l,m.</w:t>
            </w:r>
          </w:p>
        </w:tc>
      </w:tr>
      <w:tr>
        <w:tc>
          <w:tcPr>
            <w:tcW w:type="dxa" w:w="28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2E5F8A"/>
                <w:sz w:val="19"/>
                <w:szCs w:val="19"/>
              </w:rPr>
              <w:t xml:space="preserve">Records Management &amp; Archival</w:t>
            </w:r>
          </w:p>
        </w:tc>
        <w:tc>
          <w:tcPr>
            <w:tcW w:type="dxa" w:w="64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9"/>
                <w:szCs w:val="19"/>
              </w:rPr>
              <w:t xml:space="preserve">Maintain engineering release records, approved ECPs, baseline description documents, and CSA data in organized, retrievable, secured repositories per §3.4.1(4)c,d.</w:t>
            </w:r>
          </w:p>
        </w:tc>
      </w:tr>
      <w:tr>
        <w:tc>
          <w:tcPr>
            <w:tcW w:type="dxa" w:w="28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bCs/>
                <w:color w:val="2E5F8A"/>
                <w:sz w:val="19"/>
                <w:szCs w:val="19"/>
              </w:rPr>
              <w:t xml:space="preserve">Institutional Memory</w:t>
            </w:r>
          </w:p>
        </w:tc>
        <w:tc>
          <w:tcPr>
            <w:tcW w:type="dxa" w:w="64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9"/>
                <w:szCs w:val="19"/>
              </w:rPr>
              <w:t xml:space="preserve">Long-tenured A.A.S. personnel often carry deep program-specific knowledge — which serial numbers carry which variances, which CIs have chronic RFV histories — that is irreplaceable regardless of degree level.</w:t>
            </w:r>
          </w:p>
        </w:tc>
      </w:tr>
      <w:tr>
        <w:tc>
          <w:tcPr>
            <w:tcW w:type="dxa" w:w="28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2E5F8A"/>
                <w:sz w:val="19"/>
                <w:szCs w:val="19"/>
              </w:rPr>
              <w:t xml:space="preserve">Sub-Supplier Data Collection</w:t>
            </w:r>
          </w:p>
        </w:tc>
        <w:tc>
          <w:tcPr>
            <w:tcW w:type="dxa" w:w="64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9"/>
                <w:szCs w:val="19"/>
              </w:rPr>
              <w:t xml:space="preserve">Coordinate vendor part number submittals, certificates of conformance, and serial number records from sub-tier suppliers for CSA traceability per §3.4.1(3)j.</w:t>
            </w:r>
          </w:p>
        </w:tc>
      </w:tr>
      <w:tr>
        <w:tc>
          <w:tcPr>
            <w:tcW w:type="dxa" w:w="28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bCs/>
                <w:color w:val="2E5F8A"/>
                <w:sz w:val="19"/>
                <w:szCs w:val="19"/>
              </w:rPr>
              <w:t xml:space="preserve">CMP Administration</w:t>
            </w:r>
          </w:p>
        </w:tc>
        <w:tc>
          <w:tcPr>
            <w:tcW w:type="dxa" w:w="64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9"/>
                <w:szCs w:val="19"/>
              </w:rPr>
              <w:t xml:space="preserve">Distribute the CM Plan; track contract data deliverables (CDRLs); manage distribution lists; coordinate DID submissions per §3.1 under lead direction.</w:t>
            </w:r>
          </w:p>
        </w:tc>
      </w:tr>
    </w:tbl>
    <w:p>
      <w:pPr>
        <w:spacing w:after="0" w:before="100"/>
      </w:pPr>
    </w:p>
    <w:p>
      <w:pPr>
        <w:pStyle w:val="Heading3"/>
        <w:pBdr>
          <w:bottom w:val="single" w:color="2E5F8A" w:sz="6"/>
        </w:pBdr>
        <w:spacing w:after="80" w:before="160"/>
      </w:pPr>
      <w:r>
        <w:rPr>
          <w:rFonts w:ascii="Arial" w:cs="Arial" w:eastAsia="Arial" w:hAnsi="Arial"/>
          <w:b/>
          <w:bCs/>
          <w:color w:val="1F3864"/>
          <w:sz w:val="24"/>
          <w:szCs w:val="24"/>
        </w:rPr>
        <w:t xml:space="preserve">A.A.S. Career Development Pathway</w:t>
      </w:r>
    </w:p>
    <w:p>
      <w:pPr>
        <w:spacing w:after="80" w:before="60"/>
        <w:jc w:val="left"/>
      </w:pPr>
      <w:r>
        <w:rPr>
          <w:rFonts w:ascii="Arial" w:cs="Arial" w:eastAsia="Arial" w:hAnsi="Arial"/>
          <w:i w:val="false"/>
          <w:iCs w:val="false"/>
          <w:color w:val="404040"/>
          <w:sz w:val="22"/>
          <w:szCs w:val="22"/>
        </w:rPr>
        <w:t xml:space="preserve">The company should invest in the advancement of its A.A.S. workforce rather than simply staffing around them. The following development pathway moves A.A.S. personnel toward higher-tier roles over time:</w:t>
      </w:r>
    </w:p>
    <w:p>
      <w:pPr>
        <w:pStyle w:val="ListParagraph"/>
        <w:numPr>
          <w:ilvl w:val="0"/>
          <w:numId w:val="2"/>
        </w:numPr>
        <w:spacing w:after="40" w:before="40"/>
      </w:pPr>
      <w:r>
        <w:rPr>
          <w:rFonts w:ascii="Arial" w:cs="Arial" w:eastAsia="Arial" w:hAnsi="Arial"/>
          <w:color w:val="404040"/>
          <w:sz w:val="22"/>
          <w:szCs w:val="22"/>
        </w:rPr>
        <w:t xml:space="preserve">CMII Certification (Institute of Configuration Management): Industry-standard CM process certification achievable without an engineering degree. Validates procedural competency and increases effectiveness in Tier 1-2 roles.</w:t>
      </w:r>
    </w:p>
    <w:p>
      <w:pPr>
        <w:pStyle w:val="ListParagraph"/>
        <w:numPr>
          <w:ilvl w:val="0"/>
          <w:numId w:val="2"/>
        </w:numPr>
        <w:spacing w:after="40" w:before="40"/>
      </w:pPr>
      <w:r>
        <w:rPr>
          <w:rFonts w:ascii="Arial" w:cs="Arial" w:eastAsia="Arial" w:hAnsi="Arial"/>
          <w:color w:val="404040"/>
          <w:sz w:val="22"/>
          <w:szCs w:val="22"/>
        </w:rPr>
        <w:t xml:space="preserve">DAU CM Courses (Defense Acquisition University): CLM 059 (CM Overview), CLM 202 (CM Fundamentals), and CLM 206 (Advanced CM) are available online and build toward Tier 2 competency.</w:t>
      </w:r>
    </w:p>
    <w:p>
      <w:pPr>
        <w:pStyle w:val="ListParagraph"/>
        <w:numPr>
          <w:ilvl w:val="0"/>
          <w:numId w:val="2"/>
        </w:numPr>
        <w:spacing w:after="40" w:before="40"/>
      </w:pPr>
      <w:r>
        <w:rPr>
          <w:rFonts w:ascii="Arial" w:cs="Arial" w:eastAsia="Arial" w:hAnsi="Arial"/>
          <w:color w:val="404040"/>
          <w:sz w:val="22"/>
          <w:szCs w:val="22"/>
        </w:rPr>
        <w:t xml:space="preserve">Tuition Assistance for B.S. Programs: Company-funded education assistance for A.A.S. personnel pursuing B.S. in Engineering Technology or related fields creates a direct path to Tier 2 and Tier 3 roles.</w:t>
      </w:r>
    </w:p>
    <w:p>
      <w:pPr>
        <w:pStyle w:val="ListParagraph"/>
        <w:numPr>
          <w:ilvl w:val="0"/>
          <w:numId w:val="2"/>
        </w:numPr>
        <w:spacing w:after="40" w:before="40"/>
      </w:pPr>
      <w:r>
        <w:rPr>
          <w:rFonts w:ascii="Arial" w:cs="Arial" w:eastAsia="Arial" w:hAnsi="Arial"/>
          <w:color w:val="404040"/>
          <w:sz w:val="22"/>
          <w:szCs w:val="22"/>
        </w:rPr>
        <w:t xml:space="preserve">Mentored On-the-Job Development: Pair A.A.S. personnel with Tier 3 engineers on CI selection, ECP classification, and audit activities. Structured mentorship builds technical judgment over time.</w:t>
      </w:r>
    </w:p>
    <w:p>
      <w:pPr>
        <w:pStyle w:val="ListParagraph"/>
        <w:numPr>
          <w:ilvl w:val="0"/>
          <w:numId w:val="2"/>
        </w:numPr>
        <w:spacing w:after="40" w:before="40"/>
      </w:pPr>
      <w:r>
        <w:rPr>
          <w:rFonts w:ascii="Arial" w:cs="Arial" w:eastAsia="Arial" w:hAnsi="Arial"/>
          <w:color w:val="404040"/>
          <w:sz w:val="22"/>
          <w:szCs w:val="22"/>
        </w:rPr>
        <w:t xml:space="preserve">Documented Competency Assessment: Establish a formal competency matrix that allows A.A.S. personnel with demonstrated performance to qualify for specific Tier 2 tasks without requiring formal degree completion.</w:t>
      </w:r>
    </w:p>
    <w:p>
      <w:pPr>
        <w:spacing w:after="0" w:before="120"/>
      </w:pPr>
    </w:p>
    <w:p>
      <w:pPr>
        <w:pStyle w:val="Heading2"/>
        <w:shd w:fill="2E5F8A" w:val="clear"/>
        <w:spacing w:after="80" w:before="200"/>
        <w:ind w:left="120"/>
      </w:pPr>
      <w:r>
        <w:rPr>
          <w:rFonts w:ascii="Arial" w:cs="Arial" w:eastAsia="Arial" w:hAnsi="Arial"/>
          <w:b/>
          <w:bCs/>
          <w:color w:val="FFFFFF"/>
          <w:sz w:val="28"/>
          <w:szCs w:val="28"/>
        </w:rPr>
        <w:t xml:space="preserve">Equivalent Qualification Pathways for Non-Traditional Advanced Degrees</w:t>
      </w:r>
    </w:p>
    <w:p>
      <w:pPr>
        <w:spacing w:after="0" w:before="60"/>
      </w:pPr>
    </w:p>
    <w:p>
      <w:pPr>
        <w:spacing w:after="100" w:before="80"/>
        <w:jc w:val="left"/>
      </w:pPr>
      <w:r>
        <w:rPr>
          <w:rFonts w:ascii="Arial" w:cs="Arial" w:eastAsia="Arial" w:hAnsi="Arial"/>
          <w:i w:val="false"/>
          <w:iCs w:val="false"/>
          <w:color w:val="404040"/>
          <w:sz w:val="22"/>
          <w:szCs w:val="22"/>
        </w:rPr>
        <w:t xml:space="preserve">The engineering degree requirement identified in this analysis reflects the type of knowledge needed — not the only way to acquire it. Several non-engineering advanced degrees, when the subject matter is sufficiently proximate to defense systems engineering, manufacturing, logistics, or safety, develop competencies that are equivalent to or exceed a B.S. in Engineering for specific CM functions. This section establishes the framework for evaluating such credentials.</w:t>
      </w:r>
    </w:p>
    <w:p>
      <w:pPr>
        <w:spacing w:after="0" w:before="60"/>
      </w:pPr>
    </w:p>
    <w:p>
      <w:pPr>
        <w:pStyle w:val="Heading3"/>
        <w:pBdr>
          <w:bottom w:val="single" w:color="2E5F8A" w:sz="6"/>
        </w:pBdr>
        <w:spacing w:after="80" w:before="160"/>
      </w:pPr>
      <w:r>
        <w:rPr>
          <w:rFonts w:ascii="Arial" w:cs="Arial" w:eastAsia="Arial" w:hAnsi="Arial"/>
          <w:b/>
          <w:bCs/>
          <w:color w:val="1F3864"/>
          <w:sz w:val="24"/>
          <w:szCs w:val="24"/>
        </w:rPr>
        <w:t xml:space="preserve">The Two-Gate Equivalency Test</w:t>
      </w:r>
    </w:p>
    <w:p>
      <w:pPr>
        <w:spacing w:after="80" w:before="60"/>
        <w:jc w:val="left"/>
      </w:pPr>
      <w:r>
        <w:rPr>
          <w:rFonts w:ascii="Arial" w:cs="Arial" w:eastAsia="Arial" w:hAnsi="Arial"/>
          <w:i w:val="false"/>
          <w:iCs w:val="false"/>
          <w:color w:val="404040"/>
          <w:sz w:val="22"/>
          <w:szCs w:val="22"/>
        </w:rPr>
        <w:t xml:space="preserve">A non-engineering advanced degree qualifies as equivalent only if it passes both of the following gates. Passing one gate but not the other is insufficient.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3240"/>
        <w:gridCol w:w="4680"/>
      </w:tblGrid>
      <w:tr>
        <w:trPr>
          <w:tblHeader/>
        </w:trPr>
        <w:tc>
          <w:tcPr>
            <w:tcW w:type="dxa" w:w="1440"/>
            <w:tcBorders>
              <w:top w:val="single" w:color="AAAAAA" w:sz="4"/>
              <w:left w:val="single" w:color="AAAAAA" w:sz="4"/>
              <w:bottom w:val="single" w:color="AAAAAA" w:sz="4"/>
              <w:right w:val="single" w:color="AAAAAA" w:sz="4"/>
            </w:tcBorders>
            <w:shd w:fill="1F3864" w:val="clear"/>
            <w:tcMar>
              <w:top w:type="dxa" w:w="100"/>
              <w:left w:type="dxa" w:w="120"/>
              <w:bottom w:type="dxa" w:w="100"/>
              <w:right w:type="dxa" w:w="120"/>
            </w:tcMar>
            <w:vAlign w:val="center"/>
          </w:tcPr>
          <w:p>
            <w:pPr>
              <w:spacing w:after="40" w:before="40"/>
              <w:jc w:val="center"/>
            </w:pPr>
            <w:r>
              <w:rPr>
                <w:rFonts w:ascii="Arial" w:cs="Arial" w:eastAsia="Arial" w:hAnsi="Arial"/>
                <w:b/>
                <w:bCs/>
                <w:color w:val="FFFFFF"/>
                <w:sz w:val="20"/>
                <w:szCs w:val="20"/>
              </w:rPr>
              <w:t xml:space="preserve">Gate</w:t>
            </w:r>
          </w:p>
        </w:tc>
        <w:tc>
          <w:tcPr>
            <w:tcW w:type="dxa" w:w="3240"/>
            <w:tcBorders>
              <w:top w:val="single" w:color="AAAAAA" w:sz="4"/>
              <w:left w:val="single" w:color="AAAAAA" w:sz="4"/>
              <w:bottom w:val="single" w:color="AAAAAA" w:sz="4"/>
              <w:right w:val="single" w:color="AAAAAA" w:sz="4"/>
            </w:tcBorders>
            <w:shd w:fill="1F3864" w:val="clear"/>
            <w:tcMar>
              <w:top w:type="dxa" w:w="100"/>
              <w:left w:type="dxa" w:w="120"/>
              <w:bottom w:type="dxa" w:w="100"/>
              <w:right w:type="dxa" w:w="120"/>
            </w:tcMar>
            <w:vAlign w:val="center"/>
          </w:tcPr>
          <w:p>
            <w:pPr>
              <w:spacing w:after="40" w:before="40"/>
              <w:jc w:val="center"/>
            </w:pPr>
            <w:r>
              <w:rPr>
                <w:rFonts w:ascii="Arial" w:cs="Arial" w:eastAsia="Arial" w:hAnsi="Arial"/>
                <w:b/>
                <w:bCs/>
                <w:color w:val="FFFFFF"/>
                <w:sz w:val="20"/>
                <w:szCs w:val="20"/>
              </w:rPr>
              <w:t xml:space="preserve">Criterion</w:t>
            </w:r>
          </w:p>
        </w:tc>
        <w:tc>
          <w:tcPr>
            <w:tcW w:type="dxa" w:w="4680"/>
            <w:tcBorders>
              <w:top w:val="single" w:color="AAAAAA" w:sz="4"/>
              <w:left w:val="single" w:color="AAAAAA" w:sz="4"/>
              <w:bottom w:val="single" w:color="AAAAAA" w:sz="4"/>
              <w:right w:val="single" w:color="AAAAAA" w:sz="4"/>
            </w:tcBorders>
            <w:shd w:fill="1F3864" w:val="clear"/>
            <w:tcMar>
              <w:top w:type="dxa" w:w="100"/>
              <w:left w:type="dxa" w:w="120"/>
              <w:bottom w:type="dxa" w:w="100"/>
              <w:right w:type="dxa" w:w="120"/>
            </w:tcMar>
            <w:vAlign w:val="center"/>
          </w:tcPr>
          <w:p>
            <w:pPr>
              <w:spacing w:after="40" w:before="40"/>
              <w:jc w:val="center"/>
            </w:pPr>
            <w:r>
              <w:rPr>
                <w:rFonts w:ascii="Arial" w:cs="Arial" w:eastAsia="Arial" w:hAnsi="Arial"/>
                <w:b/>
                <w:bCs/>
                <w:color w:val="FFFFFF"/>
                <w:sz w:val="20"/>
                <w:szCs w:val="20"/>
              </w:rPr>
              <w:t xml:space="preserve">What to Evaluate</w:t>
            </w:r>
          </w:p>
        </w:tc>
      </w:tr>
      <w:tr>
        <w:tc>
          <w:tcPr>
            <w:tcW w:type="dxa" w:w="144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vAlign w:val="top"/>
          </w:tcPr>
          <w:p>
            <w:pPr>
              <w:spacing w:after="40" w:before="40"/>
            </w:pPr>
            <w:r>
              <w:rPr>
                <w:rFonts w:ascii="Arial" w:cs="Arial" w:eastAsia="Arial" w:hAnsi="Arial"/>
                <w:b/>
                <w:bCs/>
                <w:color w:val="1F3864"/>
                <w:sz w:val="19"/>
                <w:szCs w:val="19"/>
              </w:rPr>
              <w:t xml:space="preserve">Gate 1
Domain Proximity</w:t>
            </w:r>
          </w:p>
        </w:tc>
        <w:tc>
          <w:tcPr>
            <w:tcW w:type="dxa" w:w="324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9"/>
                <w:szCs w:val="19"/>
              </w:rPr>
              <w:t xml:space="preserve">Does the doctoral subject matter directly and substantively intersect with the technical content of defense systems, manufacturing processes, safety frameworks, regulatory/compliance regimes, or documentation structures relevant to CM?</w:t>
            </w:r>
          </w:p>
        </w:tc>
        <w:tc>
          <w:tcPr>
            <w:tcW w:type="dxa" w:w="468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9"/>
                <w:szCs w:val="19"/>
              </w:rPr>
              <w:t xml:space="preserve">Review dissertation title, abstract, and chapters. The connection must be direct — not incidental. A dissertation on nuclear weapons manufacturing qualifies. A dissertation on the political history of arms control treaties does not.</w:t>
            </w:r>
          </w:p>
        </w:tc>
      </w:tr>
      <w:tr>
        <w:tc>
          <w:tcPr>
            <w:tcW w:type="dxa" w:w="144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vAlign w:val="top"/>
          </w:tcPr>
          <w:p>
            <w:pPr>
              <w:spacing w:after="40" w:before="40"/>
            </w:pPr>
            <w:r>
              <w:rPr>
                <w:rFonts w:ascii="Arial" w:cs="Arial" w:eastAsia="Arial" w:hAnsi="Arial"/>
                <w:b/>
                <w:bCs/>
                <w:color w:val="1F3864"/>
                <w:sz w:val="19"/>
                <w:szCs w:val="19"/>
              </w:rPr>
              <w:t xml:space="preserve">Gate 2
Competency Demonstration</w:t>
            </w:r>
          </w:p>
        </w:tc>
        <w:tc>
          <w:tcPr>
            <w:tcW w:type="dxa" w:w="32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9"/>
                <w:szCs w:val="19"/>
              </w:rPr>
              <w:t xml:space="preserve">Can the individual demonstrate, through assessment, portfolio review, or documented performance history, the specific technical competencies required by the CM functions they will lead?</w:t>
            </w:r>
          </w:p>
        </w:tc>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9"/>
                <w:szCs w:val="19"/>
              </w:rPr>
              <w:t xml:space="preserve">Use a structured competency interview or written assessment referencing specific EIA-649-1 requirements. Demonstrated CM performance (years on program, audit roles held, ECP/baseline history) also counts as evidence.</w:t>
            </w:r>
          </w:p>
        </w:tc>
      </w:tr>
    </w:tbl>
    <w:p>
      <w:pPr>
        <w:spacing w:after="0" w:before="100"/>
      </w:pPr>
    </w:p>
    <w:p>
      <w:pPr>
        <w:pStyle w:val="Heading3"/>
        <w:pBdr>
          <w:bottom w:val="single" w:color="2E5F8A" w:sz="6"/>
        </w:pBdr>
        <w:spacing w:after="80" w:before="160"/>
      </w:pPr>
      <w:r>
        <w:rPr>
          <w:rFonts w:ascii="Arial" w:cs="Arial" w:eastAsia="Arial" w:hAnsi="Arial"/>
          <w:b/>
          <w:bCs/>
          <w:color w:val="1F3864"/>
          <w:sz w:val="24"/>
          <w:szCs w:val="24"/>
        </w:rPr>
        <w:t xml:space="preserve">Ph.D. Equivalency Classification Table</w:t>
      </w:r>
    </w:p>
    <w:p>
      <w:pPr>
        <w:spacing w:after="80" w:before="60"/>
        <w:jc w:val="left"/>
      </w:pPr>
      <w:r>
        <w:rPr>
          <w:rFonts w:ascii="Arial" w:cs="Arial" w:eastAsia="Arial" w:hAnsi="Arial"/>
          <w:i w:val="false"/>
          <w:iCs w:val="false"/>
          <w:color w:val="404040"/>
          <w:sz w:val="22"/>
          <w:szCs w:val="22"/>
        </w:rPr>
        <w:t xml:space="preserve">The following table classifies non-engineering doctoral credentials by their equivalency level for CM purposes. Classifications are based on domain proximity to defense systems, manufacturing, safety, and documentation regimes.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1440"/>
        <w:gridCol w:w="5400"/>
      </w:tblGrid>
      <w:tr>
        <w:trPr>
          <w:tblHeader/>
        </w:trPr>
        <w:tc>
          <w:tcPr>
            <w:tcW w:type="dxa" w:w="2520"/>
            <w:tcBorders>
              <w:top w:val="single" w:color="AAAAAA" w:sz="4"/>
              <w:left w:val="single" w:color="AAAAAA" w:sz="4"/>
              <w:bottom w:val="single" w:color="AAAAAA" w:sz="4"/>
              <w:right w:val="single" w:color="AAAAAA" w:sz="4"/>
            </w:tcBorders>
            <w:shd w:fill="1F3864" w:val="clear"/>
            <w:tcMar>
              <w:top w:type="dxa" w:w="100"/>
              <w:left w:type="dxa" w:w="120"/>
              <w:bottom w:type="dxa" w:w="100"/>
              <w:right w:type="dxa" w:w="120"/>
            </w:tcMar>
            <w:vAlign w:val="center"/>
          </w:tcPr>
          <w:p>
            <w:pPr>
              <w:spacing w:after="40" w:before="40"/>
              <w:jc w:val="center"/>
            </w:pPr>
            <w:r>
              <w:rPr>
                <w:rFonts w:ascii="Arial" w:cs="Arial" w:eastAsia="Arial" w:hAnsi="Arial"/>
                <w:b/>
                <w:bCs/>
                <w:color w:val="FFFFFF"/>
                <w:sz w:val="20"/>
                <w:szCs w:val="20"/>
              </w:rPr>
              <w:t xml:space="preserve">Ph.D. Field / Dissertation Focus</w:t>
            </w:r>
          </w:p>
        </w:tc>
        <w:tc>
          <w:tcPr>
            <w:tcW w:type="dxa" w:w="1440"/>
            <w:tcBorders>
              <w:top w:val="single" w:color="AAAAAA" w:sz="4"/>
              <w:left w:val="single" w:color="AAAAAA" w:sz="4"/>
              <w:bottom w:val="single" w:color="AAAAAA" w:sz="4"/>
              <w:right w:val="single" w:color="AAAAAA" w:sz="4"/>
            </w:tcBorders>
            <w:shd w:fill="1F3864" w:val="clear"/>
            <w:tcMar>
              <w:top w:type="dxa" w:w="100"/>
              <w:left w:type="dxa" w:w="120"/>
              <w:bottom w:type="dxa" w:w="100"/>
              <w:right w:type="dxa" w:w="120"/>
            </w:tcMar>
            <w:vAlign w:val="center"/>
          </w:tcPr>
          <w:p>
            <w:pPr>
              <w:spacing w:after="40" w:before="40"/>
              <w:jc w:val="center"/>
            </w:pPr>
            <w:r>
              <w:rPr>
                <w:rFonts w:ascii="Arial" w:cs="Arial" w:eastAsia="Arial" w:hAnsi="Arial"/>
                <w:b/>
                <w:bCs/>
                <w:color w:val="FFFFFF"/>
                <w:sz w:val="20"/>
                <w:szCs w:val="20"/>
              </w:rPr>
              <w:t xml:space="preserve">Equivalency Level</w:t>
            </w:r>
          </w:p>
        </w:tc>
        <w:tc>
          <w:tcPr>
            <w:tcW w:type="dxa" w:w="5400"/>
            <w:tcBorders>
              <w:top w:val="single" w:color="AAAAAA" w:sz="4"/>
              <w:left w:val="single" w:color="AAAAAA" w:sz="4"/>
              <w:bottom w:val="single" w:color="AAAAAA" w:sz="4"/>
              <w:right w:val="single" w:color="AAAAAA" w:sz="4"/>
            </w:tcBorders>
            <w:shd w:fill="1F3864" w:val="clear"/>
            <w:tcMar>
              <w:top w:type="dxa" w:w="100"/>
              <w:left w:type="dxa" w:w="120"/>
              <w:bottom w:type="dxa" w:w="100"/>
              <w:right w:type="dxa" w:w="120"/>
            </w:tcMar>
            <w:vAlign w:val="center"/>
          </w:tcPr>
          <w:p>
            <w:pPr>
              <w:spacing w:after="40" w:before="40"/>
              <w:jc w:val="center"/>
            </w:pPr>
            <w:r>
              <w:rPr>
                <w:rFonts w:ascii="Arial" w:cs="Arial" w:eastAsia="Arial" w:hAnsi="Arial"/>
                <w:b/>
                <w:bCs/>
                <w:color w:val="FFFFFF"/>
                <w:sz w:val="20"/>
                <w:szCs w:val="20"/>
              </w:rPr>
              <w:t xml:space="preserve">Rationale and CM Function Applicability</w:t>
            </w:r>
          </w:p>
        </w:tc>
      </w:tr>
      <w:tr>
        <w:tc>
          <w:tcPr>
            <w:tcW w:type="dxa" w:w="252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vAlign w:val="top"/>
          </w:tcPr>
          <w:p>
            <w:pPr>
              <w:spacing w:after="40" w:before="40"/>
            </w:pPr>
            <w:r>
              <w:rPr>
                <w:rFonts w:ascii="Arial" w:cs="Arial" w:eastAsia="Arial" w:hAnsi="Arial"/>
                <w:b/>
                <w:bCs/>
                <w:color w:val="1F3864"/>
                <w:sz w:val="18"/>
                <w:szCs w:val="18"/>
              </w:rPr>
              <w:t xml:space="preserve">History of Science, Technology, or Manufacturing (dissertation focused on defense/industrial/nuclear systems)</w:t>
            </w:r>
          </w:p>
        </w:tc>
        <w:tc>
          <w:tcPr>
            <w:tcW w:type="dxa" w:w="144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vAlign w:val="top"/>
          </w:tcPr>
          <w:p>
            <w:pPr>
              <w:spacing w:after="40" w:before="40"/>
            </w:pPr>
            <w:r>
              <w:rPr>
                <w:rFonts w:ascii="Arial" w:cs="Arial" w:eastAsia="Arial" w:hAnsi="Arial"/>
                <w:b/>
                <w:bCs/>
                <w:color w:val="C00000"/>
                <w:sz w:val="18"/>
                <w:szCs w:val="18"/>
              </w:rPr>
              <w:t xml:space="preserve">Tier 3–4 Equivalent
(B.S.E. or above)</w:t>
            </w:r>
          </w:p>
        </w:tc>
        <w:tc>
          <w:tcPr>
            <w:tcW w:type="dxa" w:w="540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8"/>
                <w:szCs w:val="18"/>
              </w:rPr>
              <w:t xml:space="preserve">See dedicated analysis below. Highest domain proximity of any non-engineering doctoral field for defense CM. Directly applicable to all five CM functions, particularly CI selection, change management, and audits.</w:t>
            </w:r>
          </w:p>
        </w:tc>
      </w:tr>
      <w:tr>
        <w:tc>
          <w:tcPr>
            <w:tcW w:type="dxa" w:w="25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1F3864"/>
                <w:sz w:val="18"/>
                <w:szCs w:val="18"/>
              </w:rPr>
              <w:t xml:space="preserve">Logistics / Supply Chain Management</w:t>
            </w:r>
          </w:p>
        </w:tc>
        <w:tc>
          <w:tcPr>
            <w:tcW w:type="dxa" w:w="14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2E5F8A"/>
                <w:sz w:val="18"/>
                <w:szCs w:val="18"/>
              </w:rPr>
              <w:t xml:space="preserve">Tier 2–3 Equivalent
(B.S.E.T.–B.S.E.)</w:t>
            </w:r>
          </w:p>
        </w:tc>
        <w:tc>
          <w:tcPr>
            <w:tcW w:type="dxa" w:w="5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8"/>
                <w:szCs w:val="18"/>
              </w:rPr>
              <w:t xml:space="preserve">Directly applicable to CSA (§3.4), sub-supplier management, BOM traceability, and procurement planning reconciliation. Strong qualification for CSA lead role. Domain proximity to CI selection and sustainment aspects of §3.2.</w:t>
            </w:r>
          </w:p>
        </w:tc>
      </w:tr>
      <w:tr>
        <w:tc>
          <w:tcPr>
            <w:tcW w:type="dxa" w:w="252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bCs/>
                <w:color w:val="1F3864"/>
                <w:sz w:val="18"/>
                <w:szCs w:val="18"/>
              </w:rPr>
              <w:t xml:space="preserve">Geographic Information Systems (GIS) / Geospatial Sciences</w:t>
            </w:r>
          </w:p>
        </w:tc>
        <w:tc>
          <w:tcPr>
            <w:tcW w:type="dxa" w:w="14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bCs/>
                <w:color w:val="2E5F8A"/>
                <w:sz w:val="18"/>
                <w:szCs w:val="18"/>
              </w:rPr>
              <w:t xml:space="preserve">Tier 2 Equivalent
(B.S.E.T.)</w:t>
            </w:r>
          </w:p>
        </w:tc>
        <w:tc>
          <w:tcPr>
            <w:tcW w:type="dxa" w:w="5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8"/>
                <w:szCs w:val="18"/>
              </w:rPr>
              <w:t xml:space="preserve">Applicable to programs involving geospatial or reconnaissance systems; strong data management and systems architecture skills. Less broadly applicable across defense CM functions than manufacturing/logistics fields but valid for program-specific roles.</w:t>
            </w:r>
          </w:p>
        </w:tc>
      </w:tr>
      <w:tr>
        <w:tc>
          <w:tcPr>
            <w:tcW w:type="dxa" w:w="25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1F3864"/>
                <w:sz w:val="18"/>
                <w:szCs w:val="18"/>
              </w:rPr>
              <w:t xml:space="preserve">History of Science (general, not manufacturing-focused)</w:t>
            </w:r>
          </w:p>
        </w:tc>
        <w:tc>
          <w:tcPr>
            <w:tcW w:type="dxa" w:w="14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2E5F8A"/>
                <w:sz w:val="18"/>
                <w:szCs w:val="18"/>
              </w:rPr>
              <w:t xml:space="preserve">Tier 2 Equivalent
(B.S.E.T.) with assessment</w:t>
            </w:r>
          </w:p>
        </w:tc>
        <w:tc>
          <w:tcPr>
            <w:tcW w:type="dxa" w:w="5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8"/>
                <w:szCs w:val="18"/>
              </w:rPr>
              <w:t xml:space="preserve">Develops research methodology, documentation analysis, and regulatory/policy literacy applicable to CM planning and CSA. Requires Gate 2 competency assessment to confirm adequate technical literacy in engineering documentation.</w:t>
            </w:r>
          </w:p>
        </w:tc>
      </w:tr>
      <w:tr>
        <w:tc>
          <w:tcPr>
            <w:tcW w:type="dxa" w:w="252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bCs/>
                <w:color w:val="1F3864"/>
                <w:sz w:val="18"/>
                <w:szCs w:val="18"/>
              </w:rPr>
              <w:t xml:space="preserve">Public Policy / Regulatory Affairs (defense or industrial focus)</w:t>
            </w:r>
          </w:p>
        </w:tc>
        <w:tc>
          <w:tcPr>
            <w:tcW w:type="dxa" w:w="14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bCs/>
                <w:color w:val="2E5F8A"/>
                <w:sz w:val="18"/>
                <w:szCs w:val="18"/>
              </w:rPr>
              <w:t xml:space="preserve">Tier 2 Equivalent
(B.S.E.T.)</w:t>
            </w:r>
          </w:p>
        </w:tc>
        <w:tc>
          <w:tcPr>
            <w:tcW w:type="dxa" w:w="5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8"/>
                <w:szCs w:val="18"/>
              </w:rPr>
              <w:t xml:space="preserve">Strong qualification for CM Planning (§3.1) and regulatory compliance aspects of CSA (§3.4). Limited applicability to CI selection, ECP classification, and audit functions without additional technical training.</w:t>
            </w:r>
          </w:p>
        </w:tc>
      </w:tr>
      <w:tr>
        <w:tc>
          <w:tcPr>
            <w:tcW w:type="dxa" w:w="25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1F3864"/>
                <w:sz w:val="18"/>
                <w:szCs w:val="18"/>
              </w:rPr>
              <w:t xml:space="preserve">Environmental Science / Environmental Policy (industrial or defense focus)</w:t>
            </w:r>
          </w:p>
        </w:tc>
        <w:tc>
          <w:tcPr>
            <w:tcW w:type="dxa" w:w="14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2E5F8A"/>
                <w:sz w:val="18"/>
                <w:szCs w:val="18"/>
              </w:rPr>
              <w:t xml:space="preserve">Tier 2 Equivalent
(B.S.E.T.)</w:t>
            </w:r>
          </w:p>
        </w:tc>
        <w:tc>
          <w:tcPr>
            <w:tcW w:type="dxa" w:w="5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8"/>
                <w:szCs w:val="18"/>
              </w:rPr>
              <w:t xml:space="preserve">Applicable where CM intersects with environmental compliance, hazardous materials handling, and process specification management. Relevant to CI selection for items with environmental consequence per §3.2.1. Gate 2 assessment required.</w:t>
            </w:r>
          </w:p>
        </w:tc>
      </w:tr>
      <w:tr>
        <w:tc>
          <w:tcPr>
            <w:tcW w:type="dxa" w:w="252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bCs/>
                <w:color w:val="1F3864"/>
                <w:sz w:val="18"/>
                <w:szCs w:val="18"/>
              </w:rPr>
              <w:t xml:space="preserve">Business, Law, Literature, Social Sciences, or other fields without direct technical domain connection</w:t>
            </w:r>
          </w:p>
        </w:tc>
        <w:tc>
          <w:tcPr>
            <w:tcW w:type="dxa" w:w="14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bCs/>
                <w:color w:val="C00000"/>
                <w:sz w:val="18"/>
                <w:szCs w:val="18"/>
              </w:rPr>
              <w:t xml:space="preserve">Not Equivalent
(Tier 1 only without additional technical credential)</w:t>
            </w:r>
          </w:p>
        </w:tc>
        <w:tc>
          <w:tcPr>
            <w:tcW w:type="dxa" w:w="5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8"/>
                <w:szCs w:val="18"/>
              </w:rPr>
              <w:t xml:space="preserve">A doctoral credential in a non-proximate field does not qualify for technical CM roles under this framework. The degree level alone is not the relevant factor — domain proximity is. These individuals are eligible for Tier 1 roles and may pursue Tier 2 via the competency assessment pathway.</w:t>
            </w:r>
          </w:p>
        </w:tc>
      </w:tr>
    </w:tbl>
    <w:p>
      <w:pPr>
        <w:spacing w:after="0" w:before="120"/>
      </w:pPr>
    </w:p>
    <w:p>
      <w:pPr>
        <w:pStyle w:val="Heading2"/>
        <w:shd w:fill="2E5F8A" w:val="clear"/>
        <w:spacing w:after="80" w:before="200"/>
        <w:ind w:left="120"/>
      </w:pPr>
      <w:r>
        <w:rPr>
          <w:rFonts w:ascii="Arial" w:cs="Arial" w:eastAsia="Arial" w:hAnsi="Arial"/>
          <w:b/>
          <w:bCs/>
          <w:color w:val="FFFFFF"/>
          <w:sz w:val="28"/>
          <w:szCs w:val="28"/>
        </w:rPr>
        <w:t xml:space="preserve">Special Analysis: Ph.D. in History with Dissertation on Nuclear Weapons Manufacturing</w:t>
      </w:r>
    </w:p>
    <w:p>
      <w:pPr>
        <w:spacing w:after="0" w:before="60"/>
      </w:pPr>
    </w:p>
    <w:tbl>
      <w:tblPr>
        <w:tblW w:type="dxa" w:w="9360"/>
        <w:tblBorders>
          <w:top w:val="single" w:color="2E5F8A" w:sz="8"/>
          <w:left w:val="single" w:color="2E5F8A" w:sz="8"/>
          <w:bottom w:val="single" w:color="2E5F8A" w:sz="8"/>
          <w:right w:val="single" w:color="2E5F8A" w:sz="8"/>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BDD7EE" w:val="clear"/>
            <w:tcMar>
              <w:top w:type="dxa" w:w="100"/>
              <w:left w:type="dxa" w:w="200"/>
              <w:bottom w:type="dxa" w:w="100"/>
              <w:right w:type="dxa" w:w="200"/>
            </w:tcMar>
          </w:tcPr>
          <w:p>
            <w:pPr>
              <w:spacing w:after="40" w:before="40"/>
            </w:pPr>
            <w:r>
              <w:rPr>
                <w:rFonts w:ascii="Arial" w:cs="Arial" w:eastAsia="Arial" w:hAnsi="Arial"/>
                <w:b/>
                <w:bCs/>
                <w:color w:val="1F3864"/>
                <w:sz w:val="22"/>
                <w:szCs w:val="22"/>
              </w:rPr>
              <w:t xml:space="preserve">Why This Credential Qualifies at Tier 3-4 (Senior CM Engineer / SME Level)</w:t>
            </w:r>
          </w:p>
        </w:tc>
      </w:tr>
      <w:tr>
        <w:tc>
          <w:tcPr>
            <w:tcW w:type="dxa" w:w="9360"/>
            <w:tcBorders>
              <w:top w:val="none" w:color="FFFFFF" w:sz="0"/>
              <w:left w:val="none" w:color="FFFFFF" w:sz="0"/>
              <w:bottom w:val="none" w:color="FFFFFF" w:sz="0"/>
              <w:right w:val="none" w:color="FFFFFF" w:sz="0"/>
            </w:tcBorders>
            <w:shd w:fill="D5E8F0" w:val="clear"/>
            <w:tcMar>
              <w:top w:type="dxa" w:w="80"/>
              <w:left w:type="dxa" w:w="200"/>
              <w:bottom w:type="dxa" w:w="80"/>
              <w:right w:type="dxa" w:w="200"/>
            </w:tcMar>
          </w:tcPr>
          <w:p>
            <w:pPr>
              <w:spacing w:after="40" w:before="40"/>
            </w:pPr>
            <w:r>
              <w:rPr>
                <w:rFonts w:ascii="Arial" w:cs="Arial" w:eastAsia="Arial" w:hAnsi="Arial"/>
                <w:color w:val="404040"/>
                <w:sz w:val="20"/>
                <w:szCs w:val="20"/>
              </w:rPr>
              <w:t xml:space="preserve">A Ph.D. in History whose dissertation examines nuclear weapons manufacturing and its economic and</w:t>
            </w:r>
          </w:p>
        </w:tc>
      </w:tr>
      <w:tr>
        <w:tc>
          <w:tcPr>
            <w:tcW w:type="dxa" w:w="9360"/>
            <w:tcBorders>
              <w:top w:val="none" w:color="FFFFFF" w:sz="0"/>
              <w:left w:val="none" w:color="FFFFFF" w:sz="0"/>
              <w:bottom w:val="none" w:color="FFFFFF" w:sz="0"/>
              <w:right w:val="none" w:color="FFFFFF" w:sz="0"/>
            </w:tcBorders>
            <w:shd w:fill="D5E8F0" w:val="clear"/>
            <w:tcMar>
              <w:top w:type="dxa" w:w="80"/>
              <w:left w:type="dxa" w:w="200"/>
              <w:bottom w:type="dxa" w:w="80"/>
              <w:right w:type="dxa" w:w="200"/>
            </w:tcMar>
          </w:tcPr>
          <w:p>
            <w:pPr>
              <w:spacing w:after="40" w:before="40"/>
            </w:pPr>
            <w:r>
              <w:rPr>
                <w:rFonts w:ascii="Arial" w:cs="Arial" w:eastAsia="Arial" w:hAnsi="Arial"/>
                <w:color w:val="404040"/>
                <w:sz w:val="20"/>
                <w:szCs w:val="20"/>
              </w:rPr>
              <w:t xml:space="preserve">environmental consequences is, in substance, a doctoral study of configuration management failure and success</w:t>
            </w:r>
          </w:p>
        </w:tc>
      </w:tr>
      <w:tr>
        <w:tc>
          <w:tcPr>
            <w:tcW w:type="dxa" w:w="9360"/>
            <w:tcBorders>
              <w:top w:val="none" w:color="FFFFFF" w:sz="0"/>
              <w:left w:val="none" w:color="FFFFFF" w:sz="0"/>
              <w:bottom w:val="none" w:color="FFFFFF" w:sz="0"/>
              <w:right w:val="none" w:color="FFFFFF" w:sz="0"/>
            </w:tcBorders>
            <w:shd w:fill="D5E8F0" w:val="clear"/>
            <w:tcMar>
              <w:top w:type="dxa" w:w="80"/>
              <w:left w:type="dxa" w:w="200"/>
              <w:bottom w:type="dxa" w:w="80"/>
              <w:right w:type="dxa" w:w="200"/>
            </w:tcMar>
          </w:tcPr>
          <w:p>
            <w:pPr>
              <w:spacing w:after="40" w:before="40"/>
            </w:pPr>
            <w:r>
              <w:rPr>
                <w:rFonts w:ascii="Arial" w:cs="Arial" w:eastAsia="Arial" w:hAnsi="Arial"/>
                <w:color w:val="404040"/>
                <w:sz w:val="20"/>
                <w:szCs w:val="20"/>
              </w:rPr>
              <w:t xml:space="preserve">at the highest-consequence scale in human industrial history. The qualification is not incidental — it is direct.</w:t>
            </w:r>
          </w:p>
        </w:tc>
      </w:tr>
    </w:tbl>
    <w:p>
      <w:pPr>
        <w:spacing w:after="0" w:before="100"/>
      </w:pPr>
    </w:p>
    <w:p>
      <w:pPr>
        <w:spacing w:after="100" w:before="80"/>
        <w:jc w:val="left"/>
      </w:pPr>
      <w:r>
        <w:rPr>
          <w:rFonts w:ascii="Arial" w:cs="Arial" w:eastAsia="Arial" w:hAnsi="Arial"/>
          <w:i w:val="false"/>
          <w:iCs w:val="false"/>
          <w:color w:val="404040"/>
          <w:sz w:val="22"/>
          <w:szCs w:val="22"/>
        </w:rPr>
        <w:t xml:space="preserve">The following analysis maps the specific competencies developed through this doctoral credential to the requirements of EIA-649-1. This is provided not as a general argument for humanities PhDs in CM roles, but as a specific, traceable case that the credential in question meets or exceeds the technical knowledge requirements of senior CM positions in a defense aerospace context.</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3120"/>
        <w:gridCol w:w="3720"/>
      </w:tblGrid>
      <w:tr>
        <w:trPr>
          <w:tblHeader/>
        </w:trPr>
        <w:tc>
          <w:tcPr>
            <w:tcW w:type="dxa" w:w="2520"/>
            <w:tcBorders>
              <w:top w:val="single" w:color="AAAAAA" w:sz="4"/>
              <w:left w:val="single" w:color="AAAAAA" w:sz="4"/>
              <w:bottom w:val="single" w:color="AAAAAA" w:sz="4"/>
              <w:right w:val="single" w:color="AAAAAA" w:sz="4"/>
            </w:tcBorders>
            <w:shd w:fill="1F3864" w:val="clear"/>
            <w:tcMar>
              <w:top w:type="dxa" w:w="100"/>
              <w:left w:type="dxa" w:w="120"/>
              <w:bottom w:type="dxa" w:w="100"/>
              <w:right w:type="dxa" w:w="120"/>
            </w:tcMar>
            <w:vAlign w:val="center"/>
          </w:tcPr>
          <w:p>
            <w:pPr>
              <w:spacing w:after="40" w:before="40"/>
              <w:jc w:val="center"/>
            </w:pPr>
            <w:r>
              <w:rPr>
                <w:rFonts w:ascii="Arial" w:cs="Arial" w:eastAsia="Arial" w:hAnsi="Arial"/>
                <w:b/>
                <w:bCs/>
                <w:color w:val="FFFFFF"/>
                <w:sz w:val="20"/>
                <w:szCs w:val="20"/>
              </w:rPr>
              <w:t xml:space="preserve">Doctoral Competency Developed</w:t>
            </w:r>
          </w:p>
        </w:tc>
        <w:tc>
          <w:tcPr>
            <w:tcW w:type="dxa" w:w="3120"/>
            <w:tcBorders>
              <w:top w:val="single" w:color="AAAAAA" w:sz="4"/>
              <w:left w:val="single" w:color="AAAAAA" w:sz="4"/>
              <w:bottom w:val="single" w:color="AAAAAA" w:sz="4"/>
              <w:right w:val="single" w:color="AAAAAA" w:sz="4"/>
            </w:tcBorders>
            <w:shd w:fill="1F3864" w:val="clear"/>
            <w:tcMar>
              <w:top w:type="dxa" w:w="100"/>
              <w:left w:type="dxa" w:w="120"/>
              <w:bottom w:type="dxa" w:w="100"/>
              <w:right w:type="dxa" w:w="120"/>
            </w:tcMar>
            <w:vAlign w:val="center"/>
          </w:tcPr>
          <w:p>
            <w:pPr>
              <w:spacing w:after="40" w:before="40"/>
              <w:jc w:val="center"/>
            </w:pPr>
            <w:r>
              <w:rPr>
                <w:rFonts w:ascii="Arial" w:cs="Arial" w:eastAsia="Arial" w:hAnsi="Arial"/>
                <w:b/>
                <w:bCs/>
                <w:color w:val="FFFFFF"/>
                <w:sz w:val="20"/>
                <w:szCs w:val="20"/>
              </w:rPr>
              <w:t xml:space="preserve">How It Was Developed</w:t>
            </w:r>
          </w:p>
        </w:tc>
        <w:tc>
          <w:tcPr>
            <w:tcW w:type="dxa" w:w="3720"/>
            <w:tcBorders>
              <w:top w:val="single" w:color="AAAAAA" w:sz="4"/>
              <w:left w:val="single" w:color="AAAAAA" w:sz="4"/>
              <w:bottom w:val="single" w:color="AAAAAA" w:sz="4"/>
              <w:right w:val="single" w:color="AAAAAA" w:sz="4"/>
            </w:tcBorders>
            <w:shd w:fill="1F3864" w:val="clear"/>
            <w:tcMar>
              <w:top w:type="dxa" w:w="100"/>
              <w:left w:type="dxa" w:w="120"/>
              <w:bottom w:type="dxa" w:w="100"/>
              <w:right w:type="dxa" w:w="120"/>
            </w:tcMar>
            <w:vAlign w:val="center"/>
          </w:tcPr>
          <w:p>
            <w:pPr>
              <w:spacing w:after="40" w:before="40"/>
              <w:jc w:val="center"/>
            </w:pPr>
            <w:r>
              <w:rPr>
                <w:rFonts w:ascii="Arial" w:cs="Arial" w:eastAsia="Arial" w:hAnsi="Arial"/>
                <w:b/>
                <w:bCs/>
                <w:color w:val="FFFFFF"/>
                <w:sz w:val="20"/>
                <w:szCs w:val="20"/>
              </w:rPr>
              <w:t xml:space="preserve">EIA-649-1 Relevance</w:t>
            </w:r>
          </w:p>
        </w:tc>
      </w:tr>
      <w:tr>
        <w:tc>
          <w:tcPr>
            <w:tcW w:type="dxa" w:w="252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vAlign w:val="top"/>
          </w:tcPr>
          <w:p>
            <w:pPr>
              <w:spacing w:after="40" w:before="40"/>
            </w:pPr>
            <w:r>
              <w:rPr>
                <w:rFonts w:ascii="Arial" w:cs="Arial" w:eastAsia="Arial" w:hAnsi="Arial"/>
                <w:b/>
                <w:bCs/>
                <w:color w:val="1F3864"/>
                <w:sz w:val="19"/>
                <w:szCs w:val="19"/>
              </w:rPr>
              <w:t xml:space="preserve">Manufacturing Process Knowledge</w:t>
            </w:r>
          </w:p>
        </w:tc>
        <w:tc>
          <w:tcPr>
            <w:tcW w:type="dxa" w:w="312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9"/>
                <w:szCs w:val="19"/>
              </w:rPr>
              <w:t xml:space="preserve">Dissertation research on nuclear weapons production at facilities such as Y-12, Pantex, Rocky Flats, Hanford, and Savannah River requires intimate familiarity with the manufacturing methods, tolerances, materials, and production processes used to fabricate safety-critical defense components.</w:t>
            </w:r>
          </w:p>
        </w:tc>
        <w:tc>
          <w:tcPr>
            <w:tcW w:type="dxa" w:w="372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9"/>
                <w:szCs w:val="19"/>
              </w:rPr>
              <w:t xml:space="preserve">Directly applicable to CI selection criteria (§3.2.1), PBL documentation of form/fit/function (§3.2.2.2.2), and PCA examination of manufacturing instruction sheets (§3.5.3.2(2)a).</w:t>
            </w:r>
          </w:p>
        </w:tc>
      </w:tr>
      <w:tr>
        <w:tc>
          <w:tcPr>
            <w:tcW w:type="dxa" w:w="25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1F3864"/>
                <w:sz w:val="19"/>
                <w:szCs w:val="19"/>
              </w:rPr>
              <w:t xml:space="preserve">Safety-Critical Item Consequence Awareness</w:t>
            </w:r>
          </w:p>
        </w:tc>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9"/>
                <w:szCs w:val="19"/>
              </w:rPr>
              <w:t xml:space="preserve">Studying the environmental and economic consequences of nuclear manufacturing is, at its core, studying what happens when safety-critical items are produced without adequate configuration control: unauthorized material substitutions, undocumented process changes, uncontrolled variances. This is CM failure, documented at scale.</w:t>
            </w:r>
          </w:p>
        </w:tc>
        <w:tc>
          <w:tcPr>
            <w:tcW w:type="dxa" w:w="37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9"/>
                <w:szCs w:val="19"/>
              </w:rPr>
              <w:t xml:space="preserve">Provides authoritative grounding for CI safety/criticality assessment (§3.2.1(2)b), variance consequence evaluation (§3.3.2), and the audit imperative underlying §3.5 CVA principles. This practitioner understands viscerally why CM matters.</w:t>
            </w:r>
          </w:p>
        </w:tc>
      </w:tr>
      <w:tr>
        <w:tc>
          <w:tcPr>
            <w:tcW w:type="dxa" w:w="252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vAlign w:val="top"/>
          </w:tcPr>
          <w:p>
            <w:pPr>
              <w:spacing w:after="40" w:before="40"/>
            </w:pPr>
            <w:r>
              <w:rPr>
                <w:rFonts w:ascii="Arial" w:cs="Arial" w:eastAsia="Arial" w:hAnsi="Arial"/>
                <w:b/>
                <w:bCs/>
                <w:color w:val="1F3864"/>
                <w:sz w:val="19"/>
                <w:szCs w:val="19"/>
              </w:rPr>
              <w:t xml:space="preserve">Government Technical Documentation Literacy</w:t>
            </w:r>
          </w:p>
        </w:tc>
        <w:tc>
          <w:tcPr>
            <w:tcW w:type="dxa" w:w="312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9"/>
                <w:szCs w:val="19"/>
              </w:rPr>
              <w:t xml:space="preserve">Doctoral research on classified and unclassified nuclear production programs requires mastery of government technical records: DOE specifications, AEC/DOD production contracts, engineering change orders, material certifications, quality assurance records, and procurement documentation — the precise document types that CM manages.</w:t>
            </w:r>
          </w:p>
        </w:tc>
        <w:tc>
          <w:tcPr>
            <w:tcW w:type="dxa" w:w="372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9"/>
                <w:szCs w:val="19"/>
              </w:rPr>
              <w:t xml:space="preserve">Directly supports all five CM functions. This practitioner arrives with more government documentation literacy than most B.S. engineering graduates who have not yet worked in a defense context.</w:t>
            </w:r>
          </w:p>
        </w:tc>
      </w:tr>
      <w:tr>
        <w:tc>
          <w:tcPr>
            <w:tcW w:type="dxa" w:w="25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1F3864"/>
                <w:sz w:val="19"/>
                <w:szCs w:val="19"/>
              </w:rPr>
              <w:t xml:space="preserve">Regulatory and Compliance Framework Mastery</w:t>
            </w:r>
          </w:p>
        </w:tc>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9"/>
                <w:szCs w:val="19"/>
              </w:rPr>
              <w:t xml:space="preserve">Environmental consequences research requires engagement with NEPA, CERCLA, DOE Orders, NRC regulations, OSHA requirements, and DoD environmental policy. This regulatory literacy extends directly into the compliance framework within which defense CM operates.</w:t>
            </w:r>
          </w:p>
        </w:tc>
        <w:tc>
          <w:tcPr>
            <w:tcW w:type="dxa" w:w="37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9"/>
                <w:szCs w:val="19"/>
              </w:rPr>
              <w:t xml:space="preserve">Applicable to CM Planning (§3.1) regulatory compliance planning, data releasability/disclosure requirements (§3.1.4), and the security/classification aspects of product configuration information management.</w:t>
            </w:r>
          </w:p>
        </w:tc>
      </w:tr>
      <w:tr>
        <w:tc>
          <w:tcPr>
            <w:tcW w:type="dxa" w:w="252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vAlign w:val="top"/>
          </w:tcPr>
          <w:p>
            <w:pPr>
              <w:spacing w:after="40" w:before="40"/>
            </w:pPr>
            <w:r>
              <w:rPr>
                <w:rFonts w:ascii="Arial" w:cs="Arial" w:eastAsia="Arial" w:hAnsi="Arial"/>
                <w:b/>
                <w:bCs/>
                <w:color w:val="1F3864"/>
                <w:sz w:val="19"/>
                <w:szCs w:val="19"/>
              </w:rPr>
              <w:t xml:space="preserve">Doctoral Research Methodology</w:t>
            </w:r>
          </w:p>
        </w:tc>
        <w:tc>
          <w:tcPr>
            <w:tcW w:type="dxa" w:w="312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9"/>
                <w:szCs w:val="19"/>
              </w:rPr>
              <w:t xml:space="preserve">A Ph.D. requires source evaluation, synthesis of contradictory evidence, argumentation under uncertainty, and production of defensible conclusions — skills that are directly transferable to CM analysis tasks.</w:t>
            </w:r>
          </w:p>
        </w:tc>
        <w:tc>
          <w:tcPr>
            <w:tcW w:type="dxa" w:w="372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9"/>
                <w:szCs w:val="19"/>
              </w:rPr>
              <w:t xml:space="preserve">Directly applicable to ECP impact assessment (§3.3.1.4), CSA trend analysis (§3.4.2), requirements traceability matrix construction (§3.5.2.1(1)c), and audit discrepancy resolution (§3.5.1(1)j).</w:t>
            </w:r>
          </w:p>
        </w:tc>
      </w:tr>
      <w:tr>
        <w:tc>
          <w:tcPr>
            <w:tcW w:type="dxa" w:w="25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1F3864"/>
                <w:sz w:val="19"/>
                <w:szCs w:val="19"/>
              </w:rPr>
              <w:t xml:space="preserve">Industrial / Systems History and Change Documentation</w:t>
            </w:r>
          </w:p>
        </w:tc>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9"/>
                <w:szCs w:val="19"/>
              </w:rPr>
              <w:t xml:space="preserve">Understanding how complex weapons systems were designed, modified, re-engineered, and produced across decades — and how those changes were or were not documented — is applied configuration management history. The practitioner has studied CM baselines, change management, and as-built records as historical artifacts.</w:t>
            </w:r>
          </w:p>
        </w:tc>
        <w:tc>
          <w:tcPr>
            <w:tcW w:type="dxa" w:w="37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9"/>
                <w:szCs w:val="19"/>
              </w:rPr>
              <w:t xml:space="preserve">Provides unique depth in baseline management (§3.2.2), engineering change history (§3.3), and CSA traceability (§3.4). The practitioner understands the lifecycle of a weapons system configuration in ways that classroom engineering training rarely develops.</w:t>
            </w:r>
          </w:p>
        </w:tc>
      </w:tr>
    </w:tbl>
    <w:p>
      <w:pPr>
        <w:spacing w:after="0" w:before="100"/>
      </w:pPr>
    </w:p>
    <w:tbl>
      <w:tblPr>
        <w:tblW w:type="dxa" w:w="9360"/>
        <w:tblBorders>
          <w:top w:val="single" w:color="2E5F8A" w:sz="8"/>
          <w:left w:val="single" w:color="2E5F8A" w:sz="8"/>
          <w:bottom w:val="single" w:color="2E5F8A" w:sz="8"/>
          <w:right w:val="single" w:color="2E5F8A" w:sz="8"/>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BDD7EE" w:val="clear"/>
            <w:tcMar>
              <w:top w:type="dxa" w:w="100"/>
              <w:left w:type="dxa" w:w="200"/>
              <w:bottom w:type="dxa" w:w="100"/>
              <w:right w:type="dxa" w:w="200"/>
            </w:tcMar>
          </w:tcPr>
          <w:p>
            <w:pPr>
              <w:spacing w:after="40" w:before="40"/>
            </w:pPr>
            <w:r>
              <w:rPr>
                <w:rFonts w:ascii="Arial" w:cs="Arial" w:eastAsia="Arial" w:hAnsi="Arial"/>
                <w:b/>
                <w:bCs/>
                <w:color w:val="1F3864"/>
                <w:sz w:val="22"/>
                <w:szCs w:val="22"/>
              </w:rPr>
              <w:t xml:space="preserve">Formal Determination: Ph.D. in History / Nuclear Weapons Manufacturing</w:t>
            </w:r>
          </w:p>
        </w:tc>
      </w:tr>
      <w:tr>
        <w:tc>
          <w:tcPr>
            <w:tcW w:type="dxa" w:w="9360"/>
            <w:tcBorders>
              <w:top w:val="none" w:color="FFFFFF" w:sz="0"/>
              <w:left w:val="none" w:color="FFFFFF" w:sz="0"/>
              <w:bottom w:val="none" w:color="FFFFFF" w:sz="0"/>
              <w:right w:val="none" w:color="FFFFFF" w:sz="0"/>
            </w:tcBorders>
            <w:shd w:fill="D5E8F0" w:val="clear"/>
            <w:tcMar>
              <w:top w:type="dxa" w:w="80"/>
              <w:left w:type="dxa" w:w="200"/>
              <w:bottom w:type="dxa" w:w="80"/>
              <w:right w:type="dxa" w:w="200"/>
            </w:tcMar>
          </w:tcPr>
          <w:p>
            <w:pPr>
              <w:spacing w:after="40" w:before="40"/>
            </w:pPr>
            <w:r>
              <w:rPr>
                <w:rFonts w:ascii="Arial" w:cs="Arial" w:eastAsia="Arial" w:hAnsi="Arial"/>
                <w:color w:val="404040"/>
                <w:sz w:val="20"/>
                <w:szCs w:val="20"/>
              </w:rPr>
              <w:t xml:space="preserve">GATE 1 — DOMAIN PROXIMITY: PASSES. The dissertation subject matter is directly, substantively, and profoundly</w:t>
            </w:r>
          </w:p>
        </w:tc>
      </w:tr>
      <w:tr>
        <w:tc>
          <w:tcPr>
            <w:tcW w:type="dxa" w:w="9360"/>
            <w:tcBorders>
              <w:top w:val="none" w:color="FFFFFF" w:sz="0"/>
              <w:left w:val="none" w:color="FFFFFF" w:sz="0"/>
              <w:bottom w:val="none" w:color="FFFFFF" w:sz="0"/>
              <w:right w:val="none" w:color="FFFFFF" w:sz="0"/>
            </w:tcBorders>
            <w:shd w:fill="D5E8F0" w:val="clear"/>
            <w:tcMar>
              <w:top w:type="dxa" w:w="80"/>
              <w:left w:type="dxa" w:w="200"/>
              <w:bottom w:type="dxa" w:w="80"/>
              <w:right w:type="dxa" w:w="200"/>
            </w:tcMar>
          </w:tcPr>
          <w:p>
            <w:pPr>
              <w:spacing w:after="40" w:before="40"/>
            </w:pPr>
            <w:r>
              <w:rPr>
                <w:rFonts w:ascii="Arial" w:cs="Arial" w:eastAsia="Arial" w:hAnsi="Arial"/>
                <w:color w:val="404040"/>
                <w:sz w:val="20"/>
                <w:szCs w:val="20"/>
              </w:rPr>
              <w:t xml:space="preserve">proximate to the technical content of defense CM. Nuclear weapons manufacturing is among the most</w:t>
            </w:r>
          </w:p>
        </w:tc>
      </w:tr>
      <w:tr>
        <w:tc>
          <w:tcPr>
            <w:tcW w:type="dxa" w:w="9360"/>
            <w:tcBorders>
              <w:top w:val="none" w:color="FFFFFF" w:sz="0"/>
              <w:left w:val="none" w:color="FFFFFF" w:sz="0"/>
              <w:bottom w:val="none" w:color="FFFFFF" w:sz="0"/>
              <w:right w:val="none" w:color="FFFFFF" w:sz="0"/>
            </w:tcBorders>
            <w:shd w:fill="D5E8F0" w:val="clear"/>
            <w:tcMar>
              <w:top w:type="dxa" w:w="80"/>
              <w:left w:type="dxa" w:w="200"/>
              <w:bottom w:type="dxa" w:w="80"/>
              <w:right w:type="dxa" w:w="200"/>
            </w:tcMar>
          </w:tcPr>
          <w:p>
            <w:pPr>
              <w:spacing w:after="40" w:before="40"/>
            </w:pPr>
            <w:r>
              <w:rPr>
                <w:rFonts w:ascii="Arial" w:cs="Arial" w:eastAsia="Arial" w:hAnsi="Arial"/>
                <w:color w:val="404040"/>
                <w:sz w:val="20"/>
                <w:szCs w:val="20"/>
              </w:rPr>
              <w:t xml:space="preserve">CM-intensive activities in defense history. The candidate has studied it at doctoral depth.</w:t>
            </w:r>
          </w:p>
        </w:tc>
      </w:tr>
      <w:tr>
        <w:tc>
          <w:tcPr>
            <w:tcW w:type="dxa" w:w="9360"/>
            <w:tcBorders>
              <w:top w:val="none" w:color="FFFFFF" w:sz="0"/>
              <w:left w:val="none" w:color="FFFFFF" w:sz="0"/>
              <w:bottom w:val="none" w:color="FFFFFF" w:sz="0"/>
              <w:right w:val="none" w:color="FFFFFF" w:sz="0"/>
            </w:tcBorders>
            <w:shd w:fill="D5E8F0" w:val="clear"/>
            <w:tcMar>
              <w:top w:type="dxa" w:w="80"/>
              <w:left w:type="dxa" w:w="200"/>
              <w:bottom w:type="dxa" w:w="80"/>
              <w:right w:type="dxa" w:w="200"/>
            </w:tcMar>
          </w:tcPr>
          <w:p>
            <w:pPr>
              <w:spacing w:after="40" w:before="40"/>
            </w:pPr>
            <w:r>
              <w:rPr>
                <w:rFonts w:ascii="Arial" w:cs="Arial" w:eastAsia="Arial" w:hAnsi="Arial"/>
                <w:color w:val="404040"/>
                <w:sz w:val="20"/>
                <w:szCs w:val="20"/>
              </w:rPr>
              <w:t xml:space="preserve"/>
            </w:r>
          </w:p>
        </w:tc>
      </w:tr>
      <w:tr>
        <w:tc>
          <w:tcPr>
            <w:tcW w:type="dxa" w:w="9360"/>
            <w:tcBorders>
              <w:top w:val="none" w:color="FFFFFF" w:sz="0"/>
              <w:left w:val="none" w:color="FFFFFF" w:sz="0"/>
              <w:bottom w:val="none" w:color="FFFFFF" w:sz="0"/>
              <w:right w:val="none" w:color="FFFFFF" w:sz="0"/>
            </w:tcBorders>
            <w:shd w:fill="D5E8F0" w:val="clear"/>
            <w:tcMar>
              <w:top w:type="dxa" w:w="80"/>
              <w:left w:type="dxa" w:w="200"/>
              <w:bottom w:type="dxa" w:w="80"/>
              <w:right w:type="dxa" w:w="200"/>
            </w:tcMar>
          </w:tcPr>
          <w:p>
            <w:pPr>
              <w:spacing w:after="40" w:before="40"/>
            </w:pPr>
            <w:r>
              <w:rPr>
                <w:rFonts w:ascii="Arial" w:cs="Arial" w:eastAsia="Arial" w:hAnsi="Arial"/>
                <w:color w:val="404040"/>
                <w:sz w:val="20"/>
                <w:szCs w:val="20"/>
              </w:rPr>
              <w:t xml:space="preserve">GATE 2 — COMPETENCY DEMONSTRATION: Subject to assessment, but the documented competency profile</w:t>
            </w:r>
          </w:p>
        </w:tc>
      </w:tr>
      <w:tr>
        <w:tc>
          <w:tcPr>
            <w:tcW w:type="dxa" w:w="9360"/>
            <w:tcBorders>
              <w:top w:val="none" w:color="FFFFFF" w:sz="0"/>
              <w:left w:val="none" w:color="FFFFFF" w:sz="0"/>
              <w:bottom w:val="none" w:color="FFFFFF" w:sz="0"/>
              <w:right w:val="none" w:color="FFFFFF" w:sz="0"/>
            </w:tcBorders>
            <w:shd w:fill="D5E8F0" w:val="clear"/>
            <w:tcMar>
              <w:top w:type="dxa" w:w="80"/>
              <w:left w:type="dxa" w:w="200"/>
              <w:bottom w:type="dxa" w:w="80"/>
              <w:right w:type="dxa" w:w="200"/>
            </w:tcMar>
          </w:tcPr>
          <w:p>
            <w:pPr>
              <w:spacing w:after="40" w:before="40"/>
            </w:pPr>
            <w:r>
              <w:rPr>
                <w:rFonts w:ascii="Arial" w:cs="Arial" w:eastAsia="Arial" w:hAnsi="Arial"/>
                <w:color w:val="404040"/>
                <w:sz w:val="20"/>
                <w:szCs w:val="20"/>
              </w:rPr>
              <w:t xml:space="preserve">above indicates high probability of passing. Demonstrated performance as the company's most valuable</w:t>
            </w:r>
          </w:p>
        </w:tc>
      </w:tr>
      <w:tr>
        <w:tc>
          <w:tcPr>
            <w:tcW w:type="dxa" w:w="9360"/>
            <w:tcBorders>
              <w:top w:val="none" w:color="FFFFFF" w:sz="0"/>
              <w:left w:val="none" w:color="FFFFFF" w:sz="0"/>
              <w:bottom w:val="none" w:color="FFFFFF" w:sz="0"/>
              <w:right w:val="none" w:color="FFFFFF" w:sz="0"/>
            </w:tcBorders>
            <w:shd w:fill="D5E8F0" w:val="clear"/>
            <w:tcMar>
              <w:top w:type="dxa" w:w="80"/>
              <w:left w:type="dxa" w:w="200"/>
              <w:bottom w:type="dxa" w:w="80"/>
              <w:right w:type="dxa" w:w="200"/>
            </w:tcMar>
          </w:tcPr>
          <w:p>
            <w:pPr>
              <w:spacing w:after="40" w:before="40"/>
            </w:pPr>
            <w:r>
              <w:rPr>
                <w:rFonts w:ascii="Arial" w:cs="Arial" w:eastAsia="Arial" w:hAnsi="Arial"/>
                <w:color w:val="404040"/>
                <w:sz w:val="20"/>
                <w:szCs w:val="20"/>
              </w:rPr>
              <w:t xml:space="preserve">CM SME constitutes strong evidence that Gate 2 has been satisfied in practice.</w:t>
            </w:r>
          </w:p>
        </w:tc>
      </w:tr>
      <w:tr>
        <w:tc>
          <w:tcPr>
            <w:tcW w:type="dxa" w:w="9360"/>
            <w:tcBorders>
              <w:top w:val="none" w:color="FFFFFF" w:sz="0"/>
              <w:left w:val="none" w:color="FFFFFF" w:sz="0"/>
              <w:bottom w:val="none" w:color="FFFFFF" w:sz="0"/>
              <w:right w:val="none" w:color="FFFFFF" w:sz="0"/>
            </w:tcBorders>
            <w:shd w:fill="D5E8F0" w:val="clear"/>
            <w:tcMar>
              <w:top w:type="dxa" w:w="80"/>
              <w:left w:type="dxa" w:w="200"/>
              <w:bottom w:type="dxa" w:w="80"/>
              <w:right w:type="dxa" w:w="200"/>
            </w:tcMar>
          </w:tcPr>
          <w:p>
            <w:pPr>
              <w:spacing w:after="40" w:before="40"/>
            </w:pPr>
            <w:r>
              <w:rPr>
                <w:rFonts w:ascii="Arial" w:cs="Arial" w:eastAsia="Arial" w:hAnsi="Arial"/>
                <w:color w:val="404040"/>
                <w:sz w:val="20"/>
                <w:szCs w:val="20"/>
              </w:rPr>
              <w:t xml:space="preserve"/>
            </w:r>
          </w:p>
        </w:tc>
      </w:tr>
      <w:tr>
        <w:tc>
          <w:tcPr>
            <w:tcW w:type="dxa" w:w="9360"/>
            <w:tcBorders>
              <w:top w:val="none" w:color="FFFFFF" w:sz="0"/>
              <w:left w:val="none" w:color="FFFFFF" w:sz="0"/>
              <w:bottom w:val="none" w:color="FFFFFF" w:sz="0"/>
              <w:right w:val="none" w:color="FFFFFF" w:sz="0"/>
            </w:tcBorders>
            <w:shd w:fill="D5E8F0" w:val="clear"/>
            <w:tcMar>
              <w:top w:type="dxa" w:w="80"/>
              <w:left w:type="dxa" w:w="200"/>
              <w:bottom w:type="dxa" w:w="80"/>
              <w:right w:type="dxa" w:w="200"/>
            </w:tcMar>
          </w:tcPr>
          <w:p>
            <w:pPr>
              <w:spacing w:after="40" w:before="40"/>
            </w:pPr>
            <w:r>
              <w:rPr>
                <w:rFonts w:ascii="Arial" w:cs="Arial" w:eastAsia="Arial" w:hAnsi="Arial"/>
                <w:color w:val="404040"/>
                <w:sz w:val="20"/>
                <w:szCs w:val="20"/>
              </w:rPr>
              <w:t xml:space="preserve">DETERMINATION: Qualified for Tier 3 CM Engineer / Tier 4 Senior CM Engineer-SME roles.</w:t>
            </w:r>
          </w:p>
        </w:tc>
      </w:tr>
      <w:tr>
        <w:tc>
          <w:tcPr>
            <w:tcW w:type="dxa" w:w="9360"/>
            <w:tcBorders>
              <w:top w:val="none" w:color="FFFFFF" w:sz="0"/>
              <w:left w:val="none" w:color="FFFFFF" w:sz="0"/>
              <w:bottom w:val="none" w:color="FFFFFF" w:sz="0"/>
              <w:right w:val="none" w:color="FFFFFF" w:sz="0"/>
            </w:tcBorders>
            <w:shd w:fill="D5E8F0" w:val="clear"/>
            <w:tcMar>
              <w:top w:type="dxa" w:w="80"/>
              <w:left w:type="dxa" w:w="200"/>
              <w:bottom w:type="dxa" w:w="80"/>
              <w:right w:type="dxa" w:w="200"/>
            </w:tcMar>
          </w:tcPr>
          <w:p>
            <w:pPr>
              <w:spacing w:after="40" w:before="40"/>
            </w:pPr>
            <w:r>
              <w:rPr>
                <w:rFonts w:ascii="Arial" w:cs="Arial" w:eastAsia="Arial" w:hAnsi="Arial"/>
                <w:color w:val="404040"/>
                <w:sz w:val="20"/>
                <w:szCs w:val="20"/>
              </w:rPr>
              <w:t xml:space="preserve">This credential, combined with demonstrated CM performance, is not a compromise — it is a strength.</w:t>
            </w:r>
          </w:p>
        </w:tc>
      </w:tr>
    </w:tbl>
    <w:p>
      <w:pPr>
        <w:spacing w:after="0" w:before="120"/>
      </w:pPr>
    </w:p>
    <w:p>
      <w:pPr>
        <w:pStyle w:val="Heading3"/>
        <w:pBdr>
          <w:bottom w:val="single" w:color="2E5F8A" w:sz="6"/>
        </w:pBdr>
        <w:spacing w:after="80" w:before="160"/>
      </w:pPr>
      <w:r>
        <w:rPr>
          <w:rFonts w:ascii="Arial" w:cs="Arial" w:eastAsia="Arial" w:hAnsi="Arial"/>
          <w:b/>
          <w:bCs/>
          <w:color w:val="1F3864"/>
          <w:sz w:val="24"/>
          <w:szCs w:val="24"/>
        </w:rPr>
        <w:t xml:space="preserve">A Note on the Value of Non-Engineering Analytical Frameworks in CM</w:t>
      </w:r>
    </w:p>
    <w:p>
      <w:pPr>
        <w:spacing w:after="100" w:before="80"/>
        <w:jc w:val="left"/>
      </w:pPr>
      <w:r>
        <w:rPr>
          <w:rFonts w:ascii="Arial" w:cs="Arial" w:eastAsia="Arial" w:hAnsi="Arial"/>
          <w:i w:val="false"/>
          <w:iCs w:val="false"/>
          <w:color w:val="404040"/>
          <w:sz w:val="22"/>
          <w:szCs w:val="22"/>
        </w:rPr>
        <w:t xml:space="preserve">Defense CM practice tends to be technically strong and analytically thin. Engineers understand what a product does; they are less trained in the systematic analysis of why documentation systems succeed or fail, how organizational and institutional factors shape CM compliance, or how the consequences of configuration decisions propagate through decades of a system's lifecycle. A historian of technology — particularly one who has studied the consequences of manufacturing and documentation practices at the scale of nuclear weapons production — brings an analytical perspective that is genuinely rare in the CM profession and genuinely valuable to a defense aerospace company. The absence of this perspective in most CM organizations is a gap, not a feature.</w:t>
      </w:r>
    </w:p>
    <w:p>
      <w:r>
        <w:br w:type="page"/>
      </w:r>
    </w:p>
    <w:p>
      <w:pPr>
        <w:pStyle w:val="Heading2"/>
        <w:shd w:fill="2E5F8A" w:val="clear"/>
        <w:spacing w:after="80" w:before="200"/>
        <w:ind w:left="120"/>
      </w:pPr>
      <w:r>
        <w:rPr>
          <w:rFonts w:ascii="Arial" w:cs="Arial" w:eastAsia="Arial" w:hAnsi="Arial"/>
          <w:b/>
          <w:bCs/>
          <w:color w:val="FFFFFF"/>
          <w:sz w:val="28"/>
          <w:szCs w:val="28"/>
        </w:rPr>
        <w:t xml:space="preserve">Industry Peer Comparison: How Other Defense Aerospace Companies Staff CM</w:t>
      </w:r>
    </w:p>
    <w:p>
      <w:pPr>
        <w:spacing w:after="0" w:before="60"/>
      </w:pPr>
    </w:p>
    <w:p>
      <w:pPr>
        <w:spacing w:after="100" w:before="80"/>
        <w:jc w:val="left"/>
      </w:pPr>
      <w:r>
        <w:rPr>
          <w:rFonts w:ascii="Arial" w:cs="Arial" w:eastAsia="Arial" w:hAnsi="Arial"/>
          <w:i w:val="false"/>
          <w:iCs w:val="false"/>
          <w:color w:val="404040"/>
          <w:sz w:val="22"/>
          <w:szCs w:val="22"/>
        </w:rPr>
        <w:t xml:space="preserve">The qualification model recommended in this document is not aspirational — it is the baseline already applied by the company's major industry peers. The following comparison is drawn from publicly posted position descriptions for Configuration Management roles at leading defense aerospace contractors. Position titles and basic qualifications are quoted directly from publicly available job listings.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rPr>
          <w:tblHeader/>
        </w:trPr>
        <w:tc>
          <w:tcPr>
            <w:tcW w:type="dxa" w:w="1800"/>
            <w:tcBorders>
              <w:top w:val="single" w:color="AAAAAA" w:sz="4"/>
              <w:left w:val="single" w:color="AAAAAA" w:sz="4"/>
              <w:bottom w:val="single" w:color="AAAAAA" w:sz="4"/>
              <w:right w:val="single" w:color="AAAAAA" w:sz="4"/>
            </w:tcBorders>
            <w:shd w:fill="1F3864" w:val="clear"/>
            <w:tcMar>
              <w:top w:type="dxa" w:w="100"/>
              <w:left w:type="dxa" w:w="120"/>
              <w:bottom w:type="dxa" w:w="100"/>
              <w:right w:type="dxa" w:w="120"/>
            </w:tcMar>
            <w:vAlign w:val="center"/>
          </w:tcPr>
          <w:p>
            <w:pPr>
              <w:spacing w:after="40" w:before="40"/>
              <w:jc w:val="center"/>
            </w:pPr>
            <w:r>
              <w:rPr>
                <w:rFonts w:ascii="Arial" w:cs="Arial" w:eastAsia="Arial" w:hAnsi="Arial"/>
                <w:b/>
                <w:bCs/>
                <w:color w:val="FFFFFF"/>
                <w:sz w:val="20"/>
                <w:szCs w:val="20"/>
              </w:rPr>
              <w:t xml:space="preserve">Company</w:t>
            </w:r>
          </w:p>
        </w:tc>
        <w:tc>
          <w:tcPr>
            <w:tcW w:type="dxa" w:w="2520"/>
            <w:tcBorders>
              <w:top w:val="single" w:color="AAAAAA" w:sz="4"/>
              <w:left w:val="single" w:color="AAAAAA" w:sz="4"/>
              <w:bottom w:val="single" w:color="AAAAAA" w:sz="4"/>
              <w:right w:val="single" w:color="AAAAAA" w:sz="4"/>
            </w:tcBorders>
            <w:shd w:fill="1F3864" w:val="clear"/>
            <w:tcMar>
              <w:top w:type="dxa" w:w="100"/>
              <w:left w:type="dxa" w:w="120"/>
              <w:bottom w:type="dxa" w:w="100"/>
              <w:right w:type="dxa" w:w="120"/>
            </w:tcMar>
            <w:vAlign w:val="center"/>
          </w:tcPr>
          <w:p>
            <w:pPr>
              <w:spacing w:after="40" w:before="40"/>
              <w:jc w:val="center"/>
            </w:pPr>
            <w:r>
              <w:rPr>
                <w:rFonts w:ascii="Arial" w:cs="Arial" w:eastAsia="Arial" w:hAnsi="Arial"/>
                <w:b/>
                <w:bCs/>
                <w:color w:val="FFFFFF"/>
                <w:sz w:val="20"/>
                <w:szCs w:val="20"/>
              </w:rPr>
              <w:t xml:space="preserve">Position Title</w:t>
            </w:r>
          </w:p>
        </w:tc>
        <w:tc>
          <w:tcPr>
            <w:tcW w:type="dxa" w:w="2520"/>
            <w:tcBorders>
              <w:top w:val="single" w:color="AAAAAA" w:sz="4"/>
              <w:left w:val="single" w:color="AAAAAA" w:sz="4"/>
              <w:bottom w:val="single" w:color="AAAAAA" w:sz="4"/>
              <w:right w:val="single" w:color="AAAAAA" w:sz="4"/>
            </w:tcBorders>
            <w:shd w:fill="1F3864" w:val="clear"/>
            <w:tcMar>
              <w:top w:type="dxa" w:w="100"/>
              <w:left w:type="dxa" w:w="120"/>
              <w:bottom w:type="dxa" w:w="100"/>
              <w:right w:type="dxa" w:w="120"/>
            </w:tcMar>
            <w:vAlign w:val="center"/>
          </w:tcPr>
          <w:p>
            <w:pPr>
              <w:spacing w:after="40" w:before="40"/>
              <w:jc w:val="center"/>
            </w:pPr>
            <w:r>
              <w:rPr>
                <w:rFonts w:ascii="Arial" w:cs="Arial" w:eastAsia="Arial" w:hAnsi="Arial"/>
                <w:b/>
                <w:bCs/>
                <w:color w:val="FFFFFF"/>
                <w:sz w:val="20"/>
                <w:szCs w:val="20"/>
              </w:rPr>
              <w:t xml:space="preserve">Minimum Qualification</w:t>
            </w:r>
          </w:p>
        </w:tc>
        <w:tc>
          <w:tcPr>
            <w:tcW w:type="dxa" w:w="2520"/>
            <w:tcBorders>
              <w:top w:val="single" w:color="AAAAAA" w:sz="4"/>
              <w:left w:val="single" w:color="AAAAAA" w:sz="4"/>
              <w:bottom w:val="single" w:color="AAAAAA" w:sz="4"/>
              <w:right w:val="single" w:color="AAAAAA" w:sz="4"/>
            </w:tcBorders>
            <w:shd w:fill="1F3864" w:val="clear"/>
            <w:tcMar>
              <w:top w:type="dxa" w:w="100"/>
              <w:left w:type="dxa" w:w="120"/>
              <w:bottom w:type="dxa" w:w="100"/>
              <w:right w:type="dxa" w:w="120"/>
            </w:tcMar>
            <w:vAlign w:val="center"/>
          </w:tcPr>
          <w:p>
            <w:pPr>
              <w:spacing w:after="40" w:before="40"/>
              <w:jc w:val="center"/>
            </w:pPr>
            <w:r>
              <w:rPr>
                <w:rFonts w:ascii="Arial" w:cs="Arial" w:eastAsia="Arial" w:hAnsi="Arial"/>
                <w:b/>
                <w:bCs/>
                <w:color w:val="FFFFFF"/>
                <w:sz w:val="20"/>
                <w:szCs w:val="20"/>
              </w:rPr>
              <w:t xml:space="preserve">Equivalency Language</w:t>
            </w:r>
          </w:p>
        </w:tc>
      </w:tr>
      <w:tr>
        <w:tc>
          <w:tcPr>
            <w:tcW w:type="dxa" w:w="180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vAlign w:val="top"/>
          </w:tcPr>
          <w:p>
            <w:pPr>
              <w:spacing w:after="40" w:before="40"/>
            </w:pPr>
            <w:r>
              <w:rPr>
                <w:rFonts w:ascii="Arial" w:cs="Arial" w:eastAsia="Arial" w:hAnsi="Arial"/>
                <w:b/>
                <w:bCs/>
                <w:color w:val="1F3864"/>
                <w:sz w:val="18"/>
                <w:szCs w:val="18"/>
              </w:rPr>
              <w:t xml:space="preserve">Lockheed Martin (RMS)</w:t>
            </w:r>
          </w:p>
        </w:tc>
        <w:tc>
          <w:tcPr>
            <w:tcW w:type="dxa" w:w="252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8"/>
                <w:szCs w:val="18"/>
              </w:rPr>
              <w:t xml:space="preserve">Configuration Management Engineer – Early Career</w:t>
            </w:r>
          </w:p>
        </w:tc>
        <w:tc>
          <w:tcPr>
            <w:tcW w:type="dxa" w:w="252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8"/>
                <w:szCs w:val="18"/>
              </w:rPr>
              <w:t xml:space="preserve">Bachelor's or associate's degree in Systems, Aerospace, Mechanical, Electrical, or Industrial Engineering or related field</w:t>
            </w:r>
          </w:p>
        </w:tc>
        <w:tc>
          <w:tcPr>
            <w:tcW w:type="dxa" w:w="252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8"/>
                <w:szCs w:val="18"/>
              </w:rPr>
              <w:t xml:space="preserve">Entry-level role; technical engineering degree is the standard</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1F3864"/>
                <w:sz w:val="18"/>
                <w:szCs w:val="18"/>
              </w:rPr>
              <w:t xml:space="preserve">Lockheed Martin</w:t>
            </w:r>
          </w:p>
        </w:tc>
        <w:tc>
          <w:tcPr>
            <w:tcW w:type="dxa" w:w="25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8"/>
                <w:szCs w:val="18"/>
              </w:rPr>
              <w:t xml:space="preserve">MBSE Configuration Management Engineer – Level 2</w:t>
            </w:r>
          </w:p>
        </w:tc>
        <w:tc>
          <w:tcPr>
            <w:tcW w:type="dxa" w:w="25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8"/>
                <w:szCs w:val="18"/>
              </w:rPr>
              <w:t xml:space="preserve">Bachelor's degree or above or equivalent experience; experience with CM principles, requirements, and processes</w:t>
            </w:r>
          </w:p>
        </w:tc>
        <w:tc>
          <w:tcPr>
            <w:tcW w:type="dxa" w:w="25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8"/>
                <w:szCs w:val="18"/>
              </w:rPr>
              <w:t xml:space="preserve">'Or equivalent experience' supports the equivalency pathway</w:t>
            </w:r>
          </w:p>
        </w:tc>
      </w:tr>
      <w:tr>
        <w:tc>
          <w:tcPr>
            <w:tcW w:type="dxa" w:w="180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vAlign w:val="top"/>
          </w:tcPr>
          <w:p>
            <w:pPr>
              <w:spacing w:after="40" w:before="40"/>
            </w:pPr>
            <w:r>
              <w:rPr>
                <w:rFonts w:ascii="Arial" w:cs="Arial" w:eastAsia="Arial" w:hAnsi="Arial"/>
                <w:b/>
                <w:bCs/>
                <w:color w:val="1F3864"/>
                <w:sz w:val="18"/>
                <w:szCs w:val="18"/>
              </w:rPr>
              <w:t xml:space="preserve">Lockheed Martin</w:t>
            </w:r>
          </w:p>
        </w:tc>
        <w:tc>
          <w:tcPr>
            <w:tcW w:type="dxa" w:w="252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8"/>
                <w:szCs w:val="18"/>
              </w:rPr>
              <w:t xml:space="preserve">Systems Engineer – Configuration Management (Sunnyvale)</w:t>
            </w:r>
          </w:p>
        </w:tc>
        <w:tc>
          <w:tcPr>
            <w:tcW w:type="dxa" w:w="252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8"/>
                <w:szCs w:val="18"/>
              </w:rPr>
              <w:t xml:space="preserve">Bachelor's degree in Spacecraft Engineering, Aerospace Engineering, Systems Engineering, Computer Science, Mechanical Engineering, Mathematics, Electrical Engineering, or related programs</w:t>
            </w:r>
          </w:p>
        </w:tc>
        <w:tc>
          <w:tcPr>
            <w:tcW w:type="dxa" w:w="252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8"/>
                <w:szCs w:val="18"/>
              </w:rPr>
              <w:t xml:space="preserve">Engineering or technical bachelor's required</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1F3864"/>
                <w:sz w:val="18"/>
                <w:szCs w:val="18"/>
              </w:rPr>
              <w:t xml:space="preserve">Lockheed Martin</w:t>
            </w:r>
          </w:p>
        </w:tc>
        <w:tc>
          <w:tcPr>
            <w:tcW w:type="dxa" w:w="25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8"/>
                <w:szCs w:val="18"/>
              </w:rPr>
              <w:t xml:space="preserve">Software Configuration &amp; Data Management Engineer (Mid-Career)</w:t>
            </w:r>
          </w:p>
        </w:tc>
        <w:tc>
          <w:tcPr>
            <w:tcW w:type="dxa" w:w="25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8"/>
                <w:szCs w:val="18"/>
              </w:rPr>
              <w:t xml:space="preserve">Bachelor's degree in software engineering or related engineering discipline with 3 years experience, or master's plus 1 year</w:t>
            </w:r>
          </w:p>
        </w:tc>
        <w:tc>
          <w:tcPr>
            <w:tcW w:type="dxa" w:w="25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8"/>
                <w:szCs w:val="18"/>
              </w:rPr>
              <w:t xml:space="preserve">Bachelor's engineering minimum; advanced degree reduces experience requirement</w:t>
            </w:r>
          </w:p>
        </w:tc>
      </w:tr>
      <w:tr>
        <w:tc>
          <w:tcPr>
            <w:tcW w:type="dxa" w:w="180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vAlign w:val="top"/>
          </w:tcPr>
          <w:p>
            <w:pPr>
              <w:spacing w:after="40" w:before="40"/>
            </w:pPr>
            <w:r>
              <w:rPr>
                <w:rFonts w:ascii="Arial" w:cs="Arial" w:eastAsia="Arial" w:hAnsi="Arial"/>
                <w:b/>
                <w:bCs/>
                <w:color w:val="1F3864"/>
                <w:sz w:val="18"/>
                <w:szCs w:val="18"/>
              </w:rPr>
              <w:t xml:space="preserve">Lockheed Martin</w:t>
            </w:r>
          </w:p>
        </w:tc>
        <w:tc>
          <w:tcPr>
            <w:tcW w:type="dxa" w:w="252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8"/>
                <w:szCs w:val="18"/>
              </w:rPr>
              <w:t xml:space="preserve">Configuration Management &amp; Data Management Engineer (Littleton/King of Prussia)</w:t>
            </w:r>
          </w:p>
        </w:tc>
        <w:tc>
          <w:tcPr>
            <w:tcW w:type="dxa" w:w="252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8"/>
                <w:szCs w:val="18"/>
              </w:rPr>
              <w:t xml:space="preserve">Bachelor's degree in Engineering, Technical, Business, or related field (or equivalent combination of education and experience); TS/SCI clearance</w:t>
            </w:r>
          </w:p>
        </w:tc>
        <w:tc>
          <w:tcPr>
            <w:tcW w:type="dxa" w:w="252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8"/>
                <w:szCs w:val="18"/>
              </w:rPr>
              <w:t xml:space="preserve">Bachelor's required; explicit equivalency language for education plus experience</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1F3864"/>
                <w:sz w:val="18"/>
                <w:szCs w:val="18"/>
              </w:rPr>
              <w:t xml:space="preserve">Lockheed Martin</w:t>
            </w:r>
          </w:p>
        </w:tc>
        <w:tc>
          <w:tcPr>
            <w:tcW w:type="dxa" w:w="25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8"/>
                <w:szCs w:val="18"/>
              </w:rPr>
              <w:t xml:space="preserve">Configuration Management Engineer – Level 3 (Palmdale, Skunk Works)</w:t>
            </w:r>
          </w:p>
        </w:tc>
        <w:tc>
          <w:tcPr>
            <w:tcW w:type="dxa" w:w="25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8"/>
                <w:szCs w:val="18"/>
              </w:rPr>
              <w:t xml:space="preserve">Top Secret clearance; Bachelor's Degree or Equivalent experience; experience with CM principles, requirements, and processes</w:t>
            </w:r>
          </w:p>
        </w:tc>
        <w:tc>
          <w:tcPr>
            <w:tcW w:type="dxa" w:w="25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8"/>
                <w:szCs w:val="18"/>
              </w:rPr>
              <w:t xml:space="preserve">Even at Skunk Works senior level, equivalency pathway is recognized</w:t>
            </w:r>
          </w:p>
        </w:tc>
      </w:tr>
      <w:tr>
        <w:tc>
          <w:tcPr>
            <w:tcW w:type="dxa" w:w="180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vAlign w:val="top"/>
          </w:tcPr>
          <w:p>
            <w:pPr>
              <w:spacing w:after="40" w:before="40"/>
            </w:pPr>
            <w:r>
              <w:rPr>
                <w:rFonts w:ascii="Arial" w:cs="Arial" w:eastAsia="Arial" w:hAnsi="Arial"/>
                <w:b/>
                <w:bCs/>
                <w:color w:val="1F3864"/>
                <w:sz w:val="18"/>
                <w:szCs w:val="18"/>
              </w:rPr>
              <w:t xml:space="preserve">Lockheed Martin</w:t>
            </w:r>
          </w:p>
        </w:tc>
        <w:tc>
          <w:tcPr>
            <w:tcW w:type="dxa" w:w="252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8"/>
                <w:szCs w:val="18"/>
              </w:rPr>
              <w:t xml:space="preserve">Configuration Management Intern</w:t>
            </w:r>
          </w:p>
        </w:tc>
        <w:tc>
          <w:tcPr>
            <w:tcW w:type="dxa" w:w="252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8"/>
                <w:szCs w:val="18"/>
              </w:rPr>
              <w:t xml:space="preserve">Pursuing bachelor's STEM degree or related technical degree required</w:t>
            </w:r>
          </w:p>
        </w:tc>
        <w:tc>
          <w:tcPr>
            <w:tcW w:type="dxa" w:w="252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8"/>
                <w:szCs w:val="18"/>
              </w:rPr>
              <w:t xml:space="preserve">Even interns must be pursuing technical bachelor's degrees</w:t>
            </w:r>
          </w:p>
        </w:tc>
      </w:tr>
    </w:tbl>
    <w:p>
      <w:pPr>
        <w:spacing w:after="0" w:before="120"/>
      </w:pPr>
    </w:p>
    <w:p>
      <w:pPr>
        <w:pStyle w:val="Heading3"/>
        <w:pBdr>
          <w:bottom w:val="single" w:color="2E5F8A" w:sz="6"/>
        </w:pBdr>
        <w:spacing w:after="80" w:before="160"/>
      </w:pPr>
      <w:r>
        <w:rPr>
          <w:rFonts w:ascii="Arial" w:cs="Arial" w:eastAsia="Arial" w:hAnsi="Arial"/>
          <w:b/>
          <w:bCs/>
          <w:color w:val="1F3864"/>
          <w:sz w:val="24"/>
          <w:szCs w:val="24"/>
        </w:rPr>
        <w:t xml:space="preserve">What the Industry Peer Data Shows</w:t>
      </w:r>
    </w:p>
    <w:p>
      <w:pPr>
        <w:pStyle w:val="ListParagraph"/>
        <w:numPr>
          <w:ilvl w:val="0"/>
          <w:numId w:val="2"/>
        </w:numPr>
        <w:spacing w:after="40" w:before="40"/>
      </w:pPr>
      <w:r>
        <w:rPr>
          <w:rFonts w:ascii="Arial" w:cs="Arial" w:eastAsia="Arial" w:hAnsi="Arial"/>
          <w:color w:val="404040"/>
          <w:sz w:val="22"/>
          <w:szCs w:val="22"/>
        </w:rPr>
        <w:t xml:space="preserve">Bachelor's degrees in engineering, engineering technology, or technical disciplines are the published standard at the company's major peers across all CM career levels — from intern to senior.</w:t>
      </w:r>
    </w:p>
    <w:p>
      <w:pPr>
        <w:pStyle w:val="ListParagraph"/>
        <w:numPr>
          <w:ilvl w:val="0"/>
          <w:numId w:val="2"/>
        </w:numPr>
        <w:spacing w:after="40" w:before="40"/>
      </w:pPr>
      <w:r>
        <w:rPr>
          <w:rFonts w:ascii="Arial" w:cs="Arial" w:eastAsia="Arial" w:hAnsi="Arial"/>
          <w:color w:val="404040"/>
          <w:sz w:val="22"/>
          <w:szCs w:val="22"/>
        </w:rPr>
        <w:t xml:space="preserve">Most peer job postings include 'or equivalent experience' language, which validates and is consistent with the Two-Gate Equivalency Test recommended in this document.</w:t>
      </w:r>
    </w:p>
    <w:p>
      <w:pPr>
        <w:pStyle w:val="ListParagraph"/>
        <w:numPr>
          <w:ilvl w:val="0"/>
          <w:numId w:val="2"/>
        </w:numPr>
        <w:spacing w:after="40" w:before="40"/>
      </w:pPr>
      <w:r>
        <w:rPr>
          <w:rFonts w:ascii="Arial" w:cs="Arial" w:eastAsia="Arial" w:hAnsi="Arial"/>
          <w:color w:val="404040"/>
          <w:sz w:val="22"/>
          <w:szCs w:val="22"/>
        </w:rPr>
        <w:t xml:space="preserve">Even early-career CM positions at Lockheed Martin allow A.A.S. as an alternative — but only in specific entry-level roles, not at the engineer level.</w:t>
      </w:r>
    </w:p>
    <w:p>
      <w:pPr>
        <w:pStyle w:val="ListParagraph"/>
        <w:numPr>
          <w:ilvl w:val="0"/>
          <w:numId w:val="2"/>
        </w:numPr>
        <w:spacing w:after="40" w:before="40"/>
      </w:pPr>
      <w:r>
        <w:rPr>
          <w:rFonts w:ascii="Arial" w:cs="Arial" w:eastAsia="Arial" w:hAnsi="Arial"/>
          <w:color w:val="404040"/>
          <w:sz w:val="22"/>
          <w:szCs w:val="22"/>
        </w:rPr>
        <w:t xml:space="preserve">Senior CM roles (Level 3, mid-career) require either a bachelor's plus experience or master's plus less experience — confirming that advanced degrees substitute for years of experience, which supports the equivalency pathway for non-traditional doctorates.</w:t>
      </w:r>
    </w:p>
    <w:p>
      <w:pPr>
        <w:spacing w:after="0" w:before="60"/>
      </w:pPr>
    </w:p>
    <w:tbl>
      <w:tblPr>
        <w:tblW w:type="dxa" w:w="9360"/>
        <w:tblBorders>
          <w:top w:val="single" w:color="2E5F8A" w:sz="8"/>
          <w:left w:val="single" w:color="2E5F8A" w:sz="8"/>
          <w:bottom w:val="single" w:color="2E5F8A" w:sz="8"/>
          <w:right w:val="single" w:color="2E5F8A" w:sz="8"/>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BDD7EE" w:val="clear"/>
            <w:tcMar>
              <w:top w:type="dxa" w:w="100"/>
              <w:left w:type="dxa" w:w="200"/>
              <w:bottom w:type="dxa" w:w="100"/>
              <w:right w:type="dxa" w:w="200"/>
            </w:tcMar>
          </w:tcPr>
          <w:p>
            <w:pPr>
              <w:spacing w:after="40" w:before="40"/>
            </w:pPr>
            <w:r>
              <w:rPr>
                <w:rFonts w:ascii="Arial" w:cs="Arial" w:eastAsia="Arial" w:hAnsi="Arial"/>
                <w:b/>
                <w:bCs/>
                <w:color w:val="1F3864"/>
                <w:sz w:val="22"/>
                <w:szCs w:val="22"/>
              </w:rPr>
              <w:t xml:space="preserve">The Competitive Implication</w:t>
            </w:r>
          </w:p>
        </w:tc>
      </w:tr>
      <w:tr>
        <w:tc>
          <w:tcPr>
            <w:tcW w:type="dxa" w:w="9360"/>
            <w:tcBorders>
              <w:top w:val="none" w:color="FFFFFF" w:sz="0"/>
              <w:left w:val="none" w:color="FFFFFF" w:sz="0"/>
              <w:bottom w:val="none" w:color="FFFFFF" w:sz="0"/>
              <w:right w:val="none" w:color="FFFFFF" w:sz="0"/>
            </w:tcBorders>
            <w:shd w:fill="D5E8F0" w:val="clear"/>
            <w:tcMar>
              <w:top w:type="dxa" w:w="80"/>
              <w:left w:type="dxa" w:w="200"/>
              <w:bottom w:type="dxa" w:w="80"/>
              <w:right w:type="dxa" w:w="200"/>
            </w:tcMar>
          </w:tcPr>
          <w:p>
            <w:pPr>
              <w:spacing w:after="40" w:before="40"/>
            </w:pPr>
            <w:r>
              <w:rPr>
                <w:rFonts w:ascii="Arial" w:cs="Arial" w:eastAsia="Arial" w:hAnsi="Arial"/>
                <w:color w:val="404040"/>
                <w:sz w:val="20"/>
                <w:szCs w:val="20"/>
              </w:rPr>
              <w:t xml:space="preserve">The company's current hiring standard — A.A.S. only across the CM workforce — is below the published standard</w:t>
            </w:r>
          </w:p>
        </w:tc>
      </w:tr>
      <w:tr>
        <w:tc>
          <w:tcPr>
            <w:tcW w:type="dxa" w:w="9360"/>
            <w:tcBorders>
              <w:top w:val="none" w:color="FFFFFF" w:sz="0"/>
              <w:left w:val="none" w:color="FFFFFF" w:sz="0"/>
              <w:bottom w:val="none" w:color="FFFFFF" w:sz="0"/>
              <w:right w:val="none" w:color="FFFFFF" w:sz="0"/>
            </w:tcBorders>
            <w:shd w:fill="D5E8F0" w:val="clear"/>
            <w:tcMar>
              <w:top w:type="dxa" w:w="80"/>
              <w:left w:type="dxa" w:w="200"/>
              <w:bottom w:type="dxa" w:w="80"/>
              <w:right w:type="dxa" w:w="200"/>
            </w:tcMar>
          </w:tcPr>
          <w:p>
            <w:pPr>
              <w:spacing w:after="40" w:before="40"/>
            </w:pPr>
            <w:r>
              <w:rPr>
                <w:rFonts w:ascii="Arial" w:cs="Arial" w:eastAsia="Arial" w:hAnsi="Arial"/>
                <w:color w:val="404040"/>
                <w:sz w:val="20"/>
                <w:szCs w:val="20"/>
              </w:rPr>
              <w:t xml:space="preserve">of every major peer. This creates two compounding risks: (1) the company's CM organization is structurally less</w:t>
            </w:r>
          </w:p>
        </w:tc>
      </w:tr>
      <w:tr>
        <w:tc>
          <w:tcPr>
            <w:tcW w:type="dxa" w:w="9360"/>
            <w:tcBorders>
              <w:top w:val="none" w:color="FFFFFF" w:sz="0"/>
              <w:left w:val="none" w:color="FFFFFF" w:sz="0"/>
              <w:bottom w:val="none" w:color="FFFFFF" w:sz="0"/>
              <w:right w:val="none" w:color="FFFFFF" w:sz="0"/>
            </w:tcBorders>
            <w:shd w:fill="D5E8F0" w:val="clear"/>
            <w:tcMar>
              <w:top w:type="dxa" w:w="80"/>
              <w:left w:type="dxa" w:w="200"/>
              <w:bottom w:type="dxa" w:w="80"/>
              <w:right w:type="dxa" w:w="200"/>
            </w:tcMar>
          </w:tcPr>
          <w:p>
            <w:pPr>
              <w:spacing w:after="40" w:before="40"/>
            </w:pPr>
            <w:r>
              <w:rPr>
                <w:rFonts w:ascii="Arial" w:cs="Arial" w:eastAsia="Arial" w:hAnsi="Arial"/>
                <w:color w:val="404040"/>
                <w:sz w:val="20"/>
                <w:szCs w:val="20"/>
              </w:rPr>
              <w:t xml:space="preserve">capable of meeting the same EIA-649-1 obligations that its peers are staffed to meet, and (2) the company will</w:t>
            </w:r>
          </w:p>
        </w:tc>
      </w:tr>
      <w:tr>
        <w:tc>
          <w:tcPr>
            <w:tcW w:type="dxa" w:w="9360"/>
            <w:tcBorders>
              <w:top w:val="none" w:color="FFFFFF" w:sz="0"/>
              <w:left w:val="none" w:color="FFFFFF" w:sz="0"/>
              <w:bottom w:val="none" w:color="FFFFFF" w:sz="0"/>
              <w:right w:val="none" w:color="FFFFFF" w:sz="0"/>
            </w:tcBorders>
            <w:shd w:fill="D5E8F0" w:val="clear"/>
            <w:tcMar>
              <w:top w:type="dxa" w:w="80"/>
              <w:left w:type="dxa" w:w="200"/>
              <w:bottom w:type="dxa" w:w="80"/>
              <w:right w:type="dxa" w:w="200"/>
            </w:tcMar>
          </w:tcPr>
          <w:p>
            <w:pPr>
              <w:spacing w:after="40" w:before="40"/>
            </w:pPr>
            <w:r>
              <w:rPr>
                <w:rFonts w:ascii="Arial" w:cs="Arial" w:eastAsia="Arial" w:hAnsi="Arial"/>
                <w:color w:val="404040"/>
                <w:sz w:val="20"/>
                <w:szCs w:val="20"/>
              </w:rPr>
              <w:t xml:space="preserve">lose talent competition to peers who offer engineering-level CM roles and corresponding compensation.</w:t>
            </w:r>
          </w:p>
        </w:tc>
      </w:tr>
    </w:tbl>
    <w:p>
      <w:r>
        <w:br w:type="page"/>
      </w:r>
    </w:p>
    <w:p>
      <w:pPr>
        <w:pStyle w:val="Heading1"/>
        <w:shd w:fill="1F3864" w:val="clear"/>
        <w:spacing w:after="120" w:before="240"/>
        <w:ind w:left="120"/>
      </w:pPr>
      <w:r>
        <w:rPr>
          <w:rFonts w:ascii="Arial" w:cs="Arial" w:eastAsia="Arial" w:hAnsi="Arial"/>
          <w:b/>
          <w:bCs/>
          <w:color w:val="FFFFFF"/>
          <w:sz w:val="36"/>
          <w:szCs w:val="36"/>
        </w:rPr>
        <w:t xml:space="preserve">CM Function 1: Configuration Planning and Management</w:t>
      </w:r>
    </w:p>
    <w:p>
      <w:pPr>
        <w:spacing w:after="0" w:before="80"/>
      </w:pPr>
    </w:p>
    <w:tbl>
      <w:tblPr>
        <w:tblW w:type="dxa" w:w="9360"/>
        <w:tblBorders>
          <w:top w:val="single" w:color="2E5F8A" w:sz="8"/>
          <w:left w:val="single" w:color="2E5F8A" w:sz="8"/>
          <w:bottom w:val="single" w:color="2E5F8A" w:sz="8"/>
          <w:right w:val="single" w:color="2E5F8A" w:sz="8"/>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BDD7EE" w:val="clear"/>
            <w:tcMar>
              <w:top w:type="dxa" w:w="100"/>
              <w:left w:type="dxa" w:w="200"/>
              <w:bottom w:type="dxa" w:w="100"/>
              <w:right w:type="dxa" w:w="200"/>
            </w:tcMar>
          </w:tcPr>
          <w:p>
            <w:pPr>
              <w:spacing w:after="40" w:before="40"/>
            </w:pPr>
            <w:r>
              <w:rPr>
                <w:rFonts w:ascii="Arial" w:cs="Arial" w:eastAsia="Arial" w:hAnsi="Arial"/>
                <w:b/>
                <w:bCs/>
                <w:color w:val="1F3864"/>
                <w:sz w:val="22"/>
                <w:szCs w:val="22"/>
              </w:rPr>
              <w:t xml:space="preserve">§3.1 — What This Function Requires</w:t>
            </w:r>
          </w:p>
        </w:tc>
      </w:tr>
      <w:tr>
        <w:tc>
          <w:tcPr>
            <w:tcW w:type="dxa" w:w="9360"/>
            <w:tcBorders>
              <w:top w:val="none" w:color="FFFFFF" w:sz="0"/>
              <w:left w:val="none" w:color="FFFFFF" w:sz="0"/>
              <w:bottom w:val="none" w:color="FFFFFF" w:sz="0"/>
              <w:right w:val="none" w:color="FFFFFF" w:sz="0"/>
            </w:tcBorders>
            <w:shd w:fill="D5E8F0" w:val="clear"/>
            <w:tcMar>
              <w:top w:type="dxa" w:w="80"/>
              <w:left w:type="dxa" w:w="200"/>
              <w:bottom w:type="dxa" w:w="80"/>
              <w:right w:type="dxa" w:w="200"/>
            </w:tcMar>
          </w:tcPr>
          <w:p>
            <w:pPr>
              <w:spacing w:after="40" w:before="40"/>
            </w:pPr>
            <w:r>
              <w:rPr>
                <w:rFonts w:ascii="Arial" w:cs="Arial" w:eastAsia="Arial" w:hAnsi="Arial"/>
                <w:color w:val="404040"/>
                <w:sz w:val="20"/>
                <w:szCs w:val="20"/>
              </w:rPr>
              <w:t xml:space="preserve">Develop and maintain the Configuration Management Plan (CMP) covering the entire product life cycle.</w:t>
            </w:r>
          </w:p>
        </w:tc>
      </w:tr>
      <w:tr>
        <w:tc>
          <w:tcPr>
            <w:tcW w:type="dxa" w:w="9360"/>
            <w:tcBorders>
              <w:top w:val="none" w:color="FFFFFF" w:sz="0"/>
              <w:left w:val="none" w:color="FFFFFF" w:sz="0"/>
              <w:bottom w:val="none" w:color="FFFFFF" w:sz="0"/>
              <w:right w:val="none" w:color="FFFFFF" w:sz="0"/>
            </w:tcBorders>
            <w:shd w:fill="D5E8F0" w:val="clear"/>
            <w:tcMar>
              <w:top w:type="dxa" w:w="80"/>
              <w:left w:type="dxa" w:w="200"/>
              <w:bottom w:type="dxa" w:w="80"/>
              <w:right w:type="dxa" w:w="200"/>
            </w:tcMar>
          </w:tcPr>
          <w:p>
            <w:pPr>
              <w:spacing w:after="40" w:before="40"/>
            </w:pPr>
            <w:r>
              <w:rPr>
                <w:rFonts w:ascii="Arial" w:cs="Arial" w:eastAsia="Arial" w:hAnsi="Arial"/>
                <w:color w:val="404040"/>
                <w:sz w:val="20"/>
                <w:szCs w:val="20"/>
              </w:rPr>
              <w:t xml:space="preserve">Define CM objectives, organizational roles, CCB authority, release processes, and sub-supplier management methods.</w:t>
            </w:r>
          </w:p>
        </w:tc>
      </w:tr>
      <w:tr>
        <w:tc>
          <w:tcPr>
            <w:tcW w:type="dxa" w:w="9360"/>
            <w:tcBorders>
              <w:top w:val="none" w:color="FFFFFF" w:sz="0"/>
              <w:left w:val="none" w:color="FFFFFF" w:sz="0"/>
              <w:bottom w:val="none" w:color="FFFFFF" w:sz="0"/>
              <w:right w:val="none" w:color="FFFFFF" w:sz="0"/>
            </w:tcBorders>
            <w:shd w:fill="D5E8F0" w:val="clear"/>
            <w:tcMar>
              <w:top w:type="dxa" w:w="80"/>
              <w:left w:type="dxa" w:w="200"/>
              <w:bottom w:type="dxa" w:w="80"/>
              <w:right w:type="dxa" w:w="200"/>
            </w:tcMar>
          </w:tcPr>
          <w:p>
            <w:pPr>
              <w:spacing w:after="40" w:before="40"/>
            </w:pPr>
            <w:r>
              <w:rPr>
                <w:rFonts w:ascii="Arial" w:cs="Arial" w:eastAsia="Arial" w:hAnsi="Arial"/>
                <w:color w:val="404040"/>
                <w:sz w:val="20"/>
                <w:szCs w:val="20"/>
              </w:rPr>
              <w:t xml:space="preserve">Support all major Technical Reviews (SRR, SFR, PDR, CDR, TRR, SVR, PRR) with configuration documentation.</w:t>
            </w:r>
          </w:p>
        </w:tc>
      </w:tr>
      <w:tr>
        <w:tc>
          <w:tcPr>
            <w:tcW w:type="dxa" w:w="9360"/>
            <w:tcBorders>
              <w:top w:val="none" w:color="FFFFFF" w:sz="0"/>
              <w:left w:val="none" w:color="FFFFFF" w:sz="0"/>
              <w:bottom w:val="none" w:color="FFFFFF" w:sz="0"/>
              <w:right w:val="none" w:color="FFFFFF" w:sz="0"/>
            </w:tcBorders>
            <w:shd w:fill="D5E8F0" w:val="clear"/>
            <w:tcMar>
              <w:top w:type="dxa" w:w="80"/>
              <w:left w:type="dxa" w:w="200"/>
              <w:bottom w:type="dxa" w:w="80"/>
              <w:right w:type="dxa" w:w="200"/>
            </w:tcMar>
          </w:tcPr>
          <w:p>
            <w:pPr>
              <w:spacing w:after="40" w:before="40"/>
            </w:pPr>
            <w:r>
              <w:rPr>
                <w:rFonts w:ascii="Arial" w:cs="Arial" w:eastAsia="Arial" w:hAnsi="Arial"/>
                <w:color w:val="404040"/>
                <w:sz w:val="20"/>
                <w:szCs w:val="20"/>
              </w:rPr>
              <w:t xml:space="preserve">Establish performance metrics, generate and report CM data to the Acquirer.</w:t>
            </w:r>
          </w:p>
        </w:tc>
      </w:tr>
      <w:tr>
        <w:tc>
          <w:tcPr>
            <w:tcW w:type="dxa" w:w="9360"/>
            <w:tcBorders>
              <w:top w:val="none" w:color="FFFFFF" w:sz="0"/>
              <w:left w:val="none" w:color="FFFFFF" w:sz="0"/>
              <w:bottom w:val="none" w:color="FFFFFF" w:sz="0"/>
              <w:right w:val="none" w:color="FFFFFF" w:sz="0"/>
            </w:tcBorders>
            <w:shd w:fill="D5E8F0" w:val="clear"/>
            <w:tcMar>
              <w:top w:type="dxa" w:w="80"/>
              <w:left w:type="dxa" w:w="200"/>
              <w:bottom w:type="dxa" w:w="80"/>
              <w:right w:type="dxa" w:w="200"/>
            </w:tcMar>
          </w:tcPr>
          <w:p>
            <w:pPr>
              <w:spacing w:after="40" w:before="40"/>
            </w:pPr>
            <w:r>
              <w:rPr>
                <w:rFonts w:ascii="Arial" w:cs="Arial" w:eastAsia="Arial" w:hAnsi="Arial"/>
                <w:color w:val="404040"/>
                <w:sz w:val="20"/>
                <w:szCs w:val="20"/>
              </w:rPr>
              <w:t xml:space="preserve">Address data handling, security, integrity, and long-term preservation of configuration documentation.</w:t>
            </w:r>
          </w:p>
        </w:tc>
      </w:tr>
    </w:tbl>
    <w:p>
      <w:pPr>
        <w:spacing w:after="0" w:before="120"/>
      </w:pPr>
    </w:p>
    <w:p>
      <w:pPr>
        <w:pStyle w:val="Heading2"/>
        <w:shd w:fill="2E5F8A" w:val="clear"/>
        <w:spacing w:after="80" w:before="200"/>
        <w:ind w:left="120"/>
      </w:pPr>
      <w:r>
        <w:rPr>
          <w:rFonts w:ascii="Arial" w:cs="Arial" w:eastAsia="Arial" w:hAnsi="Arial"/>
          <w:b/>
          <w:bCs/>
          <w:color w:val="FFFFFF"/>
          <w:sz w:val="28"/>
          <w:szCs w:val="28"/>
        </w:rPr>
        <w:t xml:space="preserve">Education Degree Requirements</w:t>
      </w:r>
    </w:p>
    <w:p>
      <w:pPr>
        <w:spacing w:after="0" w:before="60"/>
      </w:pPr>
    </w:p>
    <w:p>
      <w:pPr>
        <w:spacing w:after="80" w:before="80"/>
        <w:jc w:val="left"/>
      </w:pPr>
      <w:r>
        <w:rPr>
          <w:rFonts w:ascii="Arial" w:cs="Arial" w:eastAsia="Arial" w:hAnsi="Arial"/>
          <w:b/>
          <w:bCs/>
          <w:color w:val="C00000"/>
          <w:sz w:val="24"/>
          <w:szCs w:val="24"/>
        </w:rPr>
        <w:t xml:space="preserve">DETERMINATION: </w:t>
      </w:r>
      <w:r>
        <w:rPr>
          <w:rFonts w:ascii="Arial" w:cs="Arial" w:eastAsia="Arial" w:hAnsi="Arial"/>
          <w:b/>
          <w:bCs/>
          <w:color w:val="404040"/>
          <w:sz w:val="24"/>
          <w:szCs w:val="24"/>
        </w:rPr>
        <w:t xml:space="preserve">B.S. in Engineering Technology or Related Technical Field (CM Lead/Planner); A.A.S. Acceptable for Support/Administrative Roles</w:t>
      </w:r>
    </w:p>
    <w:p>
      <w:pPr>
        <w:spacing w:after="0" w:before="40"/>
      </w:pPr>
    </w:p>
    <w:p>
      <w:pPr>
        <w:spacing w:after="100" w:before="60"/>
        <w:jc w:val="left"/>
      </w:pPr>
      <w:r>
        <w:rPr>
          <w:rFonts w:ascii="Arial" w:cs="Arial" w:eastAsia="Arial" w:hAnsi="Arial"/>
          <w:i w:val="false"/>
          <w:iCs w:val="false"/>
          <w:color w:val="404040"/>
          <w:sz w:val="22"/>
          <w:szCs w:val="22"/>
        </w:rPr>
        <w:t xml:space="preserve">The CM Planning function requires two tiers of personnel. The lead CM Planner who owns the CMP and interfaces with the Acquirer must hold at minimum a B.S. in Engineering Technology or a technical discipline. This is driven by the requirement to support and provide documentation for design reviews that establish formal baselines (§3.1.3) — events deeply embedded in the systems engineering lifecycle. An associate's-degree practitioner would lack the educational foundation to understand what constitutes an adequate functional baseline package at SFR, what the PDR allocated baseline requires, or how CDR product baseline documentation differs from development-phase documentation. Support roles managing administrative CM tasks, scheduling, and distribution may be appropriately filled at the A.A.S. level.</w:t>
      </w:r>
    </w:p>
    <w:p>
      <w:pPr>
        <w:pStyle w:val="Heading3"/>
        <w:pBdr>
          <w:bottom w:val="single" w:color="2E5F8A" w:sz="6"/>
        </w:pBdr>
        <w:spacing w:after="80" w:before="160"/>
      </w:pPr>
      <w:r>
        <w:rPr>
          <w:rFonts w:ascii="Arial" w:cs="Arial" w:eastAsia="Arial" w:hAnsi="Arial"/>
          <w:b/>
          <w:bCs/>
          <w:color w:val="1F3864"/>
          <w:sz w:val="24"/>
          <w:szCs w:val="24"/>
        </w:rPr>
        <w:t xml:space="preserve">EIA-649-1 Traceability — Why a Technical Degree Is Required for Configuration Planning and Management</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3200"/>
        <w:gridCol w:w="4720"/>
      </w:tblGrid>
      <w:tr>
        <w:trPr>
          <w:tblHeader/>
        </w:trPr>
        <w:tc>
          <w:tcPr>
            <w:tcW w:type="dxa" w:w="1440"/>
            <w:tcBorders>
              <w:top w:val="single" w:color="AAAAAA" w:sz="4"/>
              <w:left w:val="single" w:color="AAAAAA" w:sz="4"/>
              <w:bottom w:val="single" w:color="AAAAAA" w:sz="4"/>
              <w:right w:val="single" w:color="AAAAAA" w:sz="4"/>
            </w:tcBorders>
            <w:shd w:fill="1F3864" w:val="clear"/>
            <w:tcMar>
              <w:top w:type="dxa" w:w="100"/>
              <w:left w:type="dxa" w:w="120"/>
              <w:bottom w:type="dxa" w:w="100"/>
              <w:right w:type="dxa" w:w="120"/>
            </w:tcMar>
            <w:vAlign w:val="center"/>
          </w:tcPr>
          <w:p>
            <w:pPr>
              <w:spacing w:after="40" w:before="40"/>
              <w:jc w:val="center"/>
            </w:pPr>
            <w:r>
              <w:rPr>
                <w:rFonts w:ascii="Arial" w:cs="Arial" w:eastAsia="Arial" w:hAnsi="Arial"/>
                <w:b/>
                <w:bCs/>
                <w:color w:val="FFFFFF"/>
                <w:sz w:val="20"/>
                <w:szCs w:val="20"/>
              </w:rPr>
              <w:t xml:space="preserve">649-1 Para.</w:t>
            </w:r>
          </w:p>
        </w:tc>
        <w:tc>
          <w:tcPr>
            <w:tcW w:type="dxa" w:w="3200"/>
            <w:tcBorders>
              <w:top w:val="single" w:color="AAAAAA" w:sz="4"/>
              <w:left w:val="single" w:color="AAAAAA" w:sz="4"/>
              <w:bottom w:val="single" w:color="AAAAAA" w:sz="4"/>
              <w:right w:val="single" w:color="AAAAAA" w:sz="4"/>
            </w:tcBorders>
            <w:shd w:fill="1F3864" w:val="clear"/>
            <w:tcMar>
              <w:top w:type="dxa" w:w="100"/>
              <w:left w:type="dxa" w:w="120"/>
              <w:bottom w:type="dxa" w:w="100"/>
              <w:right w:type="dxa" w:w="120"/>
            </w:tcMar>
            <w:vAlign w:val="center"/>
          </w:tcPr>
          <w:p>
            <w:pPr>
              <w:spacing w:after="40" w:before="40"/>
              <w:jc w:val="center"/>
            </w:pPr>
            <w:r>
              <w:rPr>
                <w:rFonts w:ascii="Arial" w:cs="Arial" w:eastAsia="Arial" w:hAnsi="Arial"/>
                <w:b/>
                <w:bCs/>
                <w:color w:val="FFFFFF"/>
                <w:sz w:val="20"/>
                <w:szCs w:val="20"/>
              </w:rPr>
              <w:t xml:space="preserve">Requirement Language</w:t>
            </w:r>
          </w:p>
        </w:tc>
        <w:tc>
          <w:tcPr>
            <w:tcW w:type="dxa" w:w="4720"/>
            <w:tcBorders>
              <w:top w:val="single" w:color="AAAAAA" w:sz="4"/>
              <w:left w:val="single" w:color="AAAAAA" w:sz="4"/>
              <w:bottom w:val="single" w:color="AAAAAA" w:sz="4"/>
              <w:right w:val="single" w:color="AAAAAA" w:sz="4"/>
            </w:tcBorders>
            <w:shd w:fill="1F3864" w:val="clear"/>
            <w:tcMar>
              <w:top w:type="dxa" w:w="100"/>
              <w:left w:type="dxa" w:w="120"/>
              <w:bottom w:type="dxa" w:w="100"/>
              <w:right w:type="dxa" w:w="120"/>
            </w:tcMar>
            <w:vAlign w:val="center"/>
          </w:tcPr>
          <w:p>
            <w:pPr>
              <w:spacing w:after="40" w:before="40"/>
              <w:jc w:val="center"/>
            </w:pPr>
            <w:r>
              <w:rPr>
                <w:rFonts w:ascii="Arial" w:cs="Arial" w:eastAsia="Arial" w:hAnsi="Arial"/>
                <w:b/>
                <w:bCs/>
                <w:color w:val="FFFFFF"/>
                <w:sz w:val="20"/>
                <w:szCs w:val="20"/>
              </w:rPr>
              <w:t xml:space="preserve">Why This Requires a Technical Degree</w:t>
            </w:r>
          </w:p>
        </w:tc>
      </w:tr>
      <w:tr>
        <w:tc>
          <w:tcPr>
            <w:tcW w:type="dxa" w:w="14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2E5F8A"/>
                <w:sz w:val="18"/>
                <w:szCs w:val="18"/>
              </w:rPr>
              <w:t xml:space="preserve">§3.1.3</w:t>
            </w:r>
          </w:p>
        </w:tc>
        <w:tc>
          <w:tcPr>
            <w:tcW w:type="dxa" w:w="3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8"/>
                <w:szCs w:val="18"/>
              </w:rPr>
              <w:t xml:space="preserve">Supplier shall provide configuration documentation to support each Technical Review: ASR, SRR, SFR (FBL), PDR (ABL), CDR (PBL), TRR, SVR, PRR.</w:t>
            </w:r>
          </w:p>
        </w:tc>
        <w:tc>
          <w:tcPr>
            <w:tcW w:type="dxa" w:w="47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595959"/>
                <w:sz w:val="18"/>
                <w:szCs w:val="18"/>
              </w:rPr>
              <w:t xml:space="preserve">Preparing configuration documentation packages for design reviews requires understanding what each review milestone means technically: what baselines are being established, what documentation is mature enough to present, and what deficiencies must be closed. This judgment cannot be reliably exercised without at minimum a B.S. in Engineering Technology.</w:t>
            </w:r>
          </w:p>
        </w:tc>
      </w:tr>
      <w:tr>
        <w:tc>
          <w:tcPr>
            <w:tcW w:type="dxa" w:w="14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bCs/>
                <w:color w:val="2E5F8A"/>
                <w:sz w:val="18"/>
                <w:szCs w:val="18"/>
              </w:rPr>
              <w:t xml:space="preserve">§3.1(1)b</w:t>
            </w:r>
          </w:p>
        </w:tc>
        <w:tc>
          <w:tcPr>
            <w:tcW w:type="dxa" w:w="3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8"/>
                <w:szCs w:val="18"/>
              </w:rPr>
              <w:t xml:space="preserve">Define appropriate level of CM activity for each CM function throughout the product's life cycle.</w:t>
            </w:r>
          </w:p>
        </w:tc>
        <w:tc>
          <w:tcPr>
            <w:tcW w:type="dxa" w:w="472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val="false"/>
                <w:bCs w:val="false"/>
                <w:color w:val="595959"/>
                <w:sz w:val="18"/>
                <w:szCs w:val="18"/>
              </w:rPr>
              <w:t xml:space="preserve">Calibrating CM rigor to program phase (SDD vs. LRIP vs. sustainment) requires understanding of the defense acquisition lifecycle and the technical maturity of the product at each phase. An A.A.S. program does not cover acquisition lifecycle management.</w:t>
            </w:r>
          </w:p>
        </w:tc>
      </w:tr>
      <w:tr>
        <w:tc>
          <w:tcPr>
            <w:tcW w:type="dxa" w:w="14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2E5F8A"/>
                <w:sz w:val="18"/>
                <w:szCs w:val="18"/>
              </w:rPr>
              <w:t xml:space="preserve">§3.1.4(1)</w:t>
            </w:r>
          </w:p>
        </w:tc>
        <w:tc>
          <w:tcPr>
            <w:tcW w:type="dxa" w:w="3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8"/>
                <w:szCs w:val="18"/>
              </w:rPr>
              <w:t xml:space="preserve">Address data handling, processing, storage, integrity, transfer, releasability/disclosure, security, and maintenance documentation requirements.</w:t>
            </w:r>
          </w:p>
        </w:tc>
        <w:tc>
          <w:tcPr>
            <w:tcW w:type="dxa" w:w="47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595959"/>
                <w:sz w:val="18"/>
                <w:szCs w:val="18"/>
              </w:rPr>
              <w:t xml:space="preserve">DoD data management requirements (classification, ITAR, CUI, cybersecurity per §3.4.1(4)b) are technically complex. Managing data integrity across an integrated digital environment requires IT/data architecture literacy beyond administrative training.</w:t>
            </w:r>
          </w:p>
        </w:tc>
      </w:tr>
      <w:tr>
        <w:tc>
          <w:tcPr>
            <w:tcW w:type="dxa" w:w="14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bCs/>
                <w:color w:val="2E5F8A"/>
                <w:sz w:val="18"/>
                <w:szCs w:val="18"/>
              </w:rPr>
              <w:t xml:space="preserve">§3.1.1</w:t>
            </w:r>
          </w:p>
        </w:tc>
        <w:tc>
          <w:tcPr>
            <w:tcW w:type="dxa" w:w="3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8"/>
                <w:szCs w:val="18"/>
              </w:rPr>
              <w:t xml:space="preserve">Include methodology for generating, measuring, and reporting CM performance data.</w:t>
            </w:r>
          </w:p>
        </w:tc>
        <w:tc>
          <w:tcPr>
            <w:tcW w:type="dxa" w:w="472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val="false"/>
                <w:bCs w:val="false"/>
                <w:color w:val="595959"/>
                <w:sz w:val="18"/>
                <w:szCs w:val="18"/>
              </w:rPr>
              <w:t xml:space="preserve">Developing meaningful CM metrics and analyzing trends requires analytical skills developed at the baccalaureate level.</w:t>
            </w:r>
          </w:p>
        </w:tc>
      </w:tr>
    </w:tbl>
    <w:p>
      <w:pPr>
        <w:spacing w:after="0" w:before="120"/>
      </w:pPr>
    </w:p>
    <w:p>
      <w:pPr>
        <w:pStyle w:val="Heading2"/>
        <w:shd w:fill="2E5F8A" w:val="clear"/>
        <w:spacing w:after="80" w:before="200"/>
        <w:ind w:left="120"/>
      </w:pPr>
      <w:r>
        <w:rPr>
          <w:rFonts w:ascii="Arial" w:cs="Arial" w:eastAsia="Arial" w:hAnsi="Arial"/>
          <w:b/>
          <w:bCs/>
          <w:color w:val="FFFFFF"/>
          <w:sz w:val="28"/>
          <w:szCs w:val="28"/>
        </w:rPr>
        <w:t xml:space="preserve">Technical Skills</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tcBorders>
              <w:top w:val="single" w:color="AAAAAA" w:sz="4"/>
              <w:left w:val="single" w:color="AAAAAA" w:sz="4"/>
              <w:bottom w:val="single" w:color="AAAAAA" w:sz="4"/>
              <w:right w:val="single" w:color="AAAAAA" w:sz="4"/>
            </w:tcBorders>
            <w:shd w:fill="2E5F8A" w:val="clear"/>
            <w:tcMar>
              <w:top w:type="dxa" w:w="100"/>
              <w:left w:type="dxa" w:w="120"/>
              <w:bottom w:type="dxa" w:w="100"/>
              <w:right w:type="dxa" w:w="120"/>
            </w:tcMar>
            <w:vAlign w:val="center"/>
          </w:tcPr>
          <w:p>
            <w:pPr>
              <w:spacing w:after="40" w:before="40"/>
              <w:jc w:val="center"/>
            </w:pPr>
            <w:r>
              <w:rPr>
                <w:rFonts w:ascii="Arial" w:cs="Arial" w:eastAsia="Arial" w:hAnsi="Arial"/>
                <w:b/>
                <w:bCs/>
                <w:color w:val="FFFFFF"/>
                <w:sz w:val="20"/>
                <w:szCs w:val="20"/>
              </w:rPr>
              <w:t xml:space="preserve">Technical Skill</w:t>
            </w:r>
          </w:p>
        </w:tc>
        <w:tc>
          <w:tcPr>
            <w:tcW w:type="dxa" w:w="6480"/>
            <w:tcBorders>
              <w:top w:val="single" w:color="AAAAAA" w:sz="4"/>
              <w:left w:val="single" w:color="AAAAAA" w:sz="4"/>
              <w:bottom w:val="single" w:color="AAAAAA" w:sz="4"/>
              <w:right w:val="single" w:color="AAAAAA" w:sz="4"/>
            </w:tcBorders>
            <w:shd w:fill="2E5F8A" w:val="clear"/>
            <w:tcMar>
              <w:top w:type="dxa" w:w="100"/>
              <w:left w:type="dxa" w:w="120"/>
              <w:bottom w:type="dxa" w:w="100"/>
              <w:right w:type="dxa" w:w="120"/>
            </w:tcMar>
            <w:vAlign w:val="center"/>
          </w:tcPr>
          <w:p>
            <w:pPr>
              <w:spacing w:after="40" w:before="40"/>
              <w:jc w:val="center"/>
            </w:pPr>
            <w:r>
              <w:rPr>
                <w:rFonts w:ascii="Arial" w:cs="Arial" w:eastAsia="Arial" w:hAnsi="Arial"/>
                <w:b/>
                <w:bCs/>
                <w:color w:val="FFFFFF"/>
                <w:sz w:val="20"/>
                <w:szCs w:val="20"/>
              </w:rPr>
              <w:t xml:space="preserve">Description / Application to EIA-649-1</w:t>
            </w:r>
          </w:p>
        </w:tc>
      </w:tr>
      <w:tr>
        <w:tc>
          <w:tcPr>
            <w:tcW w:type="dxa" w:w="28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2E5F8A"/>
                <w:sz w:val="19"/>
                <w:szCs w:val="19"/>
              </w:rPr>
              <w:t xml:space="preserve">CM Plan (CMP) Development</w:t>
            </w:r>
          </w:p>
        </w:tc>
        <w:tc>
          <w:tcPr>
            <w:tcW w:type="dxa" w:w="64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9"/>
                <w:szCs w:val="19"/>
              </w:rPr>
              <w:t xml:space="preserve">Author and maintain the EIA-649-1-compliant CMP per §3.1 and §3.1.2(1); address objectives, resources, CCB authority, sub-supplier oversight, and release processes. Reference: DI-SESS-80858.</w:t>
            </w:r>
          </w:p>
        </w:tc>
      </w:tr>
      <w:tr>
        <w:tc>
          <w:tcPr>
            <w:tcW w:type="dxa" w:w="28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bCs/>
                <w:color w:val="2E5F8A"/>
                <w:sz w:val="19"/>
                <w:szCs w:val="19"/>
              </w:rPr>
              <w:t xml:space="preserve">Defense Acquisition Lifecycle Knowledge</w:t>
            </w:r>
          </w:p>
        </w:tc>
        <w:tc>
          <w:tcPr>
            <w:tcW w:type="dxa" w:w="64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9"/>
                <w:szCs w:val="19"/>
              </w:rPr>
              <w:t xml:space="preserve">Understand program phases (SDD, EMD, LRIP, FRP) and associated technical review milestones (SRR, SFR, PDR, CDR, TRR, SVR, PRR) to apply appropriate CM rigor per §3.1.3.</w:t>
            </w:r>
          </w:p>
        </w:tc>
      </w:tr>
      <w:tr>
        <w:tc>
          <w:tcPr>
            <w:tcW w:type="dxa" w:w="28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2E5F8A"/>
                <w:sz w:val="19"/>
                <w:szCs w:val="19"/>
              </w:rPr>
              <w:t xml:space="preserve">CCB Administration</w:t>
            </w:r>
          </w:p>
        </w:tc>
        <w:tc>
          <w:tcPr>
            <w:tcW w:type="dxa" w:w="64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9"/>
                <w:szCs w:val="19"/>
              </w:rPr>
              <w:t xml:space="preserve">Establish CCB charters, manage agendas, facilitate meetings, record dispositions, and distribute minutes. Understand tiered CCB authority (Class I Acquirer vs. Class II internal).</w:t>
            </w:r>
          </w:p>
        </w:tc>
      </w:tr>
      <w:tr>
        <w:tc>
          <w:tcPr>
            <w:tcW w:type="dxa" w:w="28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bCs/>
                <w:color w:val="2E5F8A"/>
                <w:sz w:val="19"/>
                <w:szCs w:val="19"/>
              </w:rPr>
              <w:t xml:space="preserve">CM Performance Metrics</w:t>
            </w:r>
          </w:p>
        </w:tc>
        <w:tc>
          <w:tcPr>
            <w:tcW w:type="dxa" w:w="64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9"/>
                <w:szCs w:val="19"/>
              </w:rPr>
              <w:t xml:space="preserve">Develop and report metrics per §3.1.1 (open/closed changes, cycle time, rejection rate, aging variances). Analyze trends and report to Acquirer.</w:t>
            </w:r>
          </w:p>
        </w:tc>
      </w:tr>
      <w:tr>
        <w:tc>
          <w:tcPr>
            <w:tcW w:type="dxa" w:w="28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2E5F8A"/>
                <w:sz w:val="19"/>
                <w:szCs w:val="19"/>
              </w:rPr>
              <w:t xml:space="preserve">CM Tool Proficiency</w:t>
            </w:r>
          </w:p>
        </w:tc>
        <w:tc>
          <w:tcPr>
            <w:tcW w:type="dxa" w:w="64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9"/>
                <w:szCs w:val="19"/>
              </w:rPr>
              <w:t xml:space="preserve">Operate PLM/PDM systems (e.g., Windchill, Teamcenter, ENOVIA) or equivalent for planning and tracking CM activities.</w:t>
            </w:r>
          </w:p>
        </w:tc>
      </w:tr>
      <w:tr>
        <w:tc>
          <w:tcPr>
            <w:tcW w:type="dxa" w:w="28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bCs/>
                <w:color w:val="2E5F8A"/>
                <w:sz w:val="19"/>
                <w:szCs w:val="19"/>
              </w:rPr>
              <w:t xml:space="preserve">Data Management &amp; Security</w:t>
            </w:r>
          </w:p>
        </w:tc>
        <w:tc>
          <w:tcPr>
            <w:tcW w:type="dxa" w:w="64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9"/>
                <w:szCs w:val="19"/>
              </w:rPr>
              <w:t xml:space="preserve">Apply DoD data handling requirements: classification markings, ITAR controls, CUI designations, cybersecurity compliance per §3.4.1(4)b.</w:t>
            </w:r>
          </w:p>
        </w:tc>
      </w:tr>
      <w:tr>
        <w:tc>
          <w:tcPr>
            <w:tcW w:type="dxa" w:w="28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2E5F8A"/>
                <w:sz w:val="19"/>
                <w:szCs w:val="19"/>
              </w:rPr>
              <w:t xml:space="preserve">Sub-Supplier CM Oversight</w:t>
            </w:r>
          </w:p>
        </w:tc>
        <w:tc>
          <w:tcPr>
            <w:tcW w:type="dxa" w:w="64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9"/>
                <w:szCs w:val="19"/>
              </w:rPr>
              <w:t xml:space="preserve">Establish and enforce CM flow-down requirements; evaluate sub-supplier CMP compliance per §3.1.2 and Principle CMP-7.</w:t>
            </w:r>
          </w:p>
        </w:tc>
      </w:tr>
      <w:tr>
        <w:tc>
          <w:tcPr>
            <w:tcW w:type="dxa" w:w="28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bCs/>
                <w:color w:val="2E5F8A"/>
                <w:sz w:val="19"/>
                <w:szCs w:val="19"/>
              </w:rPr>
              <w:t xml:space="preserve">MIL Standards Literacy</w:t>
            </w:r>
          </w:p>
        </w:tc>
        <w:tc>
          <w:tcPr>
            <w:tcW w:type="dxa" w:w="64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9"/>
                <w:szCs w:val="19"/>
              </w:rPr>
              <w:t xml:space="preserve">Proficiency with MIL-HDBK-61 (CM Guidance), DAG, DFARS, and applicable DIDs (DI-SESS-80858, DI-MISC-80508).</w:t>
            </w:r>
          </w:p>
        </w:tc>
      </w:tr>
    </w:tbl>
    <w:p>
      <w:pPr>
        <w:spacing w:after="0" w:before="120"/>
      </w:pPr>
    </w:p>
    <w:p>
      <w:pPr>
        <w:pStyle w:val="Heading2"/>
        <w:shd w:fill="2E5F8A" w:val="clear"/>
        <w:spacing w:after="80" w:before="200"/>
        <w:ind w:left="120"/>
      </w:pPr>
      <w:r>
        <w:rPr>
          <w:rFonts w:ascii="Arial" w:cs="Arial" w:eastAsia="Arial" w:hAnsi="Arial"/>
          <w:b/>
          <w:bCs/>
          <w:color w:val="FFFFFF"/>
          <w:sz w:val="28"/>
          <w:szCs w:val="28"/>
        </w:rPr>
        <w:t xml:space="preserve">Soft Skills</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tcBorders>
              <w:top w:val="single" w:color="AAAAAA" w:sz="4"/>
              <w:left w:val="single" w:color="AAAAAA" w:sz="4"/>
              <w:bottom w:val="single" w:color="AAAAAA" w:sz="4"/>
              <w:right w:val="single" w:color="AAAAAA" w:sz="4"/>
            </w:tcBorders>
            <w:shd w:fill="2E5F8A" w:val="clear"/>
            <w:tcMar>
              <w:top w:type="dxa" w:w="100"/>
              <w:left w:type="dxa" w:w="120"/>
              <w:bottom w:type="dxa" w:w="100"/>
              <w:right w:type="dxa" w:w="120"/>
            </w:tcMar>
            <w:vAlign w:val="center"/>
          </w:tcPr>
          <w:p>
            <w:pPr>
              <w:spacing w:after="40" w:before="40"/>
              <w:jc w:val="center"/>
            </w:pPr>
            <w:r>
              <w:rPr>
                <w:rFonts w:ascii="Arial" w:cs="Arial" w:eastAsia="Arial" w:hAnsi="Arial"/>
                <w:b/>
                <w:bCs/>
                <w:color w:val="FFFFFF"/>
                <w:sz w:val="20"/>
                <w:szCs w:val="20"/>
              </w:rPr>
              <w:t xml:space="preserve">Soft Skill</w:t>
            </w:r>
          </w:p>
        </w:tc>
        <w:tc>
          <w:tcPr>
            <w:tcW w:type="dxa" w:w="6480"/>
            <w:tcBorders>
              <w:top w:val="single" w:color="AAAAAA" w:sz="4"/>
              <w:left w:val="single" w:color="AAAAAA" w:sz="4"/>
              <w:bottom w:val="single" w:color="AAAAAA" w:sz="4"/>
              <w:right w:val="single" w:color="AAAAAA" w:sz="4"/>
            </w:tcBorders>
            <w:shd w:fill="2E5F8A" w:val="clear"/>
            <w:tcMar>
              <w:top w:type="dxa" w:w="100"/>
              <w:left w:type="dxa" w:w="120"/>
              <w:bottom w:type="dxa" w:w="100"/>
              <w:right w:type="dxa" w:w="120"/>
            </w:tcMar>
            <w:vAlign w:val="center"/>
          </w:tcPr>
          <w:p>
            <w:pPr>
              <w:spacing w:after="40" w:before="40"/>
              <w:jc w:val="center"/>
            </w:pPr>
            <w:r>
              <w:rPr>
                <w:rFonts w:ascii="Arial" w:cs="Arial" w:eastAsia="Arial" w:hAnsi="Arial"/>
                <w:b/>
                <w:bCs/>
                <w:color w:val="FFFFFF"/>
                <w:sz w:val="20"/>
                <w:szCs w:val="20"/>
              </w:rPr>
              <w:t xml:space="preserve">Description / Application to EIA-649-1</w:t>
            </w:r>
          </w:p>
        </w:tc>
      </w:tr>
      <w:tr>
        <w:tc>
          <w:tcPr>
            <w:tcW w:type="dxa" w:w="28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2E5F8A"/>
                <w:sz w:val="19"/>
                <w:szCs w:val="19"/>
              </w:rPr>
              <w:t xml:space="preserve">Strategic Planning</w:t>
            </w:r>
          </w:p>
        </w:tc>
        <w:tc>
          <w:tcPr>
            <w:tcW w:type="dxa" w:w="64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9"/>
                <w:szCs w:val="19"/>
              </w:rPr>
              <w:t xml:space="preserve">Translate program CM requirements into an actionable, life-cycle-spanning CMP with clear organizational responsibilities and milestones.</w:t>
            </w:r>
          </w:p>
        </w:tc>
      </w:tr>
      <w:tr>
        <w:tc>
          <w:tcPr>
            <w:tcW w:type="dxa" w:w="28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bCs/>
                <w:color w:val="2E5F8A"/>
                <w:sz w:val="19"/>
                <w:szCs w:val="19"/>
              </w:rPr>
              <w:t xml:space="preserve">Written Communication</w:t>
            </w:r>
          </w:p>
        </w:tc>
        <w:tc>
          <w:tcPr>
            <w:tcW w:type="dxa" w:w="64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9"/>
                <w:szCs w:val="19"/>
              </w:rPr>
              <w:t xml:space="preserve">Author technically precise CM plans and performance reports that satisfy Acquirer review and approval per §3.1.2(1).</w:t>
            </w:r>
          </w:p>
        </w:tc>
      </w:tr>
      <w:tr>
        <w:tc>
          <w:tcPr>
            <w:tcW w:type="dxa" w:w="28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2E5F8A"/>
                <w:sz w:val="19"/>
                <w:szCs w:val="19"/>
              </w:rPr>
              <w:t xml:space="preserve">Stakeholder Management</w:t>
            </w:r>
          </w:p>
        </w:tc>
        <w:tc>
          <w:tcPr>
            <w:tcW w:type="dxa" w:w="64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9"/>
                <w:szCs w:val="19"/>
              </w:rPr>
              <w:t xml:space="preserve">Coordinate CM requirements across engineering, program management, contracts, logistics, and sub-suppliers while maintaining Acquirer relationships.</w:t>
            </w:r>
          </w:p>
        </w:tc>
      </w:tr>
      <w:tr>
        <w:tc>
          <w:tcPr>
            <w:tcW w:type="dxa" w:w="28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bCs/>
                <w:color w:val="2E5F8A"/>
                <w:sz w:val="19"/>
                <w:szCs w:val="19"/>
              </w:rPr>
              <w:t xml:space="preserve">Leadership &amp; Team Coordination</w:t>
            </w:r>
          </w:p>
        </w:tc>
        <w:tc>
          <w:tcPr>
            <w:tcW w:type="dxa" w:w="64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9"/>
                <w:szCs w:val="19"/>
              </w:rPr>
              <w:t xml:space="preserve">Assign, oversee, and mentor CM professionals across all five functions; hold personnel accountable to performance metrics.</w:t>
            </w:r>
          </w:p>
        </w:tc>
      </w:tr>
      <w:tr>
        <w:tc>
          <w:tcPr>
            <w:tcW w:type="dxa" w:w="28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2E5F8A"/>
                <w:sz w:val="19"/>
                <w:szCs w:val="19"/>
              </w:rPr>
              <w:t xml:space="preserve">Briefing &amp; Presentation Skills</w:t>
            </w:r>
          </w:p>
        </w:tc>
        <w:tc>
          <w:tcPr>
            <w:tcW w:type="dxa" w:w="64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9"/>
                <w:szCs w:val="19"/>
              </w:rPr>
              <w:t xml:space="preserve">Brief CM status, metrics, and plan compliance at technical reviews and program reviews attended by government Acquirers.</w:t>
            </w:r>
          </w:p>
        </w:tc>
      </w:tr>
      <w:tr>
        <w:tc>
          <w:tcPr>
            <w:tcW w:type="dxa" w:w="28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bCs/>
                <w:color w:val="2E5F8A"/>
                <w:sz w:val="19"/>
                <w:szCs w:val="19"/>
              </w:rPr>
              <w:t xml:space="preserve">Continuous Improvement Mindset</w:t>
            </w:r>
          </w:p>
        </w:tc>
        <w:tc>
          <w:tcPr>
            <w:tcW w:type="dxa" w:w="64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9"/>
                <w:szCs w:val="19"/>
              </w:rPr>
              <w:t xml:space="preserve">Apply Principle CMP-6 — conduct periodic assessments of CM process effectiveness and drive corrective actions.</w:t>
            </w:r>
          </w:p>
        </w:tc>
      </w:tr>
    </w:tbl>
    <w:p>
      <w:r>
        <w:br w:type="page"/>
      </w:r>
    </w:p>
    <w:p>
      <w:pPr>
        <w:pStyle w:val="Heading1"/>
        <w:shd w:fill="1F3864" w:val="clear"/>
        <w:spacing w:after="120" w:before="240"/>
        <w:ind w:left="120"/>
      </w:pPr>
      <w:r>
        <w:rPr>
          <w:rFonts w:ascii="Arial" w:cs="Arial" w:eastAsia="Arial" w:hAnsi="Arial"/>
          <w:b/>
          <w:bCs/>
          <w:color w:val="FFFFFF"/>
          <w:sz w:val="36"/>
          <w:szCs w:val="36"/>
        </w:rPr>
        <w:t xml:space="preserve">CM Function 2: Configuration Identification</w:t>
      </w:r>
    </w:p>
    <w:p>
      <w:pPr>
        <w:spacing w:after="0" w:before="80"/>
      </w:pPr>
    </w:p>
    <w:tbl>
      <w:tblPr>
        <w:tblW w:type="dxa" w:w="9360"/>
        <w:tblBorders>
          <w:top w:val="single" w:color="2E5F8A" w:sz="8"/>
          <w:left w:val="single" w:color="2E5F8A" w:sz="8"/>
          <w:bottom w:val="single" w:color="2E5F8A" w:sz="8"/>
          <w:right w:val="single" w:color="2E5F8A" w:sz="8"/>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BDD7EE" w:val="clear"/>
            <w:tcMar>
              <w:top w:type="dxa" w:w="100"/>
              <w:left w:type="dxa" w:w="200"/>
              <w:bottom w:type="dxa" w:w="100"/>
              <w:right w:type="dxa" w:w="200"/>
            </w:tcMar>
          </w:tcPr>
          <w:p>
            <w:pPr>
              <w:spacing w:after="40" w:before="40"/>
            </w:pPr>
            <w:r>
              <w:rPr>
                <w:rFonts w:ascii="Arial" w:cs="Arial" w:eastAsia="Arial" w:hAnsi="Arial"/>
                <w:b/>
                <w:bCs/>
                <w:color w:val="1F3864"/>
                <w:sz w:val="22"/>
                <w:szCs w:val="22"/>
              </w:rPr>
              <w:t xml:space="preserve">§3.2 — What This Function Requires</w:t>
            </w:r>
          </w:p>
        </w:tc>
      </w:tr>
      <w:tr>
        <w:tc>
          <w:tcPr>
            <w:tcW w:type="dxa" w:w="9360"/>
            <w:tcBorders>
              <w:top w:val="none" w:color="FFFFFF" w:sz="0"/>
              <w:left w:val="none" w:color="FFFFFF" w:sz="0"/>
              <w:bottom w:val="none" w:color="FFFFFF" w:sz="0"/>
              <w:right w:val="none" w:color="FFFFFF" w:sz="0"/>
            </w:tcBorders>
            <w:shd w:fill="D5E8F0" w:val="clear"/>
            <w:tcMar>
              <w:top w:type="dxa" w:w="80"/>
              <w:left w:type="dxa" w:w="200"/>
              <w:bottom w:type="dxa" w:w="80"/>
              <w:right w:type="dxa" w:w="200"/>
            </w:tcMar>
          </w:tcPr>
          <w:p>
            <w:pPr>
              <w:spacing w:after="40" w:before="40"/>
            </w:pPr>
            <w:r>
              <w:rPr>
                <w:rFonts w:ascii="Arial" w:cs="Arial" w:eastAsia="Arial" w:hAnsi="Arial"/>
                <w:color w:val="404040"/>
                <w:sz w:val="20"/>
                <w:szCs w:val="20"/>
              </w:rPr>
              <w:t xml:space="preserve">Select configuration items (CIs) based on safety, criticality, technical complexity, and logistics criteria.</w:t>
            </w:r>
          </w:p>
        </w:tc>
      </w:tr>
      <w:tr>
        <w:tc>
          <w:tcPr>
            <w:tcW w:type="dxa" w:w="9360"/>
            <w:tcBorders>
              <w:top w:val="none" w:color="FFFFFF" w:sz="0"/>
              <w:left w:val="none" w:color="FFFFFF" w:sz="0"/>
              <w:bottom w:val="none" w:color="FFFFFF" w:sz="0"/>
              <w:right w:val="none" w:color="FFFFFF" w:sz="0"/>
            </w:tcBorders>
            <w:shd w:fill="D5E8F0" w:val="clear"/>
            <w:tcMar>
              <w:top w:type="dxa" w:w="80"/>
              <w:left w:type="dxa" w:w="200"/>
              <w:bottom w:type="dxa" w:w="80"/>
              <w:right w:type="dxa" w:w="200"/>
            </w:tcMar>
          </w:tcPr>
          <w:p>
            <w:pPr>
              <w:spacing w:after="40" w:before="40"/>
            </w:pPr>
            <w:r>
              <w:rPr>
                <w:rFonts w:ascii="Arial" w:cs="Arial" w:eastAsia="Arial" w:hAnsi="Arial"/>
                <w:color w:val="404040"/>
                <w:sz w:val="20"/>
                <w:szCs w:val="20"/>
              </w:rPr>
              <w:t xml:space="preserve">Establish CI structure and hierarchy; assign enterprise, product, unit, group, and document identifiers.</w:t>
            </w:r>
          </w:p>
        </w:tc>
      </w:tr>
      <w:tr>
        <w:tc>
          <w:tcPr>
            <w:tcW w:type="dxa" w:w="9360"/>
            <w:tcBorders>
              <w:top w:val="none" w:color="FFFFFF" w:sz="0"/>
              <w:left w:val="none" w:color="FFFFFF" w:sz="0"/>
              <w:bottom w:val="none" w:color="FFFFFF" w:sz="0"/>
              <w:right w:val="none" w:color="FFFFFF" w:sz="0"/>
            </w:tcBorders>
            <w:shd w:fill="D5E8F0" w:val="clear"/>
            <w:tcMar>
              <w:top w:type="dxa" w:w="80"/>
              <w:left w:type="dxa" w:w="200"/>
              <w:bottom w:type="dxa" w:w="80"/>
              <w:right w:type="dxa" w:w="200"/>
            </w:tcMar>
          </w:tcPr>
          <w:p>
            <w:pPr>
              <w:spacing w:after="40" w:before="40"/>
            </w:pPr>
            <w:r>
              <w:rPr>
                <w:rFonts w:ascii="Arial" w:cs="Arial" w:eastAsia="Arial" w:hAnsi="Arial"/>
                <w:color w:val="404040"/>
                <w:sz w:val="20"/>
                <w:szCs w:val="20"/>
              </w:rPr>
              <w:t xml:space="preserve">Document Functional (FBL), Allocated (ABL), and Product (PBL) configuration baselines.</w:t>
            </w:r>
          </w:p>
        </w:tc>
      </w:tr>
      <w:tr>
        <w:tc>
          <w:tcPr>
            <w:tcW w:type="dxa" w:w="9360"/>
            <w:tcBorders>
              <w:top w:val="none" w:color="FFFFFF" w:sz="0"/>
              <w:left w:val="none" w:color="FFFFFF" w:sz="0"/>
              <w:bottom w:val="none" w:color="FFFFFF" w:sz="0"/>
              <w:right w:val="none" w:color="FFFFFF" w:sz="0"/>
            </w:tcBorders>
            <w:shd w:fill="D5E8F0" w:val="clear"/>
            <w:tcMar>
              <w:top w:type="dxa" w:w="80"/>
              <w:left w:type="dxa" w:w="200"/>
              <w:bottom w:type="dxa" w:w="80"/>
              <w:right w:type="dxa" w:w="200"/>
            </w:tcMar>
          </w:tcPr>
          <w:p>
            <w:pPr>
              <w:spacing w:after="40" w:before="40"/>
            </w:pPr>
            <w:r>
              <w:rPr>
                <w:rFonts w:ascii="Arial" w:cs="Arial" w:eastAsia="Arial" w:hAnsi="Arial"/>
                <w:color w:val="404040"/>
                <w:sz w:val="20"/>
                <w:szCs w:val="20"/>
              </w:rPr>
              <w:t xml:space="preserve">Manage Engineering Release System; control configuration documentation through the engineering release process.</w:t>
            </w:r>
          </w:p>
        </w:tc>
      </w:tr>
      <w:tr>
        <w:tc>
          <w:tcPr>
            <w:tcW w:type="dxa" w:w="9360"/>
            <w:tcBorders>
              <w:top w:val="none" w:color="FFFFFF" w:sz="0"/>
              <w:left w:val="none" w:color="FFFFFF" w:sz="0"/>
              <w:bottom w:val="none" w:color="FFFFFF" w:sz="0"/>
              <w:right w:val="none" w:color="FFFFFF" w:sz="0"/>
            </w:tcBorders>
            <w:shd w:fill="D5E8F0" w:val="clear"/>
            <w:tcMar>
              <w:top w:type="dxa" w:w="80"/>
              <w:left w:type="dxa" w:w="200"/>
              <w:bottom w:type="dxa" w:w="80"/>
              <w:right w:type="dxa" w:w="200"/>
            </w:tcMar>
          </w:tcPr>
          <w:p>
            <w:pPr>
              <w:spacing w:after="40" w:before="40"/>
            </w:pPr>
            <w:r>
              <w:rPr>
                <w:rFonts w:ascii="Arial" w:cs="Arial" w:eastAsia="Arial" w:hAnsi="Arial"/>
                <w:color w:val="404040"/>
                <w:sz w:val="20"/>
                <w:szCs w:val="20"/>
              </w:rPr>
              <w:t xml:space="preserve">Manage interfaces (ICD, ICWG); mark and label hardware CIs and software media per MIL standards.</w:t>
            </w:r>
          </w:p>
        </w:tc>
      </w:tr>
    </w:tbl>
    <w:p>
      <w:pPr>
        <w:spacing w:after="0" w:before="120"/>
      </w:pPr>
    </w:p>
    <w:p>
      <w:pPr>
        <w:pStyle w:val="Heading2"/>
        <w:shd w:fill="2E5F8A" w:val="clear"/>
        <w:spacing w:after="80" w:before="200"/>
        <w:ind w:left="120"/>
      </w:pPr>
      <w:r>
        <w:rPr>
          <w:rFonts w:ascii="Arial" w:cs="Arial" w:eastAsia="Arial" w:hAnsi="Arial"/>
          <w:b/>
          <w:bCs/>
          <w:color w:val="FFFFFF"/>
          <w:sz w:val="28"/>
          <w:szCs w:val="28"/>
        </w:rPr>
        <w:t xml:space="preserve">Education Degree Requirements</w:t>
      </w:r>
    </w:p>
    <w:p>
      <w:pPr>
        <w:spacing w:after="0" w:before="60"/>
      </w:pPr>
    </w:p>
    <w:p>
      <w:pPr>
        <w:spacing w:after="80" w:before="80"/>
        <w:jc w:val="left"/>
      </w:pPr>
      <w:r>
        <w:rPr>
          <w:rFonts w:ascii="Arial" w:cs="Arial" w:eastAsia="Arial" w:hAnsi="Arial"/>
          <w:b/>
          <w:bCs/>
          <w:color w:val="C00000"/>
          <w:sz w:val="24"/>
          <w:szCs w:val="24"/>
        </w:rPr>
        <w:t xml:space="preserve">DETERMINATION: </w:t>
      </w:r>
      <w:r>
        <w:rPr>
          <w:rFonts w:ascii="Arial" w:cs="Arial" w:eastAsia="Arial" w:hAnsi="Arial"/>
          <w:b/>
          <w:bCs/>
          <w:color w:val="404040"/>
          <w:sz w:val="24"/>
          <w:szCs w:val="24"/>
        </w:rPr>
        <w:t xml:space="preserve">B.S. in Engineering or Engineering Technology — REQUIRED (No Exceptions Justified by Standard)</w:t>
      </w:r>
    </w:p>
    <w:p>
      <w:pPr>
        <w:spacing w:after="0" w:before="40"/>
      </w:pPr>
    </w:p>
    <w:p>
      <w:pPr>
        <w:spacing w:after="100" w:before="60"/>
        <w:jc w:val="left"/>
      </w:pPr>
      <w:r>
        <w:rPr>
          <w:rFonts w:ascii="Arial" w:cs="Arial" w:eastAsia="Arial" w:hAnsi="Arial"/>
          <w:i w:val="false"/>
          <w:iCs w:val="false"/>
          <w:color w:val="404040"/>
          <w:sz w:val="22"/>
          <w:szCs w:val="22"/>
        </w:rPr>
        <w:t xml:space="preserve">Configuration Identification is the function most tightly coupled to engineering knowledge, and it is where the associate's-degree hiring model creates the greatest compliance risk. The standard assigns to the CM organization the responsibility to determine which items are safety-critical, system-critical, or technologically complex (§3.2.1). These determinations have direct implications for how much rigor is applied throughout the product lifecycle — and incorrect CI selection can result in uncontrolled changes to flight-critical hardware. Furthermore, documenting the three baselines (FBL, ABL, PBL) requires understanding functional performance requirements, allocated requirements, form-fit-function, and acceptance test requirements — all content drawn from systems engineering curricula that is not part of an A.A.S. program. The engineering release process, interface management (ICD/ICWG), and software identification requirements add further layers of technical complexity that demand a baccalaureate-level technical education.</w:t>
      </w:r>
    </w:p>
    <w:p>
      <w:pPr>
        <w:pStyle w:val="Heading3"/>
        <w:pBdr>
          <w:bottom w:val="single" w:color="2E5F8A" w:sz="6"/>
        </w:pBdr>
        <w:spacing w:after="80" w:before="160"/>
      </w:pPr>
      <w:r>
        <w:rPr>
          <w:rFonts w:ascii="Arial" w:cs="Arial" w:eastAsia="Arial" w:hAnsi="Arial"/>
          <w:b/>
          <w:bCs/>
          <w:color w:val="1F3864"/>
          <w:sz w:val="24"/>
          <w:szCs w:val="24"/>
        </w:rPr>
        <w:t xml:space="preserve">EIA-649-1 Traceability — Why a Technical Degree Is Required for Configuration Identification</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3200"/>
        <w:gridCol w:w="4720"/>
      </w:tblGrid>
      <w:tr>
        <w:trPr>
          <w:tblHeader/>
        </w:trPr>
        <w:tc>
          <w:tcPr>
            <w:tcW w:type="dxa" w:w="1440"/>
            <w:tcBorders>
              <w:top w:val="single" w:color="AAAAAA" w:sz="4"/>
              <w:left w:val="single" w:color="AAAAAA" w:sz="4"/>
              <w:bottom w:val="single" w:color="AAAAAA" w:sz="4"/>
              <w:right w:val="single" w:color="AAAAAA" w:sz="4"/>
            </w:tcBorders>
            <w:shd w:fill="1F3864" w:val="clear"/>
            <w:tcMar>
              <w:top w:type="dxa" w:w="100"/>
              <w:left w:type="dxa" w:w="120"/>
              <w:bottom w:type="dxa" w:w="100"/>
              <w:right w:type="dxa" w:w="120"/>
            </w:tcMar>
            <w:vAlign w:val="center"/>
          </w:tcPr>
          <w:p>
            <w:pPr>
              <w:spacing w:after="40" w:before="40"/>
              <w:jc w:val="center"/>
            </w:pPr>
            <w:r>
              <w:rPr>
                <w:rFonts w:ascii="Arial" w:cs="Arial" w:eastAsia="Arial" w:hAnsi="Arial"/>
                <w:b/>
                <w:bCs/>
                <w:color w:val="FFFFFF"/>
                <w:sz w:val="20"/>
                <w:szCs w:val="20"/>
              </w:rPr>
              <w:t xml:space="preserve">649-1 Para.</w:t>
            </w:r>
          </w:p>
        </w:tc>
        <w:tc>
          <w:tcPr>
            <w:tcW w:type="dxa" w:w="3200"/>
            <w:tcBorders>
              <w:top w:val="single" w:color="AAAAAA" w:sz="4"/>
              <w:left w:val="single" w:color="AAAAAA" w:sz="4"/>
              <w:bottom w:val="single" w:color="AAAAAA" w:sz="4"/>
              <w:right w:val="single" w:color="AAAAAA" w:sz="4"/>
            </w:tcBorders>
            <w:shd w:fill="1F3864" w:val="clear"/>
            <w:tcMar>
              <w:top w:type="dxa" w:w="100"/>
              <w:left w:type="dxa" w:w="120"/>
              <w:bottom w:type="dxa" w:w="100"/>
              <w:right w:type="dxa" w:w="120"/>
            </w:tcMar>
            <w:vAlign w:val="center"/>
          </w:tcPr>
          <w:p>
            <w:pPr>
              <w:spacing w:after="40" w:before="40"/>
              <w:jc w:val="center"/>
            </w:pPr>
            <w:r>
              <w:rPr>
                <w:rFonts w:ascii="Arial" w:cs="Arial" w:eastAsia="Arial" w:hAnsi="Arial"/>
                <w:b/>
                <w:bCs/>
                <w:color w:val="FFFFFF"/>
                <w:sz w:val="20"/>
                <w:szCs w:val="20"/>
              </w:rPr>
              <w:t xml:space="preserve">Requirement Language</w:t>
            </w:r>
          </w:p>
        </w:tc>
        <w:tc>
          <w:tcPr>
            <w:tcW w:type="dxa" w:w="4720"/>
            <w:tcBorders>
              <w:top w:val="single" w:color="AAAAAA" w:sz="4"/>
              <w:left w:val="single" w:color="AAAAAA" w:sz="4"/>
              <w:bottom w:val="single" w:color="AAAAAA" w:sz="4"/>
              <w:right w:val="single" w:color="AAAAAA" w:sz="4"/>
            </w:tcBorders>
            <w:shd w:fill="1F3864" w:val="clear"/>
            <w:tcMar>
              <w:top w:type="dxa" w:w="100"/>
              <w:left w:type="dxa" w:w="120"/>
              <w:bottom w:type="dxa" w:w="100"/>
              <w:right w:type="dxa" w:w="120"/>
            </w:tcMar>
            <w:vAlign w:val="center"/>
          </w:tcPr>
          <w:p>
            <w:pPr>
              <w:spacing w:after="40" w:before="40"/>
              <w:jc w:val="center"/>
            </w:pPr>
            <w:r>
              <w:rPr>
                <w:rFonts w:ascii="Arial" w:cs="Arial" w:eastAsia="Arial" w:hAnsi="Arial"/>
                <w:b/>
                <w:bCs/>
                <w:color w:val="FFFFFF"/>
                <w:sz w:val="20"/>
                <w:szCs w:val="20"/>
              </w:rPr>
              <w:t xml:space="preserve">Why This Requires a Technical Degree</w:t>
            </w:r>
          </w:p>
        </w:tc>
      </w:tr>
      <w:tr>
        <w:tc>
          <w:tcPr>
            <w:tcW w:type="dxa" w:w="14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2E5F8A"/>
                <w:sz w:val="18"/>
                <w:szCs w:val="18"/>
              </w:rPr>
              <w:t xml:space="preserve">§3.2.1(2)a</w:t>
            </w:r>
          </w:p>
        </w:tc>
        <w:tc>
          <w:tcPr>
            <w:tcW w:type="dxa" w:w="3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8"/>
                <w:szCs w:val="18"/>
              </w:rPr>
              <w:t xml:space="preserve">Identify as a CI any item critical to the functioning of the system.</w:t>
            </w:r>
          </w:p>
        </w:tc>
        <w:tc>
          <w:tcPr>
            <w:tcW w:type="dxa" w:w="47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595959"/>
                <w:sz w:val="18"/>
                <w:szCs w:val="18"/>
              </w:rPr>
              <w:t xml:space="preserve">Determining what is 'critical to the functioning' of a defense aerospace system (avionics, propulsion, flight controls, structural CIs) requires systems-level engineering understanding. A practitioner without an engineering degree has no reliable framework for making this determination, and errors directly impact product safety and contract compliance.</w:t>
            </w:r>
          </w:p>
        </w:tc>
      </w:tr>
      <w:tr>
        <w:tc>
          <w:tcPr>
            <w:tcW w:type="dxa" w:w="14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bCs/>
                <w:color w:val="2E5F8A"/>
                <w:sz w:val="18"/>
                <w:szCs w:val="18"/>
              </w:rPr>
              <w:t xml:space="preserve">§3.2.1(2)b</w:t>
            </w:r>
          </w:p>
        </w:tc>
        <w:tc>
          <w:tcPr>
            <w:tcW w:type="dxa" w:w="3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8"/>
                <w:szCs w:val="18"/>
              </w:rPr>
              <w:t xml:space="preserve">Identify as a CI any item whose failure might result in serious injury, loss of life, or loss of primary system capability.</w:t>
            </w:r>
          </w:p>
        </w:tc>
        <w:tc>
          <w:tcPr>
            <w:tcW w:type="dxa" w:w="472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val="false"/>
                <w:bCs w:val="false"/>
                <w:color w:val="595959"/>
                <w:sz w:val="18"/>
                <w:szCs w:val="18"/>
              </w:rPr>
              <w:t xml:space="preserve">Safety-criticality assessment is a formal engineering discipline (reference: MIL-STD-882 System Safety). Assigning or failing to assign CI status to safety-critical hardware without engineering training constitutes an unacceptable risk in a defense aerospace context.</w:t>
            </w:r>
          </w:p>
        </w:tc>
      </w:tr>
      <w:tr>
        <w:tc>
          <w:tcPr>
            <w:tcW w:type="dxa" w:w="14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2E5F8A"/>
                <w:sz w:val="18"/>
                <w:szCs w:val="18"/>
              </w:rPr>
              <w:t xml:space="preserve">§3.2.1(2)c</w:t>
            </w:r>
          </w:p>
        </w:tc>
        <w:tc>
          <w:tcPr>
            <w:tcW w:type="dxa" w:w="3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8"/>
                <w:szCs w:val="18"/>
              </w:rPr>
              <w:t xml:space="preserve">Identify as CI any item whose technology is complex, not well known, and critical to acquisition, operational, or supportability goals.</w:t>
            </w:r>
          </w:p>
        </w:tc>
        <w:tc>
          <w:tcPr>
            <w:tcW w:type="dxa" w:w="47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595959"/>
                <w:sz w:val="18"/>
                <w:szCs w:val="18"/>
              </w:rPr>
              <w:t xml:space="preserve">Assessing technological complexity and acquisition/supportability risk requires understanding of system technology, maturity levels, and program risk — graduate-level-adjacent knowledge that is grounded in an engineering education.</w:t>
            </w:r>
          </w:p>
        </w:tc>
      </w:tr>
      <w:tr>
        <w:tc>
          <w:tcPr>
            <w:tcW w:type="dxa" w:w="14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bCs/>
                <w:color w:val="2E5F8A"/>
                <w:sz w:val="18"/>
                <w:szCs w:val="18"/>
              </w:rPr>
              <w:t xml:space="preserve">§3.2.2.2 &amp; §3.2.2.2.1</w:t>
            </w:r>
          </w:p>
        </w:tc>
        <w:tc>
          <w:tcPr>
            <w:tcW w:type="dxa" w:w="3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8"/>
                <w:szCs w:val="18"/>
              </w:rPr>
              <w:t xml:space="preserve">Document FBL: functional, performance, interoperability, and interface requirements and required verifications. Document ABL: allocated requirements from higher-level CI plus interface requirements.</w:t>
            </w:r>
          </w:p>
        </w:tc>
        <w:tc>
          <w:tcPr>
            <w:tcW w:type="dxa" w:w="472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val="false"/>
                <w:bCs w:val="false"/>
                <w:color w:val="595959"/>
                <w:sz w:val="18"/>
                <w:szCs w:val="18"/>
              </w:rPr>
              <w:t xml:space="preserve">Understanding performance requirements, requirement allocation from system to CI level, interoperability criteria, and verification methods is systems engineering content. These skills are explicitly developed in B.S. engineering curricula (systems engineering, requirements engineering) and are not covered in A.A.S. programs.</w:t>
            </w:r>
          </w:p>
        </w:tc>
      </w:tr>
      <w:tr>
        <w:tc>
          <w:tcPr>
            <w:tcW w:type="dxa" w:w="14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2E5F8A"/>
                <w:sz w:val="18"/>
                <w:szCs w:val="18"/>
              </w:rPr>
              <w:t xml:space="preserve">§3.2.2.2.2</w:t>
            </w:r>
          </w:p>
        </w:tc>
        <w:tc>
          <w:tcPr>
            <w:tcW w:type="dxa" w:w="3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8"/>
                <w:szCs w:val="18"/>
              </w:rPr>
              <w:t xml:space="preserve">Document PBL: form, fit, and function characteristics; acceptance testing; tooling; process specifications; packaging.</w:t>
            </w:r>
          </w:p>
        </w:tc>
        <w:tc>
          <w:tcPr>
            <w:tcW w:type="dxa" w:w="47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595959"/>
                <w:sz w:val="18"/>
                <w:szCs w:val="18"/>
              </w:rPr>
              <w:t xml:space="preserve">Documenting form, fit, and function requires the ability to read and interpret engineering drawings and CAD models. Identifying required tooling, manufacturing processes, and acceptance test requirements requires manufacturing/mechanical engineering literacy.</w:t>
            </w:r>
          </w:p>
        </w:tc>
      </w:tr>
      <w:tr>
        <w:tc>
          <w:tcPr>
            <w:tcW w:type="dxa" w:w="14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bCs/>
                <w:color w:val="2E5F8A"/>
                <w:sz w:val="18"/>
                <w:szCs w:val="18"/>
              </w:rPr>
              <w:t xml:space="preserve">§3.2.3</w:t>
            </w:r>
          </w:p>
        </w:tc>
        <w:tc>
          <w:tcPr>
            <w:tcW w:type="dxa" w:w="3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8"/>
                <w:szCs w:val="18"/>
              </w:rPr>
              <w:t xml:space="preserve">Use an Engineering Release System with formal ERRs to authorize new or revised configuration documentation; incorporate approved ECPs into configuration documentation.</w:t>
            </w:r>
          </w:p>
        </w:tc>
        <w:tc>
          <w:tcPr>
            <w:tcW w:type="dxa" w:w="472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val="false"/>
                <w:bCs w:val="false"/>
                <w:color w:val="595959"/>
                <w:sz w:val="18"/>
                <w:szCs w:val="18"/>
              </w:rPr>
              <w:t xml:space="preserve">The engineering release process gates the transition of design information from developmental status to controlled baseline. Understanding when documentation is complete and releasable requires engineering judgment about design maturity.</w:t>
            </w:r>
          </w:p>
        </w:tc>
      </w:tr>
      <w:tr>
        <w:tc>
          <w:tcPr>
            <w:tcW w:type="dxa" w:w="14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2E5F8A"/>
                <w:sz w:val="18"/>
                <w:szCs w:val="18"/>
              </w:rPr>
              <w:t xml:space="preserve">§3.2.4(4)</w:t>
            </w:r>
          </w:p>
        </w:tc>
        <w:tc>
          <w:tcPr>
            <w:tcW w:type="dxa" w:w="3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8"/>
                <w:szCs w:val="18"/>
              </w:rPr>
              <w:t xml:space="preserve">The design document identifier (CAD model, engineering drawing) shall be the same as, or included within, the part number.</w:t>
            </w:r>
          </w:p>
        </w:tc>
        <w:tc>
          <w:tcPr>
            <w:tcW w:type="dxa" w:w="47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595959"/>
                <w:sz w:val="18"/>
                <w:szCs w:val="18"/>
              </w:rPr>
              <w:t xml:space="preserve">Applying this rule correctly requires understanding the relationship between CAD models, engineering drawings, and part numbers — knowledge developed in engineering technology curricula through coursework in engineering graphics and CAD.</w:t>
            </w:r>
          </w:p>
        </w:tc>
      </w:tr>
      <w:tr>
        <w:tc>
          <w:tcPr>
            <w:tcW w:type="dxa" w:w="14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bCs/>
                <w:color w:val="2E5F8A"/>
                <w:sz w:val="18"/>
                <w:szCs w:val="18"/>
              </w:rPr>
              <w:t xml:space="preserve">§3.2.5</w:t>
            </w:r>
          </w:p>
        </w:tc>
        <w:tc>
          <w:tcPr>
            <w:tcW w:type="dxa" w:w="3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8"/>
                <w:szCs w:val="18"/>
              </w:rPr>
              <w:t xml:space="preserve">Identify internal and external interface requirements for the system and CIs; maintain configuration control of interface requirements; participate in ICWG.</w:t>
            </w:r>
          </w:p>
        </w:tc>
        <w:tc>
          <w:tcPr>
            <w:tcW w:type="dxa" w:w="472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val="false"/>
                <w:bCs w:val="false"/>
                <w:color w:val="595959"/>
                <w:sz w:val="18"/>
                <w:szCs w:val="18"/>
              </w:rPr>
              <w:t xml:space="preserve">Interface identification, documentation of functional and physical interface characteristics, and ICWG participation require understanding of system architecture and interface engineering — not covered in A.A.S. programs.</w:t>
            </w:r>
          </w:p>
        </w:tc>
      </w:tr>
    </w:tbl>
    <w:p>
      <w:pPr>
        <w:spacing w:after="0" w:before="120"/>
      </w:pPr>
    </w:p>
    <w:p>
      <w:pPr>
        <w:pStyle w:val="Heading2"/>
        <w:shd w:fill="2E5F8A" w:val="clear"/>
        <w:spacing w:after="80" w:before="200"/>
        <w:ind w:left="120"/>
      </w:pPr>
      <w:r>
        <w:rPr>
          <w:rFonts w:ascii="Arial" w:cs="Arial" w:eastAsia="Arial" w:hAnsi="Arial"/>
          <w:b/>
          <w:bCs/>
          <w:color w:val="FFFFFF"/>
          <w:sz w:val="28"/>
          <w:szCs w:val="28"/>
        </w:rPr>
        <w:t xml:space="preserve">Technical Skills</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tcBorders>
              <w:top w:val="single" w:color="AAAAAA" w:sz="4"/>
              <w:left w:val="single" w:color="AAAAAA" w:sz="4"/>
              <w:bottom w:val="single" w:color="AAAAAA" w:sz="4"/>
              <w:right w:val="single" w:color="AAAAAA" w:sz="4"/>
            </w:tcBorders>
            <w:shd w:fill="2E5F8A" w:val="clear"/>
            <w:tcMar>
              <w:top w:type="dxa" w:w="100"/>
              <w:left w:type="dxa" w:w="120"/>
              <w:bottom w:type="dxa" w:w="100"/>
              <w:right w:type="dxa" w:w="120"/>
            </w:tcMar>
            <w:vAlign w:val="center"/>
          </w:tcPr>
          <w:p>
            <w:pPr>
              <w:spacing w:after="40" w:before="40"/>
              <w:jc w:val="center"/>
            </w:pPr>
            <w:r>
              <w:rPr>
                <w:rFonts w:ascii="Arial" w:cs="Arial" w:eastAsia="Arial" w:hAnsi="Arial"/>
                <w:b/>
                <w:bCs/>
                <w:color w:val="FFFFFF"/>
                <w:sz w:val="20"/>
                <w:szCs w:val="20"/>
              </w:rPr>
              <w:t xml:space="preserve">Technical Skill</w:t>
            </w:r>
          </w:p>
        </w:tc>
        <w:tc>
          <w:tcPr>
            <w:tcW w:type="dxa" w:w="6480"/>
            <w:tcBorders>
              <w:top w:val="single" w:color="AAAAAA" w:sz="4"/>
              <w:left w:val="single" w:color="AAAAAA" w:sz="4"/>
              <w:bottom w:val="single" w:color="AAAAAA" w:sz="4"/>
              <w:right w:val="single" w:color="AAAAAA" w:sz="4"/>
            </w:tcBorders>
            <w:shd w:fill="2E5F8A" w:val="clear"/>
            <w:tcMar>
              <w:top w:type="dxa" w:w="100"/>
              <w:left w:type="dxa" w:w="120"/>
              <w:bottom w:type="dxa" w:w="100"/>
              <w:right w:type="dxa" w:w="120"/>
            </w:tcMar>
            <w:vAlign w:val="center"/>
          </w:tcPr>
          <w:p>
            <w:pPr>
              <w:spacing w:after="40" w:before="40"/>
              <w:jc w:val="center"/>
            </w:pPr>
            <w:r>
              <w:rPr>
                <w:rFonts w:ascii="Arial" w:cs="Arial" w:eastAsia="Arial" w:hAnsi="Arial"/>
                <w:b/>
                <w:bCs/>
                <w:color w:val="FFFFFF"/>
                <w:sz w:val="20"/>
                <w:szCs w:val="20"/>
              </w:rPr>
              <w:t xml:space="preserve">Description / Application to EIA-649-1</w:t>
            </w:r>
          </w:p>
        </w:tc>
      </w:tr>
      <w:tr>
        <w:tc>
          <w:tcPr>
            <w:tcW w:type="dxa" w:w="28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2E5F8A"/>
                <w:sz w:val="19"/>
                <w:szCs w:val="19"/>
              </w:rPr>
              <w:t xml:space="preserve">CI Selection &amp; Criteria Application</w:t>
            </w:r>
          </w:p>
        </w:tc>
        <w:tc>
          <w:tcPr>
            <w:tcW w:type="dxa" w:w="64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9"/>
                <w:szCs w:val="19"/>
              </w:rPr>
              <w:t xml:space="preserve">Apply §3.2.1(2) criteria to systematically evaluate and propose CIs for Acquirer concurrence. Assess safety, criticality, technology risk, logistics, and government control factors.</w:t>
            </w:r>
          </w:p>
        </w:tc>
      </w:tr>
      <w:tr>
        <w:tc>
          <w:tcPr>
            <w:tcW w:type="dxa" w:w="28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bCs/>
                <w:color w:val="2E5F8A"/>
                <w:sz w:val="19"/>
                <w:szCs w:val="19"/>
              </w:rPr>
              <w:t xml:space="preserve">CI Structure / BOM Hierarchy</w:t>
            </w:r>
          </w:p>
        </w:tc>
        <w:tc>
          <w:tcPr>
            <w:tcW w:type="dxa" w:w="64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9"/>
                <w:szCs w:val="19"/>
              </w:rPr>
              <w:t xml:space="preserve">Establish and maintain product structure: system, subsystem, CI, assembly, component relationships. Manage CI hierarchy in PLM/PDM tools.</w:t>
            </w:r>
          </w:p>
        </w:tc>
      </w:tr>
      <w:tr>
        <w:tc>
          <w:tcPr>
            <w:tcW w:type="dxa" w:w="28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2E5F8A"/>
                <w:sz w:val="19"/>
                <w:szCs w:val="19"/>
              </w:rPr>
              <w:t xml:space="preserve">Baseline Documentation (FBL/ABL/PBL)</w:t>
            </w:r>
          </w:p>
        </w:tc>
        <w:tc>
          <w:tcPr>
            <w:tcW w:type="dxa" w:w="64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9"/>
                <w:szCs w:val="19"/>
              </w:rPr>
              <w:t xml:space="preserve">Document and maintain functional, allocated, and product configuration documentation per §3.2.2.2, §3.2.2.2.1, §3.2.2.2.2. Understand what documentation constitutes each baseline type.</w:t>
            </w:r>
          </w:p>
        </w:tc>
      </w:tr>
      <w:tr>
        <w:tc>
          <w:tcPr>
            <w:tcW w:type="dxa" w:w="28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bCs/>
                <w:color w:val="2E5F8A"/>
                <w:sz w:val="19"/>
                <w:szCs w:val="19"/>
              </w:rPr>
              <w:t xml:space="preserve">Engineering Drawing Literacy</w:t>
            </w:r>
          </w:p>
        </w:tc>
        <w:tc>
          <w:tcPr>
            <w:tcW w:type="dxa" w:w="64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9"/>
                <w:szCs w:val="19"/>
              </w:rPr>
              <w:t xml:space="preserve">Read and interpret engineering drawings, CAD models (3D MBD), and associated lists per ASME Y14.100, Y14.35, Y14.41. Required for CI identification, PBL documentation, and PCA.</w:t>
            </w:r>
          </w:p>
        </w:tc>
      </w:tr>
      <w:tr>
        <w:tc>
          <w:tcPr>
            <w:tcW w:type="dxa" w:w="28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2E5F8A"/>
                <w:sz w:val="19"/>
                <w:szCs w:val="19"/>
              </w:rPr>
              <w:t xml:space="preserve">Part Numbering &amp; Identification</w:t>
            </w:r>
          </w:p>
        </w:tc>
        <w:tc>
          <w:tcPr>
            <w:tcW w:type="dxa" w:w="64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9"/>
                <w:szCs w:val="19"/>
              </w:rPr>
              <w:t xml:space="preserve">Assign and control part identification numbers (PINs), CAGE codes, revision letters, serial numbers, lot/batch numbers per §3.2.4. Apply interchangeability rules (PIN change on non-interchangeable condition per §3.2(3)f).</w:t>
            </w:r>
          </w:p>
        </w:tc>
      </w:tr>
      <w:tr>
        <w:tc>
          <w:tcPr>
            <w:tcW w:type="dxa" w:w="28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bCs/>
                <w:color w:val="2E5F8A"/>
                <w:sz w:val="19"/>
                <w:szCs w:val="19"/>
              </w:rPr>
              <w:t xml:space="preserve">IUID / Product Marking</w:t>
            </w:r>
          </w:p>
        </w:tc>
        <w:tc>
          <w:tcPr>
            <w:tcW w:type="dxa" w:w="64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9"/>
                <w:szCs w:val="19"/>
              </w:rPr>
              <w:t xml:space="preserve">Apply MIL-STD-130, MIL-STD-1285, MIL-STD-13231 marking requirements; manage DoD IUID Registry entries per §3.2.4.1.</w:t>
            </w:r>
          </w:p>
        </w:tc>
      </w:tr>
      <w:tr>
        <w:tc>
          <w:tcPr>
            <w:tcW w:type="dxa" w:w="28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2E5F8A"/>
                <w:sz w:val="19"/>
                <w:szCs w:val="19"/>
              </w:rPr>
              <w:t xml:space="preserve">Software CI Management</w:t>
            </w:r>
          </w:p>
        </w:tc>
        <w:tc>
          <w:tcPr>
            <w:tcW w:type="dxa" w:w="64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9"/>
                <w:szCs w:val="19"/>
              </w:rPr>
              <w:t xml:space="preserve">Identify CSCIs; manage software identification (version, build, COTS development environment identifiers); apply software marking and labeling requirements per §3.2.4.2.</w:t>
            </w:r>
          </w:p>
        </w:tc>
      </w:tr>
      <w:tr>
        <w:tc>
          <w:tcPr>
            <w:tcW w:type="dxa" w:w="28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bCs/>
                <w:color w:val="2E5F8A"/>
                <w:sz w:val="19"/>
                <w:szCs w:val="19"/>
              </w:rPr>
              <w:t xml:space="preserve">Interface Control Documentation</w:t>
            </w:r>
          </w:p>
        </w:tc>
        <w:tc>
          <w:tcPr>
            <w:tcW w:type="dxa" w:w="64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9"/>
                <w:szCs w:val="19"/>
              </w:rPr>
              <w:t xml:space="preserve">Develop and maintain ICDs per DI-SESS-81248; participate in ICWG per §3.2.5.2. Commit to interface actions on behalf of the program.</w:t>
            </w:r>
          </w:p>
        </w:tc>
      </w:tr>
      <w:tr>
        <w:tc>
          <w:tcPr>
            <w:tcW w:type="dxa" w:w="28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2E5F8A"/>
                <w:sz w:val="19"/>
                <w:szCs w:val="19"/>
              </w:rPr>
              <w:t xml:space="preserve">Engineering Release System Management</w:t>
            </w:r>
          </w:p>
        </w:tc>
        <w:tc>
          <w:tcPr>
            <w:tcW w:type="dxa" w:w="64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9"/>
                <w:szCs w:val="19"/>
              </w:rPr>
              <w:t xml:space="preserve">Administer ERR process (DI-SESS-80463); authorize initial and revised configuration documentation; link ERRs to CSA system per §3.2.3(5).</w:t>
            </w:r>
          </w:p>
        </w:tc>
      </w:tr>
    </w:tbl>
    <w:p>
      <w:pPr>
        <w:spacing w:after="0" w:before="120"/>
      </w:pPr>
    </w:p>
    <w:p>
      <w:pPr>
        <w:pStyle w:val="Heading2"/>
        <w:shd w:fill="2E5F8A" w:val="clear"/>
        <w:spacing w:after="80" w:before="200"/>
        <w:ind w:left="120"/>
      </w:pPr>
      <w:r>
        <w:rPr>
          <w:rFonts w:ascii="Arial" w:cs="Arial" w:eastAsia="Arial" w:hAnsi="Arial"/>
          <w:b/>
          <w:bCs/>
          <w:color w:val="FFFFFF"/>
          <w:sz w:val="28"/>
          <w:szCs w:val="28"/>
        </w:rPr>
        <w:t xml:space="preserve">Soft Skills</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tcBorders>
              <w:top w:val="single" w:color="AAAAAA" w:sz="4"/>
              <w:left w:val="single" w:color="AAAAAA" w:sz="4"/>
              <w:bottom w:val="single" w:color="AAAAAA" w:sz="4"/>
              <w:right w:val="single" w:color="AAAAAA" w:sz="4"/>
            </w:tcBorders>
            <w:shd w:fill="2E5F8A" w:val="clear"/>
            <w:tcMar>
              <w:top w:type="dxa" w:w="100"/>
              <w:left w:type="dxa" w:w="120"/>
              <w:bottom w:type="dxa" w:w="100"/>
              <w:right w:type="dxa" w:w="120"/>
            </w:tcMar>
            <w:vAlign w:val="center"/>
          </w:tcPr>
          <w:p>
            <w:pPr>
              <w:spacing w:after="40" w:before="40"/>
              <w:jc w:val="center"/>
            </w:pPr>
            <w:r>
              <w:rPr>
                <w:rFonts w:ascii="Arial" w:cs="Arial" w:eastAsia="Arial" w:hAnsi="Arial"/>
                <w:b/>
                <w:bCs/>
                <w:color w:val="FFFFFF"/>
                <w:sz w:val="20"/>
                <w:szCs w:val="20"/>
              </w:rPr>
              <w:t xml:space="preserve">Soft Skill</w:t>
            </w:r>
          </w:p>
        </w:tc>
        <w:tc>
          <w:tcPr>
            <w:tcW w:type="dxa" w:w="6480"/>
            <w:tcBorders>
              <w:top w:val="single" w:color="AAAAAA" w:sz="4"/>
              <w:left w:val="single" w:color="AAAAAA" w:sz="4"/>
              <w:bottom w:val="single" w:color="AAAAAA" w:sz="4"/>
              <w:right w:val="single" w:color="AAAAAA" w:sz="4"/>
            </w:tcBorders>
            <w:shd w:fill="2E5F8A" w:val="clear"/>
            <w:tcMar>
              <w:top w:type="dxa" w:w="100"/>
              <w:left w:type="dxa" w:w="120"/>
              <w:bottom w:type="dxa" w:w="100"/>
              <w:right w:type="dxa" w:w="120"/>
            </w:tcMar>
            <w:vAlign w:val="center"/>
          </w:tcPr>
          <w:p>
            <w:pPr>
              <w:spacing w:after="40" w:before="40"/>
              <w:jc w:val="center"/>
            </w:pPr>
            <w:r>
              <w:rPr>
                <w:rFonts w:ascii="Arial" w:cs="Arial" w:eastAsia="Arial" w:hAnsi="Arial"/>
                <w:b/>
                <w:bCs/>
                <w:color w:val="FFFFFF"/>
                <w:sz w:val="20"/>
                <w:szCs w:val="20"/>
              </w:rPr>
              <w:t xml:space="preserve">Description / Application to EIA-649-1</w:t>
            </w:r>
          </w:p>
        </w:tc>
      </w:tr>
      <w:tr>
        <w:tc>
          <w:tcPr>
            <w:tcW w:type="dxa" w:w="28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2E5F8A"/>
                <w:sz w:val="19"/>
                <w:szCs w:val="19"/>
              </w:rPr>
              <w:t xml:space="preserve">Analytical Rigor</w:t>
            </w:r>
          </w:p>
        </w:tc>
        <w:tc>
          <w:tcPr>
            <w:tcW w:type="dxa" w:w="64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9"/>
                <w:szCs w:val="19"/>
              </w:rPr>
              <w:t xml:space="preserve">Apply systematic criteria to CI selection decisions; avoid under-designation (compliance risk) and over-designation (cost/schedule impact).</w:t>
            </w:r>
          </w:p>
        </w:tc>
      </w:tr>
      <w:tr>
        <w:tc>
          <w:tcPr>
            <w:tcW w:type="dxa" w:w="28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bCs/>
                <w:color w:val="2E5F8A"/>
                <w:sz w:val="19"/>
                <w:szCs w:val="19"/>
              </w:rPr>
              <w:t xml:space="preserve">Cross-Disciplinary Collaboration</w:t>
            </w:r>
          </w:p>
        </w:tc>
        <w:tc>
          <w:tcPr>
            <w:tcW w:type="dxa" w:w="64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9"/>
                <w:szCs w:val="19"/>
              </w:rPr>
              <w:t xml:space="preserve">Work daily with systems engineers, mechanical engineers, software engineers, manufacturing, and logistics to gather and validate CI and baseline information.</w:t>
            </w:r>
          </w:p>
        </w:tc>
      </w:tr>
      <w:tr>
        <w:tc>
          <w:tcPr>
            <w:tcW w:type="dxa" w:w="28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2E5F8A"/>
                <w:sz w:val="19"/>
                <w:szCs w:val="19"/>
              </w:rPr>
              <w:t xml:space="preserve">Attention to Detail</w:t>
            </w:r>
          </w:p>
        </w:tc>
        <w:tc>
          <w:tcPr>
            <w:tcW w:type="dxa" w:w="64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9"/>
                <w:szCs w:val="19"/>
              </w:rPr>
              <w:t xml:space="preserve">Manage complex part numbering schemes, revision letters, and identifier assignments without error across hundreds or thousands of CIs.</w:t>
            </w:r>
          </w:p>
        </w:tc>
      </w:tr>
      <w:tr>
        <w:tc>
          <w:tcPr>
            <w:tcW w:type="dxa" w:w="28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bCs/>
                <w:color w:val="2E5F8A"/>
                <w:sz w:val="19"/>
                <w:szCs w:val="19"/>
              </w:rPr>
              <w:t xml:space="preserve">Assertiveness / Technical Credibility</w:t>
            </w:r>
          </w:p>
        </w:tc>
        <w:tc>
          <w:tcPr>
            <w:tcW w:type="dxa" w:w="64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9"/>
                <w:szCs w:val="19"/>
              </w:rPr>
              <w:t xml:space="preserve">Represent CM requirements at ICWGs and design reviews with technical credibility; push back on incomplete or incorrect documentation. Technical degree directly enables this credibility.</w:t>
            </w:r>
          </w:p>
        </w:tc>
      </w:tr>
      <w:tr>
        <w:tc>
          <w:tcPr>
            <w:tcW w:type="dxa" w:w="28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2E5F8A"/>
                <w:sz w:val="19"/>
                <w:szCs w:val="19"/>
              </w:rPr>
              <w:t xml:space="preserve">Communication (Technical Writing)</w:t>
            </w:r>
          </w:p>
        </w:tc>
        <w:tc>
          <w:tcPr>
            <w:tcW w:type="dxa" w:w="64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9"/>
                <w:szCs w:val="19"/>
              </w:rPr>
              <w:t xml:space="preserve">Document CI selection rationale, baseline descriptions, and interface requirements in technically precise language for Acquirer approval.</w:t>
            </w:r>
          </w:p>
        </w:tc>
      </w:tr>
      <w:tr>
        <w:tc>
          <w:tcPr>
            <w:tcW w:type="dxa" w:w="28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bCs/>
                <w:color w:val="2E5F8A"/>
                <w:sz w:val="19"/>
                <w:szCs w:val="19"/>
              </w:rPr>
              <w:t xml:space="preserve">Organizational Skills</w:t>
            </w:r>
          </w:p>
        </w:tc>
        <w:tc>
          <w:tcPr>
            <w:tcW w:type="dxa" w:w="64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9"/>
                <w:szCs w:val="19"/>
              </w:rPr>
              <w:t xml:space="preserve">Manage large volumes of configuration documentation, drawing trees, and baseline packages across multiple program phases simultaneously.</w:t>
            </w:r>
          </w:p>
        </w:tc>
      </w:tr>
    </w:tbl>
    <w:p>
      <w:r>
        <w:br w:type="page"/>
      </w:r>
    </w:p>
    <w:p>
      <w:pPr>
        <w:pStyle w:val="Heading1"/>
        <w:shd w:fill="1F3864" w:val="clear"/>
        <w:spacing w:after="120" w:before="240"/>
        <w:ind w:left="120"/>
      </w:pPr>
      <w:r>
        <w:rPr>
          <w:rFonts w:ascii="Arial" w:cs="Arial" w:eastAsia="Arial" w:hAnsi="Arial"/>
          <w:b/>
          <w:bCs/>
          <w:color w:val="FFFFFF"/>
          <w:sz w:val="36"/>
          <w:szCs w:val="36"/>
        </w:rPr>
        <w:t xml:space="preserve">CM Function 3: Configuration Change Management</w:t>
      </w:r>
    </w:p>
    <w:p>
      <w:pPr>
        <w:spacing w:after="0" w:before="80"/>
      </w:pPr>
    </w:p>
    <w:tbl>
      <w:tblPr>
        <w:tblW w:type="dxa" w:w="9360"/>
        <w:tblBorders>
          <w:top w:val="single" w:color="2E5F8A" w:sz="8"/>
          <w:left w:val="single" w:color="2E5F8A" w:sz="8"/>
          <w:bottom w:val="single" w:color="2E5F8A" w:sz="8"/>
          <w:right w:val="single" w:color="2E5F8A" w:sz="8"/>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BDD7EE" w:val="clear"/>
            <w:tcMar>
              <w:top w:type="dxa" w:w="100"/>
              <w:left w:type="dxa" w:w="200"/>
              <w:bottom w:type="dxa" w:w="100"/>
              <w:right w:type="dxa" w:w="200"/>
            </w:tcMar>
          </w:tcPr>
          <w:p>
            <w:pPr>
              <w:spacing w:after="40" w:before="40"/>
            </w:pPr>
            <w:r>
              <w:rPr>
                <w:rFonts w:ascii="Arial" w:cs="Arial" w:eastAsia="Arial" w:hAnsi="Arial"/>
                <w:b/>
                <w:bCs/>
                <w:color w:val="1F3864"/>
                <w:sz w:val="22"/>
                <w:szCs w:val="22"/>
              </w:rPr>
              <w:t xml:space="preserve">§3.3 — What This Function Requires</w:t>
            </w:r>
          </w:p>
        </w:tc>
      </w:tr>
      <w:tr>
        <w:tc>
          <w:tcPr>
            <w:tcW w:type="dxa" w:w="9360"/>
            <w:tcBorders>
              <w:top w:val="none" w:color="FFFFFF" w:sz="0"/>
              <w:left w:val="none" w:color="FFFFFF" w:sz="0"/>
              <w:bottom w:val="none" w:color="FFFFFF" w:sz="0"/>
              <w:right w:val="none" w:color="FFFFFF" w:sz="0"/>
            </w:tcBorders>
            <w:shd w:fill="D5E8F0" w:val="clear"/>
            <w:tcMar>
              <w:top w:type="dxa" w:w="80"/>
              <w:left w:type="dxa" w:w="200"/>
              <w:bottom w:type="dxa" w:w="80"/>
              <w:right w:type="dxa" w:w="200"/>
            </w:tcMar>
          </w:tcPr>
          <w:p>
            <w:pPr>
              <w:spacing w:after="40" w:before="40"/>
            </w:pPr>
            <w:r>
              <w:rPr>
                <w:rFonts w:ascii="Arial" w:cs="Arial" w:eastAsia="Arial" w:hAnsi="Arial"/>
                <w:color w:val="404040"/>
                <w:sz w:val="20"/>
                <w:szCs w:val="20"/>
              </w:rPr>
              <w:t xml:space="preserve">Apply configuration control to all CIs, components, and configuration documentation.</w:t>
            </w:r>
          </w:p>
        </w:tc>
      </w:tr>
      <w:tr>
        <w:tc>
          <w:tcPr>
            <w:tcW w:type="dxa" w:w="9360"/>
            <w:tcBorders>
              <w:top w:val="none" w:color="FFFFFF" w:sz="0"/>
              <w:left w:val="none" w:color="FFFFFF" w:sz="0"/>
              <w:bottom w:val="none" w:color="FFFFFF" w:sz="0"/>
              <w:right w:val="none" w:color="FFFFFF" w:sz="0"/>
            </w:tcBorders>
            <w:shd w:fill="D5E8F0" w:val="clear"/>
            <w:tcMar>
              <w:top w:type="dxa" w:w="80"/>
              <w:left w:type="dxa" w:w="200"/>
              <w:bottom w:type="dxa" w:w="80"/>
              <w:right w:type="dxa" w:w="200"/>
            </w:tcMar>
          </w:tcPr>
          <w:p>
            <w:pPr>
              <w:spacing w:after="40" w:before="40"/>
            </w:pPr>
            <w:r>
              <w:rPr>
                <w:rFonts w:ascii="Arial" w:cs="Arial" w:eastAsia="Arial" w:hAnsi="Arial"/>
                <w:color w:val="404040"/>
                <w:sz w:val="20"/>
                <w:szCs w:val="20"/>
              </w:rPr>
              <w:t xml:space="preserve">Process Engineering Change Proposals (ECPs): define need, review technical data, prepare and submit ECPs with NORs and SCNs.</w:t>
            </w:r>
          </w:p>
        </w:tc>
      </w:tr>
      <w:tr>
        <w:tc>
          <w:tcPr>
            <w:tcW w:type="dxa" w:w="9360"/>
            <w:tcBorders>
              <w:top w:val="none" w:color="FFFFFF" w:sz="0"/>
              <w:left w:val="none" w:color="FFFFFF" w:sz="0"/>
              <w:bottom w:val="none" w:color="FFFFFF" w:sz="0"/>
              <w:right w:val="none" w:color="FFFFFF" w:sz="0"/>
            </w:tcBorders>
            <w:shd w:fill="D5E8F0" w:val="clear"/>
            <w:tcMar>
              <w:top w:type="dxa" w:w="80"/>
              <w:left w:type="dxa" w:w="200"/>
              <w:bottom w:type="dxa" w:w="80"/>
              <w:right w:type="dxa" w:w="200"/>
            </w:tcMar>
          </w:tcPr>
          <w:p>
            <w:pPr>
              <w:spacing w:after="40" w:before="40"/>
            </w:pPr>
            <w:r>
              <w:rPr>
                <w:rFonts w:ascii="Arial" w:cs="Arial" w:eastAsia="Arial" w:hAnsi="Arial"/>
                <w:color w:val="404040"/>
                <w:sz w:val="20"/>
                <w:szCs w:val="20"/>
              </w:rPr>
              <w:t xml:space="preserve">Classify changes as Class I (Major) or Class II (Minor); assign Emergency/Urgent/Routine priority.</w:t>
            </w:r>
          </w:p>
        </w:tc>
      </w:tr>
      <w:tr>
        <w:tc>
          <w:tcPr>
            <w:tcW w:type="dxa" w:w="9360"/>
            <w:tcBorders>
              <w:top w:val="none" w:color="FFFFFF" w:sz="0"/>
              <w:left w:val="none" w:color="FFFFFF" w:sz="0"/>
              <w:bottom w:val="none" w:color="FFFFFF" w:sz="0"/>
              <w:right w:val="none" w:color="FFFFFF" w:sz="0"/>
            </w:tcBorders>
            <w:shd w:fill="D5E8F0" w:val="clear"/>
            <w:tcMar>
              <w:top w:type="dxa" w:w="80"/>
              <w:left w:type="dxa" w:w="200"/>
              <w:bottom w:type="dxa" w:w="80"/>
              <w:right w:type="dxa" w:w="200"/>
            </w:tcMar>
          </w:tcPr>
          <w:p>
            <w:pPr>
              <w:spacing w:after="40" w:before="40"/>
            </w:pPr>
            <w:r>
              <w:rPr>
                <w:rFonts w:ascii="Arial" w:cs="Arial" w:eastAsia="Arial" w:hAnsi="Arial"/>
                <w:color w:val="404040"/>
                <w:sz w:val="20"/>
                <w:szCs w:val="20"/>
              </w:rPr>
              <w:t xml:space="preserve">Evaluate full impact of changes: technical, cost, schedule, logistics, sustainment, interchangeability.</w:t>
            </w:r>
          </w:p>
        </w:tc>
      </w:tr>
      <w:tr>
        <w:tc>
          <w:tcPr>
            <w:tcW w:type="dxa" w:w="9360"/>
            <w:tcBorders>
              <w:top w:val="none" w:color="FFFFFF" w:sz="0"/>
              <w:left w:val="none" w:color="FFFFFF" w:sz="0"/>
              <w:bottom w:val="none" w:color="FFFFFF" w:sz="0"/>
              <w:right w:val="none" w:color="FFFFFF" w:sz="0"/>
            </w:tcBorders>
            <w:shd w:fill="D5E8F0" w:val="clear"/>
            <w:tcMar>
              <w:top w:type="dxa" w:w="80"/>
              <w:left w:type="dxa" w:w="200"/>
              <w:bottom w:type="dxa" w:w="80"/>
              <w:right w:type="dxa" w:w="200"/>
            </w:tcMar>
          </w:tcPr>
          <w:p>
            <w:pPr>
              <w:spacing w:after="40" w:before="40"/>
            </w:pPr>
            <w:r>
              <w:rPr>
                <w:rFonts w:ascii="Arial" w:cs="Arial" w:eastAsia="Arial" w:hAnsi="Arial"/>
                <w:color w:val="404040"/>
                <w:sz w:val="20"/>
                <w:szCs w:val="20"/>
              </w:rPr>
              <w:t xml:space="preserve">Process Requests for Variance (RFVs) for pre- and post-production nonconforming material.</w:t>
            </w:r>
          </w:p>
        </w:tc>
      </w:tr>
    </w:tbl>
    <w:p>
      <w:pPr>
        <w:spacing w:after="0" w:before="120"/>
      </w:pPr>
    </w:p>
    <w:p>
      <w:pPr>
        <w:pStyle w:val="Heading2"/>
        <w:shd w:fill="2E5F8A" w:val="clear"/>
        <w:spacing w:after="80" w:before="200"/>
        <w:ind w:left="120"/>
      </w:pPr>
      <w:r>
        <w:rPr>
          <w:rFonts w:ascii="Arial" w:cs="Arial" w:eastAsia="Arial" w:hAnsi="Arial"/>
          <w:b/>
          <w:bCs/>
          <w:color w:val="FFFFFF"/>
          <w:sz w:val="28"/>
          <w:szCs w:val="28"/>
        </w:rPr>
        <w:t xml:space="preserve">Education Degree Requirements</w:t>
      </w:r>
    </w:p>
    <w:p>
      <w:pPr>
        <w:spacing w:after="0" w:before="60"/>
      </w:pPr>
    </w:p>
    <w:p>
      <w:pPr>
        <w:spacing w:after="80" w:before="80"/>
        <w:jc w:val="left"/>
      </w:pPr>
      <w:r>
        <w:rPr>
          <w:rFonts w:ascii="Arial" w:cs="Arial" w:eastAsia="Arial" w:hAnsi="Arial"/>
          <w:b/>
          <w:bCs/>
          <w:color w:val="C00000"/>
          <w:sz w:val="24"/>
          <w:szCs w:val="24"/>
        </w:rPr>
        <w:t xml:space="preserve">DETERMINATION: </w:t>
      </w:r>
      <w:r>
        <w:rPr>
          <w:rFonts w:ascii="Arial" w:cs="Arial" w:eastAsia="Arial" w:hAnsi="Arial"/>
          <w:b/>
          <w:bCs/>
          <w:color w:val="404040"/>
          <w:sz w:val="24"/>
          <w:szCs w:val="24"/>
        </w:rPr>
        <w:t xml:space="preserve">B.S. in Engineering or Engineering Technology REQUIRED for ECP Leads and Change Classifiers; A.A.S. Acceptable for Administrative Change Processing Under Direction</w:t>
      </w:r>
    </w:p>
    <w:p>
      <w:pPr>
        <w:spacing w:after="0" w:before="40"/>
      </w:pPr>
    </w:p>
    <w:p>
      <w:pPr>
        <w:spacing w:after="100" w:before="60"/>
        <w:jc w:val="left"/>
      </w:pPr>
      <w:r>
        <w:rPr>
          <w:rFonts w:ascii="Arial" w:cs="Arial" w:eastAsia="Arial" w:hAnsi="Arial"/>
          <w:i w:val="false"/>
          <w:iCs w:val="false"/>
          <w:color w:val="404040"/>
          <w:sz w:val="22"/>
          <w:szCs w:val="22"/>
        </w:rPr>
        <w:t xml:space="preserve">Configuration Change Management contains explicit requirements to review engineering product models and technical data (§3.3.1.1(1)b), assess form/fit/function/interchangeability impacts (§3.3.1.2), evaluate test data and logistics support analysis data (§3.3.1.4(1)), and assess the full technical and operational impact of proposed changes (§3.3(2)d). The Class I versus Class II classification decision — which determines whether the Acquirer government customer must approve the change — is a technical judgment based on whether the change affects performance, interchangeability, safety, reliability, or interface requirements. Incorrect classification (calling a Class I change a Class II to avoid government scrutiny) is a compliance violation with serious contractual and safety consequences. These responsibilities require engineering-trained judgment. An A.A.S.-trained administrative processor can support data entry, form completion, and routing of completed ECPs, but the technical assessment roles must be staffed at the B.S. level.</w:t>
      </w:r>
    </w:p>
    <w:p>
      <w:pPr>
        <w:pStyle w:val="Heading3"/>
        <w:pBdr>
          <w:bottom w:val="single" w:color="2E5F8A" w:sz="6"/>
        </w:pBdr>
        <w:spacing w:after="80" w:before="160"/>
      </w:pPr>
      <w:r>
        <w:rPr>
          <w:rFonts w:ascii="Arial" w:cs="Arial" w:eastAsia="Arial" w:hAnsi="Arial"/>
          <w:b/>
          <w:bCs/>
          <w:color w:val="1F3864"/>
          <w:sz w:val="24"/>
          <w:szCs w:val="24"/>
        </w:rPr>
        <w:t xml:space="preserve">EIA-649-1 Traceability — Why a Technical Degree Is Required for Configuration Change Management</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3200"/>
        <w:gridCol w:w="4720"/>
      </w:tblGrid>
      <w:tr>
        <w:trPr>
          <w:tblHeader/>
        </w:trPr>
        <w:tc>
          <w:tcPr>
            <w:tcW w:type="dxa" w:w="1440"/>
            <w:tcBorders>
              <w:top w:val="single" w:color="AAAAAA" w:sz="4"/>
              <w:left w:val="single" w:color="AAAAAA" w:sz="4"/>
              <w:bottom w:val="single" w:color="AAAAAA" w:sz="4"/>
              <w:right w:val="single" w:color="AAAAAA" w:sz="4"/>
            </w:tcBorders>
            <w:shd w:fill="1F3864" w:val="clear"/>
            <w:tcMar>
              <w:top w:type="dxa" w:w="100"/>
              <w:left w:type="dxa" w:w="120"/>
              <w:bottom w:type="dxa" w:w="100"/>
              <w:right w:type="dxa" w:w="120"/>
            </w:tcMar>
            <w:vAlign w:val="center"/>
          </w:tcPr>
          <w:p>
            <w:pPr>
              <w:spacing w:after="40" w:before="40"/>
              <w:jc w:val="center"/>
            </w:pPr>
            <w:r>
              <w:rPr>
                <w:rFonts w:ascii="Arial" w:cs="Arial" w:eastAsia="Arial" w:hAnsi="Arial"/>
                <w:b/>
                <w:bCs/>
                <w:color w:val="FFFFFF"/>
                <w:sz w:val="20"/>
                <w:szCs w:val="20"/>
              </w:rPr>
              <w:t xml:space="preserve">649-1 Para.</w:t>
            </w:r>
          </w:p>
        </w:tc>
        <w:tc>
          <w:tcPr>
            <w:tcW w:type="dxa" w:w="3200"/>
            <w:tcBorders>
              <w:top w:val="single" w:color="AAAAAA" w:sz="4"/>
              <w:left w:val="single" w:color="AAAAAA" w:sz="4"/>
              <w:bottom w:val="single" w:color="AAAAAA" w:sz="4"/>
              <w:right w:val="single" w:color="AAAAAA" w:sz="4"/>
            </w:tcBorders>
            <w:shd w:fill="1F3864" w:val="clear"/>
            <w:tcMar>
              <w:top w:type="dxa" w:w="100"/>
              <w:left w:type="dxa" w:w="120"/>
              <w:bottom w:type="dxa" w:w="100"/>
              <w:right w:type="dxa" w:w="120"/>
            </w:tcMar>
            <w:vAlign w:val="center"/>
          </w:tcPr>
          <w:p>
            <w:pPr>
              <w:spacing w:after="40" w:before="40"/>
              <w:jc w:val="center"/>
            </w:pPr>
            <w:r>
              <w:rPr>
                <w:rFonts w:ascii="Arial" w:cs="Arial" w:eastAsia="Arial" w:hAnsi="Arial"/>
                <w:b/>
                <w:bCs/>
                <w:color w:val="FFFFFF"/>
                <w:sz w:val="20"/>
                <w:szCs w:val="20"/>
              </w:rPr>
              <w:t xml:space="preserve">Requirement Language</w:t>
            </w:r>
          </w:p>
        </w:tc>
        <w:tc>
          <w:tcPr>
            <w:tcW w:type="dxa" w:w="4720"/>
            <w:tcBorders>
              <w:top w:val="single" w:color="AAAAAA" w:sz="4"/>
              <w:left w:val="single" w:color="AAAAAA" w:sz="4"/>
              <w:bottom w:val="single" w:color="AAAAAA" w:sz="4"/>
              <w:right w:val="single" w:color="AAAAAA" w:sz="4"/>
            </w:tcBorders>
            <w:shd w:fill="1F3864" w:val="clear"/>
            <w:tcMar>
              <w:top w:type="dxa" w:w="100"/>
              <w:left w:type="dxa" w:w="120"/>
              <w:bottom w:type="dxa" w:w="100"/>
              <w:right w:type="dxa" w:w="120"/>
            </w:tcMar>
            <w:vAlign w:val="center"/>
          </w:tcPr>
          <w:p>
            <w:pPr>
              <w:spacing w:after="40" w:before="40"/>
              <w:jc w:val="center"/>
            </w:pPr>
            <w:r>
              <w:rPr>
                <w:rFonts w:ascii="Arial" w:cs="Arial" w:eastAsia="Arial" w:hAnsi="Arial"/>
                <w:b/>
                <w:bCs/>
                <w:color w:val="FFFFFF"/>
                <w:sz w:val="20"/>
                <w:szCs w:val="20"/>
              </w:rPr>
              <w:t xml:space="preserve">Why This Requires a Technical Degree</w:t>
            </w:r>
          </w:p>
        </w:tc>
      </w:tr>
      <w:tr>
        <w:tc>
          <w:tcPr>
            <w:tcW w:type="dxa" w:w="14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2E5F8A"/>
                <w:sz w:val="18"/>
                <w:szCs w:val="18"/>
              </w:rPr>
              <w:t xml:space="preserve">§3.3.1.1(1)b</w:t>
            </w:r>
          </w:p>
        </w:tc>
        <w:tc>
          <w:tcPr>
            <w:tcW w:type="dxa" w:w="3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8"/>
                <w:szCs w:val="18"/>
              </w:rPr>
              <w:t xml:space="preserve">Review product model and other technical data to determine what specific changes will need to be made.</w:t>
            </w:r>
          </w:p>
        </w:tc>
        <w:tc>
          <w:tcPr>
            <w:tcW w:type="dxa" w:w="47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595959"/>
                <w:sz w:val="18"/>
                <w:szCs w:val="18"/>
              </w:rPr>
              <w:t xml:space="preserve">This requirement places CM personnel directly in the technical documentation — CAD models, engineering drawings, specifications — to assess change scope and completeness. Reading and interpreting these documents is the core of an engineering education and is not taught in A.A.S. programs.</w:t>
            </w:r>
          </w:p>
        </w:tc>
      </w:tr>
      <w:tr>
        <w:tc>
          <w:tcPr>
            <w:tcW w:type="dxa" w:w="14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bCs/>
                <w:color w:val="2E5F8A"/>
                <w:sz w:val="18"/>
                <w:szCs w:val="18"/>
              </w:rPr>
              <w:t xml:space="preserve">§3.3.1.2</w:t>
            </w:r>
          </w:p>
        </w:tc>
        <w:tc>
          <w:tcPr>
            <w:tcW w:type="dxa" w:w="3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8"/>
                <w:szCs w:val="18"/>
              </w:rPr>
              <w:t xml:space="preserve">Use DD Form 1692 content to assign Class I (Major) or Class II (Minor) classification.</w:t>
            </w:r>
          </w:p>
        </w:tc>
        <w:tc>
          <w:tcPr>
            <w:tcW w:type="dxa" w:w="472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val="false"/>
                <w:bCs w:val="false"/>
                <w:color w:val="595959"/>
                <w:sz w:val="18"/>
                <w:szCs w:val="18"/>
              </w:rPr>
              <w:t xml:space="preserve">Class I criteria include: safety, performance, reliability, maintainability, interchangeability, weight, interface, and contractual impacts. Assessing whether a proposed change crosses any of these thresholds requires engineering knowledge of what these attributes mean technically and how a design change affects them.</w:t>
            </w:r>
          </w:p>
        </w:tc>
      </w:tr>
      <w:tr>
        <w:tc>
          <w:tcPr>
            <w:tcW w:type="dxa" w:w="14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2E5F8A"/>
                <w:sz w:val="18"/>
                <w:szCs w:val="18"/>
              </w:rPr>
              <w:t xml:space="preserve">§3.3.1.4(1)</w:t>
            </w:r>
          </w:p>
        </w:tc>
        <w:tc>
          <w:tcPr>
            <w:tcW w:type="dxa" w:w="3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8"/>
                <w:szCs w:val="18"/>
              </w:rPr>
              <w:t xml:space="preserve">Support ECPs with drawings and data including LSA data, test data and analyses, interchangeability factors.</w:t>
            </w:r>
          </w:p>
        </w:tc>
        <w:tc>
          <w:tcPr>
            <w:tcW w:type="dxa" w:w="47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595959"/>
                <w:sz w:val="18"/>
                <w:szCs w:val="18"/>
              </w:rPr>
              <w:t xml:space="preserve">Interchangeability determination (whether a changed item can replace its predecessor without alteration) is a form/fit/function engineering judgment. Evaluating test data supporting an ECP requires understanding of what the test was designed to demonstrate and whether results are sufficient.</w:t>
            </w:r>
          </w:p>
        </w:tc>
      </w:tr>
      <w:tr>
        <w:tc>
          <w:tcPr>
            <w:tcW w:type="dxa" w:w="14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bCs/>
                <w:color w:val="2E5F8A"/>
                <w:sz w:val="18"/>
                <w:szCs w:val="18"/>
              </w:rPr>
              <w:t xml:space="preserve">§3.3(2)d</w:t>
            </w:r>
          </w:p>
        </w:tc>
        <w:tc>
          <w:tcPr>
            <w:tcW w:type="dxa" w:w="3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8"/>
                <w:szCs w:val="18"/>
              </w:rPr>
              <w:t xml:space="preserve">Configuration changes must address all areas of impact including cost, operational, sustainment, implementation: tooling design, manufacturing planning, interface design, support equipment, software code, retrofit.</w:t>
            </w:r>
          </w:p>
        </w:tc>
        <w:tc>
          <w:tcPr>
            <w:tcW w:type="dxa" w:w="472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val="false"/>
                <w:bCs w:val="false"/>
                <w:color w:val="595959"/>
                <w:sz w:val="18"/>
                <w:szCs w:val="18"/>
              </w:rPr>
              <w:t xml:space="preserve">Multi-domain impact assessment across design, manufacturing, software, support equipment, and retrofit cannot be performed without engineering systems understanding. An A.A.S. administrator can document impacts stated by engineers; they cannot independently assess them.</w:t>
            </w:r>
          </w:p>
        </w:tc>
      </w:tr>
      <w:tr>
        <w:tc>
          <w:tcPr>
            <w:tcW w:type="dxa" w:w="14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2E5F8A"/>
                <w:sz w:val="18"/>
                <w:szCs w:val="18"/>
              </w:rPr>
              <w:t xml:space="preserve">§3.3.2</w:t>
            </w:r>
          </w:p>
        </w:tc>
        <w:tc>
          <w:tcPr>
            <w:tcW w:type="dxa" w:w="3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8"/>
                <w:szCs w:val="18"/>
              </w:rPr>
              <w:t xml:space="preserve">Evaluate nonconforming material; obtain Acquirer approval before delivery; document in CSA system.</w:t>
            </w:r>
          </w:p>
        </w:tc>
        <w:tc>
          <w:tcPr>
            <w:tcW w:type="dxa" w:w="47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595959"/>
                <w:sz w:val="18"/>
                <w:szCs w:val="18"/>
              </w:rPr>
              <w:t xml:space="preserve">Determining whether a nonconformance affects product performance, safety, or baseline integrity is an engineering judgment. A practitioner must understand what the product requirement is, what the deviation is, and whether the deviation has functional consequences.</w:t>
            </w:r>
          </w:p>
        </w:tc>
      </w:tr>
      <w:tr>
        <w:tc>
          <w:tcPr>
            <w:tcW w:type="dxa" w:w="14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bCs/>
                <w:color w:val="2E5F8A"/>
                <w:sz w:val="18"/>
                <w:szCs w:val="18"/>
              </w:rPr>
              <w:t xml:space="preserve">§3.3.1.4(3)</w:t>
            </w:r>
          </w:p>
        </w:tc>
        <w:tc>
          <w:tcPr>
            <w:tcW w:type="dxa" w:w="3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8"/>
                <w:szCs w:val="18"/>
              </w:rPr>
              <w:t xml:space="preserve">Include in ECP a summary of testing done to validate concepts or new technology employed in the proposed change.</w:t>
            </w:r>
          </w:p>
        </w:tc>
        <w:tc>
          <w:tcPr>
            <w:tcW w:type="dxa" w:w="472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val="false"/>
                <w:bCs w:val="false"/>
                <w:color w:val="595959"/>
                <w:sz w:val="18"/>
                <w:szCs w:val="18"/>
              </w:rPr>
              <w:t xml:space="preserve">Evaluating whether test data is adequate and relevant to validate the proposed change requires engineering literacy in test and evaluation methodology.</w:t>
            </w:r>
          </w:p>
        </w:tc>
      </w:tr>
    </w:tbl>
    <w:p>
      <w:pPr>
        <w:spacing w:after="0" w:before="120"/>
      </w:pPr>
    </w:p>
    <w:p>
      <w:pPr>
        <w:pStyle w:val="Heading2"/>
        <w:shd w:fill="2E5F8A" w:val="clear"/>
        <w:spacing w:after="80" w:before="200"/>
        <w:ind w:left="120"/>
      </w:pPr>
      <w:r>
        <w:rPr>
          <w:rFonts w:ascii="Arial" w:cs="Arial" w:eastAsia="Arial" w:hAnsi="Arial"/>
          <w:b/>
          <w:bCs/>
          <w:color w:val="FFFFFF"/>
          <w:sz w:val="28"/>
          <w:szCs w:val="28"/>
        </w:rPr>
        <w:t xml:space="preserve">Technical Skills</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tcBorders>
              <w:top w:val="single" w:color="AAAAAA" w:sz="4"/>
              <w:left w:val="single" w:color="AAAAAA" w:sz="4"/>
              <w:bottom w:val="single" w:color="AAAAAA" w:sz="4"/>
              <w:right w:val="single" w:color="AAAAAA" w:sz="4"/>
            </w:tcBorders>
            <w:shd w:fill="2E5F8A" w:val="clear"/>
            <w:tcMar>
              <w:top w:type="dxa" w:w="100"/>
              <w:left w:type="dxa" w:w="120"/>
              <w:bottom w:type="dxa" w:w="100"/>
              <w:right w:type="dxa" w:w="120"/>
            </w:tcMar>
            <w:vAlign w:val="center"/>
          </w:tcPr>
          <w:p>
            <w:pPr>
              <w:spacing w:after="40" w:before="40"/>
              <w:jc w:val="center"/>
            </w:pPr>
            <w:r>
              <w:rPr>
                <w:rFonts w:ascii="Arial" w:cs="Arial" w:eastAsia="Arial" w:hAnsi="Arial"/>
                <w:b/>
                <w:bCs/>
                <w:color w:val="FFFFFF"/>
                <w:sz w:val="20"/>
                <w:szCs w:val="20"/>
              </w:rPr>
              <w:t xml:space="preserve">Technical Skill</w:t>
            </w:r>
          </w:p>
        </w:tc>
        <w:tc>
          <w:tcPr>
            <w:tcW w:type="dxa" w:w="6480"/>
            <w:tcBorders>
              <w:top w:val="single" w:color="AAAAAA" w:sz="4"/>
              <w:left w:val="single" w:color="AAAAAA" w:sz="4"/>
              <w:bottom w:val="single" w:color="AAAAAA" w:sz="4"/>
              <w:right w:val="single" w:color="AAAAAA" w:sz="4"/>
            </w:tcBorders>
            <w:shd w:fill="2E5F8A" w:val="clear"/>
            <w:tcMar>
              <w:top w:type="dxa" w:w="100"/>
              <w:left w:type="dxa" w:w="120"/>
              <w:bottom w:type="dxa" w:w="100"/>
              <w:right w:type="dxa" w:w="120"/>
            </w:tcMar>
            <w:vAlign w:val="center"/>
          </w:tcPr>
          <w:p>
            <w:pPr>
              <w:spacing w:after="40" w:before="40"/>
              <w:jc w:val="center"/>
            </w:pPr>
            <w:r>
              <w:rPr>
                <w:rFonts w:ascii="Arial" w:cs="Arial" w:eastAsia="Arial" w:hAnsi="Arial"/>
                <w:b/>
                <w:bCs/>
                <w:color w:val="FFFFFF"/>
                <w:sz w:val="20"/>
                <w:szCs w:val="20"/>
              </w:rPr>
              <w:t xml:space="preserve">Description / Application to EIA-649-1</w:t>
            </w:r>
          </w:p>
        </w:tc>
      </w:tr>
      <w:tr>
        <w:tc>
          <w:tcPr>
            <w:tcW w:type="dxa" w:w="28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2E5F8A"/>
                <w:sz w:val="19"/>
                <w:szCs w:val="19"/>
              </w:rPr>
              <w:t xml:space="preserve">ECP Preparation &amp; Processing</w:t>
            </w:r>
          </w:p>
        </w:tc>
        <w:tc>
          <w:tcPr>
            <w:tcW w:type="dxa" w:w="64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9"/>
                <w:szCs w:val="19"/>
              </w:rPr>
              <w:t xml:space="preserve">Prepare complete ECPs using DD Form 1692 or equivalent per §3.3.1.3(1); ensure all required data (need, scope, NOR, SCN, schedule, cost, interchangeability) is included. Reference: DI-SESS-80639.</w:t>
            </w:r>
          </w:p>
        </w:tc>
      </w:tr>
      <w:tr>
        <w:tc>
          <w:tcPr>
            <w:tcW w:type="dxa" w:w="28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bCs/>
                <w:color w:val="2E5F8A"/>
                <w:sz w:val="19"/>
                <w:szCs w:val="19"/>
              </w:rPr>
              <w:t xml:space="preserve">Class I / Class II Classification</w:t>
            </w:r>
          </w:p>
        </w:tc>
        <w:tc>
          <w:tcPr>
            <w:tcW w:type="dxa" w:w="64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9"/>
                <w:szCs w:val="19"/>
              </w:rPr>
              <w:t xml:space="preserve">Apply DD Form 1692 classification criteria to distinguish Major from Minor engineering changes; understand threshold attributes (safety, performance, reliability, interoperability, form/fit/function, interface).</w:t>
            </w:r>
          </w:p>
        </w:tc>
      </w:tr>
      <w:tr>
        <w:tc>
          <w:tcPr>
            <w:tcW w:type="dxa" w:w="28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2E5F8A"/>
                <w:sz w:val="19"/>
                <w:szCs w:val="19"/>
              </w:rPr>
              <w:t xml:space="preserve">Engineering Drawing &amp; Model Review</w:t>
            </w:r>
          </w:p>
        </w:tc>
        <w:tc>
          <w:tcPr>
            <w:tcW w:type="dxa" w:w="64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9"/>
                <w:szCs w:val="19"/>
              </w:rPr>
              <w:t xml:space="preserve">Read and interpret engineering drawings, 3D CAD models, and specifications to scope changes and identify all affected documentation per §3.3.1.1(1)b.</w:t>
            </w:r>
          </w:p>
        </w:tc>
      </w:tr>
      <w:tr>
        <w:tc>
          <w:tcPr>
            <w:tcW w:type="dxa" w:w="28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bCs/>
                <w:color w:val="2E5F8A"/>
                <w:sz w:val="19"/>
                <w:szCs w:val="19"/>
              </w:rPr>
              <w:t xml:space="preserve">Interchangeability Assessment</w:t>
            </w:r>
          </w:p>
        </w:tc>
        <w:tc>
          <w:tcPr>
            <w:tcW w:type="dxa" w:w="64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9"/>
                <w:szCs w:val="19"/>
              </w:rPr>
              <w:t xml:space="preserve">Evaluate whether a changed item remains interchangeable with its predecessor per MIL-HDBK-505 criteria; drive PIN change decisions per §3.2(3)f.</w:t>
            </w:r>
          </w:p>
        </w:tc>
      </w:tr>
      <w:tr>
        <w:tc>
          <w:tcPr>
            <w:tcW w:type="dxa" w:w="28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2E5F8A"/>
                <w:sz w:val="19"/>
                <w:szCs w:val="19"/>
              </w:rPr>
              <w:t xml:space="preserve">RFV / Variance Processing</w:t>
            </w:r>
          </w:p>
        </w:tc>
        <w:tc>
          <w:tcPr>
            <w:tcW w:type="dxa" w:w="64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9"/>
                <w:szCs w:val="19"/>
              </w:rPr>
              <w:t xml:space="preserve">Process pre- and post-production Requests for Variance (DD Form 1694); classify Critical/Major/Minor; document in CSA system per §3.3.2.</w:t>
            </w:r>
          </w:p>
        </w:tc>
      </w:tr>
      <w:tr>
        <w:tc>
          <w:tcPr>
            <w:tcW w:type="dxa" w:w="28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bCs/>
                <w:color w:val="2E5F8A"/>
                <w:sz w:val="19"/>
                <w:szCs w:val="19"/>
              </w:rPr>
              <w:t xml:space="preserve">SCN &amp; NOR Preparation</w:t>
            </w:r>
          </w:p>
        </w:tc>
        <w:tc>
          <w:tcPr>
            <w:tcW w:type="dxa" w:w="64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9"/>
                <w:szCs w:val="19"/>
              </w:rPr>
              <w:t xml:space="preserve">Prepare Specification Change Notices (DI-SESS-80643) and Notices of Revision (DI-SESS-80642) accompanying each affected ECP per §3.3.3 and §3.3.4.</w:t>
            </w:r>
          </w:p>
        </w:tc>
      </w:tr>
      <w:tr>
        <w:tc>
          <w:tcPr>
            <w:tcW w:type="dxa" w:w="28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2E5F8A"/>
                <w:sz w:val="19"/>
                <w:szCs w:val="19"/>
              </w:rPr>
              <w:t xml:space="preserve">Change Priority Management</w:t>
            </w:r>
          </w:p>
        </w:tc>
        <w:tc>
          <w:tcPr>
            <w:tcW w:type="dxa" w:w="64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9"/>
                <w:szCs w:val="19"/>
              </w:rPr>
              <w:t xml:space="preserve">Apply Emergency/Urgent/Routine priorities per §3.3.1.6; manage implementation schedules; prevent assignment of Emergency/Urgent to Class II ECPs.</w:t>
            </w:r>
          </w:p>
        </w:tc>
      </w:tr>
      <w:tr>
        <w:tc>
          <w:tcPr>
            <w:tcW w:type="dxa" w:w="28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bCs/>
                <w:color w:val="2E5F8A"/>
                <w:sz w:val="19"/>
                <w:szCs w:val="19"/>
              </w:rPr>
              <w:t xml:space="preserve">Impact Analysis</w:t>
            </w:r>
          </w:p>
        </w:tc>
        <w:tc>
          <w:tcPr>
            <w:tcW w:type="dxa" w:w="64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9"/>
                <w:szCs w:val="19"/>
              </w:rPr>
              <w:t xml:space="preserve">Assess full change impact across cost, operational, sustainment, tooling, manufacturing, support equipment, software, and retrofit domains per §3.3(2)d.</w:t>
            </w:r>
          </w:p>
        </w:tc>
      </w:tr>
      <w:tr>
        <w:tc>
          <w:tcPr>
            <w:tcW w:type="dxa" w:w="28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2E5F8A"/>
                <w:sz w:val="19"/>
                <w:szCs w:val="19"/>
              </w:rPr>
              <w:t xml:space="preserve">CCB Interface</w:t>
            </w:r>
          </w:p>
        </w:tc>
        <w:tc>
          <w:tcPr>
            <w:tcW w:type="dxa" w:w="64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9"/>
                <w:szCs w:val="19"/>
              </w:rPr>
              <w:t xml:space="preserve">Present ECPs and RFVs to CCB; record dispositions; track approved changes through implementation and closure.</w:t>
            </w:r>
          </w:p>
        </w:tc>
      </w:tr>
    </w:tbl>
    <w:p>
      <w:pPr>
        <w:spacing w:after="0" w:before="120"/>
      </w:pPr>
    </w:p>
    <w:p>
      <w:pPr>
        <w:pStyle w:val="Heading2"/>
        <w:shd w:fill="2E5F8A" w:val="clear"/>
        <w:spacing w:after="80" w:before="200"/>
        <w:ind w:left="120"/>
      </w:pPr>
      <w:r>
        <w:rPr>
          <w:rFonts w:ascii="Arial" w:cs="Arial" w:eastAsia="Arial" w:hAnsi="Arial"/>
          <w:b/>
          <w:bCs/>
          <w:color w:val="FFFFFF"/>
          <w:sz w:val="28"/>
          <w:szCs w:val="28"/>
        </w:rPr>
        <w:t xml:space="preserve">Soft Skills</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tcBorders>
              <w:top w:val="single" w:color="AAAAAA" w:sz="4"/>
              <w:left w:val="single" w:color="AAAAAA" w:sz="4"/>
              <w:bottom w:val="single" w:color="AAAAAA" w:sz="4"/>
              <w:right w:val="single" w:color="AAAAAA" w:sz="4"/>
            </w:tcBorders>
            <w:shd w:fill="2E5F8A" w:val="clear"/>
            <w:tcMar>
              <w:top w:type="dxa" w:w="100"/>
              <w:left w:type="dxa" w:w="120"/>
              <w:bottom w:type="dxa" w:w="100"/>
              <w:right w:type="dxa" w:w="120"/>
            </w:tcMar>
            <w:vAlign w:val="center"/>
          </w:tcPr>
          <w:p>
            <w:pPr>
              <w:spacing w:after="40" w:before="40"/>
              <w:jc w:val="center"/>
            </w:pPr>
            <w:r>
              <w:rPr>
                <w:rFonts w:ascii="Arial" w:cs="Arial" w:eastAsia="Arial" w:hAnsi="Arial"/>
                <w:b/>
                <w:bCs/>
                <w:color w:val="FFFFFF"/>
                <w:sz w:val="20"/>
                <w:szCs w:val="20"/>
              </w:rPr>
              <w:t xml:space="preserve">Soft Skill</w:t>
            </w:r>
          </w:p>
        </w:tc>
        <w:tc>
          <w:tcPr>
            <w:tcW w:type="dxa" w:w="6480"/>
            <w:tcBorders>
              <w:top w:val="single" w:color="AAAAAA" w:sz="4"/>
              <w:left w:val="single" w:color="AAAAAA" w:sz="4"/>
              <w:bottom w:val="single" w:color="AAAAAA" w:sz="4"/>
              <w:right w:val="single" w:color="AAAAAA" w:sz="4"/>
            </w:tcBorders>
            <w:shd w:fill="2E5F8A" w:val="clear"/>
            <w:tcMar>
              <w:top w:type="dxa" w:w="100"/>
              <w:left w:type="dxa" w:w="120"/>
              <w:bottom w:type="dxa" w:w="100"/>
              <w:right w:type="dxa" w:w="120"/>
            </w:tcMar>
            <w:vAlign w:val="center"/>
          </w:tcPr>
          <w:p>
            <w:pPr>
              <w:spacing w:after="40" w:before="40"/>
              <w:jc w:val="center"/>
            </w:pPr>
            <w:r>
              <w:rPr>
                <w:rFonts w:ascii="Arial" w:cs="Arial" w:eastAsia="Arial" w:hAnsi="Arial"/>
                <w:b/>
                <w:bCs/>
                <w:color w:val="FFFFFF"/>
                <w:sz w:val="20"/>
                <w:szCs w:val="20"/>
              </w:rPr>
              <w:t xml:space="preserve">Description / Application to EIA-649-1</w:t>
            </w:r>
          </w:p>
        </w:tc>
      </w:tr>
      <w:tr>
        <w:tc>
          <w:tcPr>
            <w:tcW w:type="dxa" w:w="28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2E5F8A"/>
                <w:sz w:val="19"/>
                <w:szCs w:val="19"/>
              </w:rPr>
              <w:t xml:space="preserve">Analytical Judgment</w:t>
            </w:r>
          </w:p>
        </w:tc>
        <w:tc>
          <w:tcPr>
            <w:tcW w:type="dxa" w:w="64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9"/>
                <w:szCs w:val="19"/>
              </w:rPr>
              <w:t xml:space="preserve">Evaluate technical, cost, and schedule trade-offs in change decisions; reach defensible classification determinations under schedule pressure.</w:t>
            </w:r>
          </w:p>
        </w:tc>
      </w:tr>
      <w:tr>
        <w:tc>
          <w:tcPr>
            <w:tcW w:type="dxa" w:w="28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bCs/>
                <w:color w:val="2E5F8A"/>
                <w:sz w:val="19"/>
                <w:szCs w:val="19"/>
              </w:rPr>
              <w:t xml:space="preserve">Written Communication</w:t>
            </w:r>
          </w:p>
        </w:tc>
        <w:tc>
          <w:tcPr>
            <w:tcW w:type="dxa" w:w="64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9"/>
                <w:szCs w:val="19"/>
              </w:rPr>
              <w:t xml:space="preserve">Prepare ECP narratives that are 'clear and comprehensive from technical, cost and scheduling perspectives' per Principle CCM-5.</w:t>
            </w:r>
          </w:p>
        </w:tc>
      </w:tr>
      <w:tr>
        <w:tc>
          <w:tcPr>
            <w:tcW w:type="dxa" w:w="28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2E5F8A"/>
                <w:sz w:val="19"/>
                <w:szCs w:val="19"/>
              </w:rPr>
              <w:t xml:space="preserve">Negotiation</w:t>
            </w:r>
          </w:p>
        </w:tc>
        <w:tc>
          <w:tcPr>
            <w:tcW w:type="dxa" w:w="64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9"/>
                <w:szCs w:val="19"/>
              </w:rPr>
              <w:t xml:space="preserve">Resolve ECP classification disagreements between the program and the Acquirer per §3.3.1.8.1(3); build consensus on change approaches.</w:t>
            </w:r>
          </w:p>
        </w:tc>
      </w:tr>
      <w:tr>
        <w:tc>
          <w:tcPr>
            <w:tcW w:type="dxa" w:w="28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bCs/>
                <w:color w:val="2E5F8A"/>
                <w:sz w:val="19"/>
                <w:szCs w:val="19"/>
              </w:rPr>
              <w:t xml:space="preserve">Time Management / Prioritization</w:t>
            </w:r>
          </w:p>
        </w:tc>
        <w:tc>
          <w:tcPr>
            <w:tcW w:type="dxa" w:w="64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9"/>
                <w:szCs w:val="19"/>
              </w:rPr>
              <w:t xml:space="preserve">Manage simultaneous processing of Emergency, Urgent, and Routine ECPs and RFVs with differing cycle time requirements.</w:t>
            </w:r>
          </w:p>
        </w:tc>
      </w:tr>
      <w:tr>
        <w:tc>
          <w:tcPr>
            <w:tcW w:type="dxa" w:w="28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2E5F8A"/>
                <w:sz w:val="19"/>
                <w:szCs w:val="19"/>
              </w:rPr>
              <w:t xml:space="preserve">Customer/Acquirer Interface</w:t>
            </w:r>
          </w:p>
        </w:tc>
        <w:tc>
          <w:tcPr>
            <w:tcW w:type="dxa" w:w="64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9"/>
                <w:szCs w:val="19"/>
              </w:rPr>
              <w:t xml:space="preserve">Maintain productive relationship with government Acquirer CCB for Class I change approvals; respond professionally to rejection or deferral decisions.</w:t>
            </w:r>
          </w:p>
        </w:tc>
      </w:tr>
      <w:tr>
        <w:tc>
          <w:tcPr>
            <w:tcW w:type="dxa" w:w="28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bCs/>
                <w:color w:val="2E5F8A"/>
                <w:sz w:val="19"/>
                <w:szCs w:val="19"/>
              </w:rPr>
              <w:t xml:space="preserve">Persistence / Follow-Through</w:t>
            </w:r>
          </w:p>
        </w:tc>
        <w:tc>
          <w:tcPr>
            <w:tcW w:type="dxa" w:w="64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9"/>
                <w:szCs w:val="19"/>
              </w:rPr>
              <w:t xml:space="preserve">Track approved changes through implementation and verify incorporation per §3.3.1.1(1)h — a multi-week or multi-month cycle for complex changes.</w:t>
            </w:r>
          </w:p>
        </w:tc>
      </w:tr>
    </w:tbl>
    <w:p>
      <w:r>
        <w:br w:type="page"/>
      </w:r>
    </w:p>
    <w:p>
      <w:pPr>
        <w:pStyle w:val="Heading1"/>
        <w:shd w:fill="1F3864" w:val="clear"/>
        <w:spacing w:after="120" w:before="240"/>
        <w:ind w:left="120"/>
      </w:pPr>
      <w:r>
        <w:rPr>
          <w:rFonts w:ascii="Arial" w:cs="Arial" w:eastAsia="Arial" w:hAnsi="Arial"/>
          <w:b/>
          <w:bCs/>
          <w:color w:val="FFFFFF"/>
          <w:sz w:val="36"/>
          <w:szCs w:val="36"/>
        </w:rPr>
        <w:t xml:space="preserve">CM Function 4: Configuration Status Accounting</w:t>
      </w:r>
    </w:p>
    <w:p>
      <w:pPr>
        <w:spacing w:after="0" w:before="80"/>
      </w:pPr>
    </w:p>
    <w:tbl>
      <w:tblPr>
        <w:tblW w:type="dxa" w:w="9360"/>
        <w:tblBorders>
          <w:top w:val="single" w:color="2E5F8A" w:sz="8"/>
          <w:left w:val="single" w:color="2E5F8A" w:sz="8"/>
          <w:bottom w:val="single" w:color="2E5F8A" w:sz="8"/>
          <w:right w:val="single" w:color="2E5F8A" w:sz="8"/>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BDD7EE" w:val="clear"/>
            <w:tcMar>
              <w:top w:type="dxa" w:w="100"/>
              <w:left w:type="dxa" w:w="200"/>
              <w:bottom w:type="dxa" w:w="100"/>
              <w:right w:type="dxa" w:w="200"/>
            </w:tcMar>
          </w:tcPr>
          <w:p>
            <w:pPr>
              <w:spacing w:after="40" w:before="40"/>
            </w:pPr>
            <w:r>
              <w:rPr>
                <w:rFonts w:ascii="Arial" w:cs="Arial" w:eastAsia="Arial" w:hAnsi="Arial"/>
                <w:b/>
                <w:bCs/>
                <w:color w:val="1F3864"/>
                <w:sz w:val="22"/>
                <w:szCs w:val="22"/>
              </w:rPr>
              <w:t xml:space="preserve">§3.4 — What This Function Requires</w:t>
            </w:r>
          </w:p>
        </w:tc>
      </w:tr>
      <w:tr>
        <w:tc>
          <w:tcPr>
            <w:tcW w:type="dxa" w:w="9360"/>
            <w:tcBorders>
              <w:top w:val="none" w:color="FFFFFF" w:sz="0"/>
              <w:left w:val="none" w:color="FFFFFF" w:sz="0"/>
              <w:bottom w:val="none" w:color="FFFFFF" w:sz="0"/>
              <w:right w:val="none" w:color="FFFFFF" w:sz="0"/>
            </w:tcBorders>
            <w:shd w:fill="D5E8F0" w:val="clear"/>
            <w:tcMar>
              <w:top w:type="dxa" w:w="80"/>
              <w:left w:type="dxa" w:w="200"/>
              <w:bottom w:type="dxa" w:w="80"/>
              <w:right w:type="dxa" w:w="200"/>
            </w:tcMar>
          </w:tcPr>
          <w:p>
            <w:pPr>
              <w:spacing w:after="40" w:before="40"/>
            </w:pPr>
            <w:r>
              <w:rPr>
                <w:rFonts w:ascii="Arial" w:cs="Arial" w:eastAsia="Arial" w:hAnsi="Arial"/>
                <w:color w:val="404040"/>
                <w:sz w:val="20"/>
                <w:szCs w:val="20"/>
              </w:rPr>
              <w:t xml:space="preserve">Maintain a CSA system that captures, stores, and reports approved and historical product configuration information.</w:t>
            </w:r>
          </w:p>
        </w:tc>
      </w:tr>
      <w:tr>
        <w:tc>
          <w:tcPr>
            <w:tcW w:type="dxa" w:w="9360"/>
            <w:tcBorders>
              <w:top w:val="none" w:color="FFFFFF" w:sz="0"/>
              <w:left w:val="none" w:color="FFFFFF" w:sz="0"/>
              <w:bottom w:val="none" w:color="FFFFFF" w:sz="0"/>
              <w:right w:val="none" w:color="FFFFFF" w:sz="0"/>
            </w:tcBorders>
            <w:shd w:fill="D5E8F0" w:val="clear"/>
            <w:tcMar>
              <w:top w:type="dxa" w:w="80"/>
              <w:left w:type="dxa" w:w="200"/>
              <w:bottom w:type="dxa" w:w="80"/>
              <w:right w:type="dxa" w:w="200"/>
            </w:tcMar>
          </w:tcPr>
          <w:p>
            <w:pPr>
              <w:spacing w:after="40" w:before="40"/>
            </w:pPr>
            <w:r>
              <w:rPr>
                <w:rFonts w:ascii="Arial" w:cs="Arial" w:eastAsia="Arial" w:hAnsi="Arial"/>
                <w:color w:val="404040"/>
                <w:sz w:val="20"/>
                <w:szCs w:val="20"/>
              </w:rPr>
              <w:t xml:space="preserve">Track and report status of all proposed and approved changes and variances for every CI.</w:t>
            </w:r>
          </w:p>
        </w:tc>
      </w:tr>
      <w:tr>
        <w:tc>
          <w:tcPr>
            <w:tcW w:type="dxa" w:w="9360"/>
            <w:tcBorders>
              <w:top w:val="none" w:color="FFFFFF" w:sz="0"/>
              <w:left w:val="none" w:color="FFFFFF" w:sz="0"/>
              <w:bottom w:val="none" w:color="FFFFFF" w:sz="0"/>
              <w:right w:val="none" w:color="FFFFFF" w:sz="0"/>
            </w:tcBorders>
            <w:shd w:fill="D5E8F0" w:val="clear"/>
            <w:tcMar>
              <w:top w:type="dxa" w:w="80"/>
              <w:left w:type="dxa" w:w="200"/>
              <w:bottom w:type="dxa" w:w="80"/>
              <w:right w:type="dxa" w:w="200"/>
            </w:tcMar>
          </w:tcPr>
          <w:p>
            <w:pPr>
              <w:spacing w:after="40" w:before="40"/>
            </w:pPr>
            <w:r>
              <w:rPr>
                <w:rFonts w:ascii="Arial" w:cs="Arial" w:eastAsia="Arial" w:hAnsi="Arial"/>
                <w:color w:val="404040"/>
                <w:sz w:val="20"/>
                <w:szCs w:val="20"/>
              </w:rPr>
              <w:t xml:space="preserve">Record implementation status and engineering release of configuration documentation for approved changes.</w:t>
            </w:r>
          </w:p>
        </w:tc>
      </w:tr>
      <w:tr>
        <w:tc>
          <w:tcPr>
            <w:tcW w:type="dxa" w:w="9360"/>
            <w:tcBorders>
              <w:top w:val="none" w:color="FFFFFF" w:sz="0"/>
              <w:left w:val="none" w:color="FFFFFF" w:sz="0"/>
              <w:bottom w:val="none" w:color="FFFFFF" w:sz="0"/>
              <w:right w:val="none" w:color="FFFFFF" w:sz="0"/>
            </w:tcBorders>
            <w:shd w:fill="D5E8F0" w:val="clear"/>
            <w:tcMar>
              <w:top w:type="dxa" w:w="80"/>
              <w:left w:type="dxa" w:w="200"/>
              <w:bottom w:type="dxa" w:w="80"/>
              <w:right w:type="dxa" w:w="200"/>
            </w:tcMar>
          </w:tcPr>
          <w:p>
            <w:pPr>
              <w:spacing w:after="40" w:before="40"/>
            </w:pPr>
            <w:r>
              <w:rPr>
                <w:rFonts w:ascii="Arial" w:cs="Arial" w:eastAsia="Arial" w:hAnsi="Arial"/>
                <w:color w:val="404040"/>
                <w:sz w:val="20"/>
                <w:szCs w:val="20"/>
              </w:rPr>
              <w:t xml:space="preserve">Track status of corrective actions for nonconforming material addressed by RFVs.</w:t>
            </w:r>
          </w:p>
        </w:tc>
      </w:tr>
      <w:tr>
        <w:tc>
          <w:tcPr>
            <w:tcW w:type="dxa" w:w="9360"/>
            <w:tcBorders>
              <w:top w:val="none" w:color="FFFFFF" w:sz="0"/>
              <w:left w:val="none" w:color="FFFFFF" w:sz="0"/>
              <w:bottom w:val="none" w:color="FFFFFF" w:sz="0"/>
              <w:right w:val="none" w:color="FFFFFF" w:sz="0"/>
            </w:tcBorders>
            <w:shd w:fill="D5E8F0" w:val="clear"/>
            <w:tcMar>
              <w:top w:type="dxa" w:w="80"/>
              <w:left w:type="dxa" w:w="200"/>
              <w:bottom w:type="dxa" w:w="80"/>
              <w:right w:type="dxa" w:w="200"/>
            </w:tcMar>
          </w:tcPr>
          <w:p>
            <w:pPr>
              <w:spacing w:after="40" w:before="40"/>
            </w:pPr>
            <w:r>
              <w:rPr>
                <w:rFonts w:ascii="Arial" w:cs="Arial" w:eastAsia="Arial" w:hAnsi="Arial"/>
                <w:color w:val="404040"/>
                <w:sz w:val="20"/>
                <w:szCs w:val="20"/>
              </w:rPr>
              <w:t xml:space="preserve">Provide performance metrics; deliver digital CSA data to Acquirer at contract completion.</w:t>
            </w:r>
          </w:p>
        </w:tc>
      </w:tr>
      <w:tr>
        <w:tc>
          <w:tcPr>
            <w:tcW w:type="dxa" w:w="9360"/>
            <w:tcBorders>
              <w:top w:val="none" w:color="FFFFFF" w:sz="0"/>
              <w:left w:val="none" w:color="FFFFFF" w:sz="0"/>
              <w:bottom w:val="none" w:color="FFFFFF" w:sz="0"/>
              <w:right w:val="none" w:color="FFFFFF" w:sz="0"/>
            </w:tcBorders>
            <w:shd w:fill="D5E8F0" w:val="clear"/>
            <w:tcMar>
              <w:top w:type="dxa" w:w="80"/>
              <w:left w:type="dxa" w:w="200"/>
              <w:bottom w:type="dxa" w:w="80"/>
              <w:right w:type="dxa" w:w="200"/>
            </w:tcMar>
          </w:tcPr>
          <w:p>
            <w:pPr>
              <w:spacing w:after="40" w:before="40"/>
            </w:pPr>
            <w:r>
              <w:rPr>
                <w:rFonts w:ascii="Arial" w:cs="Arial" w:eastAsia="Arial" w:hAnsi="Arial"/>
                <w:color w:val="404040"/>
                <w:sz w:val="20"/>
                <w:szCs w:val="20"/>
              </w:rPr>
              <w:t xml:space="preserve">CRITICAL CONTEXT: No automated CSA tool exists — all reconciliation of Design to Procurement to Build must be performed manually.</w:t>
            </w:r>
          </w:p>
        </w:tc>
      </w:tr>
    </w:tbl>
    <w:p>
      <w:pPr>
        <w:spacing w:after="0" w:before="120"/>
      </w:pPr>
    </w:p>
    <w:p>
      <w:pPr>
        <w:pStyle w:val="Heading2"/>
        <w:shd w:fill="2E5F8A" w:val="clear"/>
        <w:spacing w:after="80" w:before="200"/>
        <w:ind w:left="120"/>
      </w:pPr>
      <w:r>
        <w:rPr>
          <w:rFonts w:ascii="Arial" w:cs="Arial" w:eastAsia="Arial" w:hAnsi="Arial"/>
          <w:b/>
          <w:bCs/>
          <w:color w:val="FFFFFF"/>
          <w:sz w:val="28"/>
          <w:szCs w:val="28"/>
        </w:rPr>
        <w:t xml:space="preserve">Education Degree Requirements</w:t>
      </w:r>
    </w:p>
    <w:p>
      <w:pPr>
        <w:spacing w:after="0" w:before="60"/>
      </w:pPr>
    </w:p>
    <w:p>
      <w:pPr>
        <w:spacing w:after="80" w:before="80"/>
        <w:jc w:val="left"/>
      </w:pPr>
      <w:r>
        <w:rPr>
          <w:rFonts w:ascii="Arial" w:cs="Arial" w:eastAsia="Arial" w:hAnsi="Arial"/>
          <w:b/>
          <w:bCs/>
          <w:color w:val="C00000"/>
          <w:sz w:val="24"/>
          <w:szCs w:val="24"/>
        </w:rPr>
        <w:t xml:space="preserve">DETERMINATION: </w:t>
      </w:r>
      <w:r>
        <w:rPr>
          <w:rFonts w:ascii="Arial" w:cs="Arial" w:eastAsia="Arial" w:hAnsi="Arial"/>
          <w:b/>
          <w:bCs/>
          <w:color w:val="404040"/>
          <w:sz w:val="24"/>
          <w:szCs w:val="24"/>
        </w:rPr>
        <w:t xml:space="preserve">B.S. in Engineering Technology STRONGLY RECOMMENDED; A.A.S. is Minimum Only if a CSA Automation Tool Is Present (Which It Is Not)</w:t>
      </w:r>
    </w:p>
    <w:p>
      <w:pPr>
        <w:spacing w:after="0" w:before="40"/>
      </w:pPr>
    </w:p>
    <w:p>
      <w:pPr>
        <w:spacing w:after="100" w:before="60"/>
        <w:jc w:val="left"/>
      </w:pPr>
      <w:r>
        <w:rPr>
          <w:rFonts w:ascii="Arial" w:cs="Arial" w:eastAsia="Arial" w:hAnsi="Arial"/>
          <w:i w:val="false"/>
          <w:iCs w:val="false"/>
          <w:color w:val="404040"/>
          <w:sz w:val="22"/>
          <w:szCs w:val="22"/>
        </w:rPr>
        <w:t xml:space="preserve">Configuration Status Accounting, in the presence of a modern PLM/PDM tool, can be performed effectively by well-trained A.A.S. personnel focused on data entry, status reporting, and metric generation. However, this company has explicitly confirmed that no CSA tool exists to automate reconciliation of Design to Procurement Planning to Build. This absence fundamentally transforms the nature of the CSA function. Without automation, the CSA practitioner must manually construct and maintain the linkage between: (1) engineering drawings and specifications, (2) engineering release records, (3) procurement documentation and vendor part numbers, (4) manufacturing build records, and (5) as-built serial number data from sub-tier suppliers — all tracing up through the BOM hierarchy to the system level. This is technically demanding work that requires deep understanding of product structure, engineering documentation, and how design changes propagate through procurement and production. A practitioner without engineering literacy cannot reliably determine whether a serial-number-tracked assembly reflects the approved configuration when no system is doing that reconciliation automatically. The risk of an undetected discrepancy in an as-built record for a defense system is a safety, contractual, and audit finding risk that justifies the degree upgrade.</w:t>
      </w:r>
    </w:p>
    <w:p>
      <w:pPr>
        <w:pStyle w:val="Heading3"/>
        <w:pBdr>
          <w:bottom w:val="single" w:color="2E5F8A" w:sz="6"/>
        </w:pBdr>
        <w:spacing w:after="80" w:before="160"/>
      </w:pPr>
      <w:r>
        <w:rPr>
          <w:rFonts w:ascii="Arial" w:cs="Arial" w:eastAsia="Arial" w:hAnsi="Arial"/>
          <w:b/>
          <w:bCs/>
          <w:color w:val="1F3864"/>
          <w:sz w:val="24"/>
          <w:szCs w:val="24"/>
        </w:rPr>
        <w:t xml:space="preserve">EIA-649-1 Traceability — Why a Technical Degree Is Required for Configuration Status Accounting</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3200"/>
        <w:gridCol w:w="4720"/>
      </w:tblGrid>
      <w:tr>
        <w:trPr>
          <w:tblHeader/>
        </w:trPr>
        <w:tc>
          <w:tcPr>
            <w:tcW w:type="dxa" w:w="1440"/>
            <w:tcBorders>
              <w:top w:val="single" w:color="AAAAAA" w:sz="4"/>
              <w:left w:val="single" w:color="AAAAAA" w:sz="4"/>
              <w:bottom w:val="single" w:color="AAAAAA" w:sz="4"/>
              <w:right w:val="single" w:color="AAAAAA" w:sz="4"/>
            </w:tcBorders>
            <w:shd w:fill="1F3864" w:val="clear"/>
            <w:tcMar>
              <w:top w:type="dxa" w:w="100"/>
              <w:left w:type="dxa" w:w="120"/>
              <w:bottom w:type="dxa" w:w="100"/>
              <w:right w:type="dxa" w:w="120"/>
            </w:tcMar>
            <w:vAlign w:val="center"/>
          </w:tcPr>
          <w:p>
            <w:pPr>
              <w:spacing w:after="40" w:before="40"/>
              <w:jc w:val="center"/>
            </w:pPr>
            <w:r>
              <w:rPr>
                <w:rFonts w:ascii="Arial" w:cs="Arial" w:eastAsia="Arial" w:hAnsi="Arial"/>
                <w:b/>
                <w:bCs/>
                <w:color w:val="FFFFFF"/>
                <w:sz w:val="20"/>
                <w:szCs w:val="20"/>
              </w:rPr>
              <w:t xml:space="preserve">649-1 Para.</w:t>
            </w:r>
          </w:p>
        </w:tc>
        <w:tc>
          <w:tcPr>
            <w:tcW w:type="dxa" w:w="3200"/>
            <w:tcBorders>
              <w:top w:val="single" w:color="AAAAAA" w:sz="4"/>
              <w:left w:val="single" w:color="AAAAAA" w:sz="4"/>
              <w:bottom w:val="single" w:color="AAAAAA" w:sz="4"/>
              <w:right w:val="single" w:color="AAAAAA" w:sz="4"/>
            </w:tcBorders>
            <w:shd w:fill="1F3864" w:val="clear"/>
            <w:tcMar>
              <w:top w:type="dxa" w:w="100"/>
              <w:left w:type="dxa" w:w="120"/>
              <w:bottom w:type="dxa" w:w="100"/>
              <w:right w:type="dxa" w:w="120"/>
            </w:tcMar>
            <w:vAlign w:val="center"/>
          </w:tcPr>
          <w:p>
            <w:pPr>
              <w:spacing w:after="40" w:before="40"/>
              <w:jc w:val="center"/>
            </w:pPr>
            <w:r>
              <w:rPr>
                <w:rFonts w:ascii="Arial" w:cs="Arial" w:eastAsia="Arial" w:hAnsi="Arial"/>
                <w:b/>
                <w:bCs/>
                <w:color w:val="FFFFFF"/>
                <w:sz w:val="20"/>
                <w:szCs w:val="20"/>
              </w:rPr>
              <w:t xml:space="preserve">Requirement Language</w:t>
            </w:r>
          </w:p>
        </w:tc>
        <w:tc>
          <w:tcPr>
            <w:tcW w:type="dxa" w:w="4720"/>
            <w:tcBorders>
              <w:top w:val="single" w:color="AAAAAA" w:sz="4"/>
              <w:left w:val="single" w:color="AAAAAA" w:sz="4"/>
              <w:bottom w:val="single" w:color="AAAAAA" w:sz="4"/>
              <w:right w:val="single" w:color="AAAAAA" w:sz="4"/>
            </w:tcBorders>
            <w:shd w:fill="1F3864" w:val="clear"/>
            <w:tcMar>
              <w:top w:type="dxa" w:w="100"/>
              <w:left w:type="dxa" w:w="120"/>
              <w:bottom w:type="dxa" w:w="100"/>
              <w:right w:type="dxa" w:w="120"/>
            </w:tcMar>
            <w:vAlign w:val="center"/>
          </w:tcPr>
          <w:p>
            <w:pPr>
              <w:spacing w:after="40" w:before="40"/>
              <w:jc w:val="center"/>
            </w:pPr>
            <w:r>
              <w:rPr>
                <w:rFonts w:ascii="Arial" w:cs="Arial" w:eastAsia="Arial" w:hAnsi="Arial"/>
                <w:b/>
                <w:bCs/>
                <w:color w:val="FFFFFF"/>
                <w:sz w:val="20"/>
                <w:szCs w:val="20"/>
              </w:rPr>
              <w:t xml:space="preserve">Why This Requires a Technical Degree</w:t>
            </w:r>
          </w:p>
        </w:tc>
      </w:tr>
      <w:tr>
        <w:tc>
          <w:tcPr>
            <w:tcW w:type="dxa" w:w="14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2E5F8A"/>
                <w:sz w:val="18"/>
                <w:szCs w:val="18"/>
              </w:rPr>
              <w:t xml:space="preserve">§3.4.1(3)a</w:t>
            </w:r>
          </w:p>
        </w:tc>
        <w:tc>
          <w:tcPr>
            <w:tcW w:type="dxa" w:w="3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8"/>
                <w:szCs w:val="18"/>
              </w:rPr>
              <w:t xml:space="preserve">Capture and maintain the currently approved product configuration information by the identification number assigned to each CI.</w:t>
            </w:r>
          </w:p>
        </w:tc>
        <w:tc>
          <w:tcPr>
            <w:tcW w:type="dxa" w:w="47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595959"/>
                <w:sz w:val="18"/>
                <w:szCs w:val="18"/>
              </w:rPr>
              <w:t xml:space="preserve">Without a CSA tool, manually maintaining the 'currently approved configuration' for each CI requires the practitioner to synthesize information from engineering drawings (with revision letters), ERRs (authorizing changes), approved ECPs, and outstanding variances. This is a multi-document cross-referencing task that requires understanding what each document type represents technically.</w:t>
            </w:r>
          </w:p>
        </w:tc>
      </w:tr>
      <w:tr>
        <w:tc>
          <w:tcPr>
            <w:tcW w:type="dxa" w:w="14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bCs/>
                <w:color w:val="2E5F8A"/>
                <w:sz w:val="18"/>
                <w:szCs w:val="18"/>
              </w:rPr>
              <w:t xml:space="preserve">§3.4.1(3)b</w:t>
            </w:r>
          </w:p>
        </w:tc>
        <w:tc>
          <w:tcPr>
            <w:tcW w:type="dxa" w:w="3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8"/>
                <w:szCs w:val="18"/>
              </w:rPr>
              <w:t xml:space="preserve">Capture and maintain all historical product configuration information with traceability detailing product configuration from contract award to present.</w:t>
            </w:r>
          </w:p>
        </w:tc>
        <w:tc>
          <w:tcPr>
            <w:tcW w:type="dxa" w:w="472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val="false"/>
                <w:bCs w:val="false"/>
                <w:color w:val="595959"/>
                <w:sz w:val="18"/>
                <w:szCs w:val="18"/>
              </w:rPr>
              <w:t xml:space="preserve">Complete lifecycle traceability without automation means manually building and maintaining a change history for each CI across potentially hundreds of engineering changes over years. The practitioner must understand engineering change documentation well enough to reconstruct configuration history accurately.</w:t>
            </w:r>
          </w:p>
        </w:tc>
      </w:tr>
      <w:tr>
        <w:tc>
          <w:tcPr>
            <w:tcW w:type="dxa" w:w="14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2E5F8A"/>
                <w:sz w:val="18"/>
                <w:szCs w:val="18"/>
              </w:rPr>
              <w:t xml:space="preserve">§3.4.1(3)c</w:t>
            </w:r>
          </w:p>
        </w:tc>
        <w:tc>
          <w:tcPr>
            <w:tcW w:type="dxa" w:w="3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8"/>
                <w:szCs w:val="18"/>
              </w:rPr>
              <w:t xml:space="preserve">Store and manage product definition information (authoritative source for CM) and product operational information (used to test, operate, maintain, dispose).</w:t>
            </w:r>
          </w:p>
        </w:tc>
        <w:tc>
          <w:tcPr>
            <w:tcW w:type="dxa" w:w="47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595959"/>
                <w:sz w:val="18"/>
                <w:szCs w:val="18"/>
              </w:rPr>
              <w:t xml:space="preserve">Distinguishing between and properly categorizing product definition vs. operational information requires understanding the different types of engineering documentation and their relationship to the product configuration baseline.</w:t>
            </w:r>
          </w:p>
        </w:tc>
      </w:tr>
      <w:tr>
        <w:tc>
          <w:tcPr>
            <w:tcW w:type="dxa" w:w="14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bCs/>
                <w:color w:val="2E5F8A"/>
                <w:sz w:val="18"/>
                <w:szCs w:val="18"/>
              </w:rPr>
              <w:t xml:space="preserve">§3.4.1(3)d</w:t>
            </w:r>
          </w:p>
        </w:tc>
        <w:tc>
          <w:tcPr>
            <w:tcW w:type="dxa" w:w="3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8"/>
                <w:szCs w:val="18"/>
              </w:rPr>
              <w:t xml:space="preserve">Identify dependencies among CIs.</w:t>
            </w:r>
          </w:p>
        </w:tc>
        <w:tc>
          <w:tcPr>
            <w:tcW w:type="dxa" w:w="472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val="false"/>
                <w:bCs w:val="false"/>
                <w:color w:val="595959"/>
                <w:sz w:val="18"/>
                <w:szCs w:val="18"/>
              </w:rPr>
              <w:t xml:space="preserve">CI dependency mapping — understanding that a change to one CI may require a change to interfacing CIs — requires knowledge of product architecture. Without an automated dependency engine, this must be held in the practitioner's engineering understanding.</w:t>
            </w:r>
          </w:p>
        </w:tc>
      </w:tr>
      <w:tr>
        <w:tc>
          <w:tcPr>
            <w:tcW w:type="dxa" w:w="14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2E5F8A"/>
                <w:sz w:val="18"/>
                <w:szCs w:val="18"/>
              </w:rPr>
              <w:t xml:space="preserve">§3.4.1(3)j</w:t>
            </w:r>
          </w:p>
        </w:tc>
        <w:tc>
          <w:tcPr>
            <w:tcW w:type="dxa" w:w="3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8"/>
                <w:szCs w:val="18"/>
              </w:rPr>
              <w:t xml:space="preserve">Record and report all product data inherited from sub-tier suppliers, to include vendor part numbers and serial numbers, and provide clear traceability from these components to their respective next higher assemblies.</w:t>
            </w:r>
          </w:p>
        </w:tc>
        <w:tc>
          <w:tcPr>
            <w:tcW w:type="dxa" w:w="47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595959"/>
                <w:sz w:val="18"/>
                <w:szCs w:val="18"/>
              </w:rPr>
              <w:t xml:space="preserve">Manual as-built traceability from purchased component through assembly to top-level CI requires understanding BOM hierarchy, assembly relationships, and how vendor-specific identifiers map to internal drawing/part numbers. This is engineering technology content.</w:t>
            </w:r>
          </w:p>
        </w:tc>
      </w:tr>
      <w:tr>
        <w:tc>
          <w:tcPr>
            <w:tcW w:type="dxa" w:w="14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bCs/>
                <w:color w:val="2E5F8A"/>
                <w:sz w:val="18"/>
                <w:szCs w:val="18"/>
              </w:rPr>
              <w:t xml:space="preserve">§3.4.1(1)</w:t>
            </w:r>
          </w:p>
        </w:tc>
        <w:tc>
          <w:tcPr>
            <w:tcW w:type="dxa" w:w="3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8"/>
                <w:szCs w:val="18"/>
              </w:rPr>
              <w:t xml:space="preserve">CSA system shall be closely linked to the data repository used to store and manage product configuration and operational information.</w:t>
            </w:r>
          </w:p>
        </w:tc>
        <w:tc>
          <w:tcPr>
            <w:tcW w:type="dxa" w:w="472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val="false"/>
                <w:bCs w:val="false"/>
                <w:color w:val="595959"/>
                <w:sz w:val="18"/>
                <w:szCs w:val="18"/>
              </w:rPr>
              <w:t xml:space="preserve">Without an all-encompassing product data management system, the practitioner IS the integration layer between disparate repositories (engineering drawing system, procurement system, manufacturing records). This role requires understanding all data domains.</w:t>
            </w:r>
          </w:p>
        </w:tc>
      </w:tr>
      <w:tr>
        <w:tc>
          <w:tcPr>
            <w:tcW w:type="dxa" w:w="14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2E5F8A"/>
                <w:sz w:val="18"/>
                <w:szCs w:val="18"/>
              </w:rPr>
              <w:t xml:space="preserve">§3.4.2</w:t>
            </w:r>
          </w:p>
        </w:tc>
        <w:tc>
          <w:tcPr>
            <w:tcW w:type="dxa" w:w="3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8"/>
                <w:szCs w:val="18"/>
              </w:rPr>
              <w:t xml:space="preserve">Evaluate CSA corrective actions; verify problems resolved, adverse trends reversed, changes correctly implemented.</w:t>
            </w:r>
          </w:p>
        </w:tc>
        <w:tc>
          <w:tcPr>
            <w:tcW w:type="dxa" w:w="47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595959"/>
                <w:sz w:val="18"/>
                <w:szCs w:val="18"/>
              </w:rPr>
              <w:t xml:space="preserve">Trend analysis and corrective action evaluation requires analytical capability and the technical background to understand why an adverse trend is occurring (e.g., recurring variances on a particular CI may signal a design issue, not just a process failure).</w:t>
            </w:r>
          </w:p>
        </w:tc>
      </w:tr>
    </w:tbl>
    <w:p>
      <w:pPr>
        <w:spacing w:after="0" w:before="120"/>
      </w:pPr>
    </w:p>
    <w:p>
      <w:pPr>
        <w:pStyle w:val="Heading2"/>
        <w:shd w:fill="2E5F8A" w:val="clear"/>
        <w:spacing w:after="80" w:before="200"/>
        <w:ind w:left="120"/>
      </w:pPr>
      <w:r>
        <w:rPr>
          <w:rFonts w:ascii="Arial" w:cs="Arial" w:eastAsia="Arial" w:hAnsi="Arial"/>
          <w:b/>
          <w:bCs/>
          <w:color w:val="FFFFFF"/>
          <w:sz w:val="28"/>
          <w:szCs w:val="28"/>
        </w:rPr>
        <w:t xml:space="preserve">Technical Skills</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tcBorders>
              <w:top w:val="single" w:color="AAAAAA" w:sz="4"/>
              <w:left w:val="single" w:color="AAAAAA" w:sz="4"/>
              <w:bottom w:val="single" w:color="AAAAAA" w:sz="4"/>
              <w:right w:val="single" w:color="AAAAAA" w:sz="4"/>
            </w:tcBorders>
            <w:shd w:fill="2E5F8A" w:val="clear"/>
            <w:tcMar>
              <w:top w:type="dxa" w:w="100"/>
              <w:left w:type="dxa" w:w="120"/>
              <w:bottom w:type="dxa" w:w="100"/>
              <w:right w:type="dxa" w:w="120"/>
            </w:tcMar>
            <w:vAlign w:val="center"/>
          </w:tcPr>
          <w:p>
            <w:pPr>
              <w:spacing w:after="40" w:before="40"/>
              <w:jc w:val="center"/>
            </w:pPr>
            <w:r>
              <w:rPr>
                <w:rFonts w:ascii="Arial" w:cs="Arial" w:eastAsia="Arial" w:hAnsi="Arial"/>
                <w:b/>
                <w:bCs/>
                <w:color w:val="FFFFFF"/>
                <w:sz w:val="20"/>
                <w:szCs w:val="20"/>
              </w:rPr>
              <w:t xml:space="preserve">Technical Skill</w:t>
            </w:r>
          </w:p>
        </w:tc>
        <w:tc>
          <w:tcPr>
            <w:tcW w:type="dxa" w:w="6480"/>
            <w:tcBorders>
              <w:top w:val="single" w:color="AAAAAA" w:sz="4"/>
              <w:left w:val="single" w:color="AAAAAA" w:sz="4"/>
              <w:bottom w:val="single" w:color="AAAAAA" w:sz="4"/>
              <w:right w:val="single" w:color="AAAAAA" w:sz="4"/>
            </w:tcBorders>
            <w:shd w:fill="2E5F8A" w:val="clear"/>
            <w:tcMar>
              <w:top w:type="dxa" w:w="100"/>
              <w:left w:type="dxa" w:w="120"/>
              <w:bottom w:type="dxa" w:w="100"/>
              <w:right w:type="dxa" w:w="120"/>
            </w:tcMar>
            <w:vAlign w:val="center"/>
          </w:tcPr>
          <w:p>
            <w:pPr>
              <w:spacing w:after="40" w:before="40"/>
              <w:jc w:val="center"/>
            </w:pPr>
            <w:r>
              <w:rPr>
                <w:rFonts w:ascii="Arial" w:cs="Arial" w:eastAsia="Arial" w:hAnsi="Arial"/>
                <w:b/>
                <w:bCs/>
                <w:color w:val="FFFFFF"/>
                <w:sz w:val="20"/>
                <w:szCs w:val="20"/>
              </w:rPr>
              <w:t xml:space="preserve">Description / Application to EIA-649-1</w:t>
            </w:r>
          </w:p>
        </w:tc>
      </w:tr>
      <w:tr>
        <w:tc>
          <w:tcPr>
            <w:tcW w:type="dxa" w:w="28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2E5F8A"/>
                <w:sz w:val="19"/>
                <w:szCs w:val="19"/>
              </w:rPr>
              <w:t xml:space="preserve">Manual BOM / Configuration Traceability</w:t>
            </w:r>
          </w:p>
        </w:tc>
        <w:tc>
          <w:tcPr>
            <w:tcW w:type="dxa" w:w="64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9"/>
                <w:szCs w:val="19"/>
              </w:rPr>
              <w:t xml:space="preserve">In the absence of CSA automation, manually reconcile Design (drawings/ERRs) → Procurement (purchase orders, vendor data) → Build (manufacturing records, inspection reports) → As-Built (serial number records). This is the core gap created by the absence of a CSA tool.</w:t>
            </w:r>
          </w:p>
        </w:tc>
      </w:tr>
      <w:tr>
        <w:tc>
          <w:tcPr>
            <w:tcW w:type="dxa" w:w="28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bCs/>
                <w:color w:val="2E5F8A"/>
                <w:sz w:val="19"/>
                <w:szCs w:val="19"/>
              </w:rPr>
              <w:t xml:space="preserve">Engineering Release Record (ERR) Management</w:t>
            </w:r>
          </w:p>
        </w:tc>
        <w:tc>
          <w:tcPr>
            <w:tcW w:type="dxa" w:w="64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9"/>
                <w:szCs w:val="19"/>
              </w:rPr>
              <w:t xml:space="preserve">Process and maintain ERRs (DI-SESS-80463) as the authoritative record authorizing use of configuration documentation; link ERRs to affected CIs, change documentation, and procurement records.</w:t>
            </w:r>
          </w:p>
        </w:tc>
      </w:tr>
      <w:tr>
        <w:tc>
          <w:tcPr>
            <w:tcW w:type="dxa" w:w="28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2E5F8A"/>
                <w:sz w:val="19"/>
                <w:szCs w:val="19"/>
              </w:rPr>
              <w:t xml:space="preserve">As-Built / As-Maintained Configuration Tracking</w:t>
            </w:r>
          </w:p>
        </w:tc>
        <w:tc>
          <w:tcPr>
            <w:tcW w:type="dxa" w:w="64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9"/>
                <w:szCs w:val="19"/>
              </w:rPr>
              <w:t xml:space="preserve">Track serial/lot/batch number configurations; record retrofit incorporations per §3.4.1(5); maintain currency of as-maintained records for fielded systems.</w:t>
            </w:r>
          </w:p>
        </w:tc>
      </w:tr>
      <w:tr>
        <w:tc>
          <w:tcPr>
            <w:tcW w:type="dxa" w:w="28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bCs/>
                <w:color w:val="2E5F8A"/>
                <w:sz w:val="19"/>
                <w:szCs w:val="19"/>
              </w:rPr>
              <w:t xml:space="preserve">Change &amp; Variance Status Tracking</w:t>
            </w:r>
          </w:p>
        </w:tc>
        <w:tc>
          <w:tcPr>
            <w:tcW w:type="dxa" w:w="64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9"/>
                <w:szCs w:val="19"/>
              </w:rPr>
              <w:t xml:space="preserve">Report status of all open and closed ECPs, RFVs, SCNs, and NORs against each CI; maintain lifecycle history per §3.4.1(3)e-g.</w:t>
            </w:r>
          </w:p>
        </w:tc>
      </w:tr>
      <w:tr>
        <w:tc>
          <w:tcPr>
            <w:tcW w:type="dxa" w:w="28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2E5F8A"/>
                <w:sz w:val="19"/>
                <w:szCs w:val="19"/>
              </w:rPr>
              <w:t xml:space="preserve">Sub-Supplier Data Management</w:t>
            </w:r>
          </w:p>
        </w:tc>
        <w:tc>
          <w:tcPr>
            <w:tcW w:type="dxa" w:w="64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9"/>
                <w:szCs w:val="19"/>
              </w:rPr>
              <w:t xml:space="preserve">Collect, validate, and record vendor part numbers, serial numbers, and certificates of conformance from sub-tier suppliers; trace to next higher assembly per §3.4.1(3)j.</w:t>
            </w:r>
          </w:p>
        </w:tc>
      </w:tr>
      <w:tr>
        <w:tc>
          <w:tcPr>
            <w:tcW w:type="dxa" w:w="28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bCs/>
                <w:color w:val="2E5F8A"/>
                <w:sz w:val="19"/>
                <w:szCs w:val="19"/>
              </w:rPr>
              <w:t xml:space="preserve">Database Management (Without Automation)</w:t>
            </w:r>
          </w:p>
        </w:tc>
        <w:tc>
          <w:tcPr>
            <w:tcW w:type="dxa" w:w="64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9"/>
                <w:szCs w:val="19"/>
              </w:rPr>
              <w:t xml:space="preserve">Build and maintain manual tracking systems (advanced Excel, Access, SharePoint, or similar) to capture all CSA data elements required by §3.4.1(3)a-j in the absence of a dedicated CSA tool.</w:t>
            </w:r>
          </w:p>
        </w:tc>
      </w:tr>
      <w:tr>
        <w:tc>
          <w:tcPr>
            <w:tcW w:type="dxa" w:w="28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2E5F8A"/>
                <w:sz w:val="19"/>
                <w:szCs w:val="19"/>
              </w:rPr>
              <w:t xml:space="preserve">Metrics Development &amp; Reporting</w:t>
            </w:r>
          </w:p>
        </w:tc>
        <w:tc>
          <w:tcPr>
            <w:tcW w:type="dxa" w:w="64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9"/>
                <w:szCs w:val="19"/>
              </w:rPr>
              <w:t xml:space="preserve">Generate CM performance metrics per §3.1.1 and §3.4.2; identify adverse trends; report to Acquirer per §3.4.1(4)a.</w:t>
            </w:r>
          </w:p>
        </w:tc>
      </w:tr>
      <w:tr>
        <w:tc>
          <w:tcPr>
            <w:tcW w:type="dxa" w:w="28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bCs/>
                <w:color w:val="2E5F8A"/>
                <w:sz w:val="19"/>
                <w:szCs w:val="19"/>
              </w:rPr>
              <w:t xml:space="preserve">DoD Cybersecurity Compliance</w:t>
            </w:r>
          </w:p>
        </w:tc>
        <w:tc>
          <w:tcPr>
            <w:tcW w:type="dxa" w:w="64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9"/>
                <w:szCs w:val="19"/>
              </w:rPr>
              <w:t xml:space="preserve">Ensure CSA data systems comply with DoD cybersecurity requirements for interoperability with the Acquirer's integrated digital environment per §3.4.1(4)b.</w:t>
            </w:r>
          </w:p>
        </w:tc>
      </w:tr>
      <w:tr>
        <w:tc>
          <w:tcPr>
            <w:tcW w:type="dxa" w:w="28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2E5F8A"/>
                <w:sz w:val="19"/>
                <w:szCs w:val="19"/>
              </w:rPr>
              <w:t xml:space="preserve">Audit Trail Maintenance</w:t>
            </w:r>
          </w:p>
        </w:tc>
        <w:tc>
          <w:tcPr>
            <w:tcW w:type="dxa" w:w="64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9"/>
                <w:szCs w:val="19"/>
              </w:rPr>
              <w:t xml:space="preserve">Ensure CSA data is current, accurate, retrievable, adequately secured, and deliverable digitally to the Acquirer at contract completion per §3.4.1(4)c-d.</w:t>
            </w:r>
          </w:p>
        </w:tc>
      </w:tr>
    </w:tbl>
    <w:p>
      <w:pPr>
        <w:spacing w:after="0" w:before="120"/>
      </w:pPr>
    </w:p>
    <w:p>
      <w:pPr>
        <w:pStyle w:val="Heading2"/>
        <w:shd w:fill="2E5F8A" w:val="clear"/>
        <w:spacing w:after="80" w:before="200"/>
        <w:ind w:left="120"/>
      </w:pPr>
      <w:r>
        <w:rPr>
          <w:rFonts w:ascii="Arial" w:cs="Arial" w:eastAsia="Arial" w:hAnsi="Arial"/>
          <w:b/>
          <w:bCs/>
          <w:color w:val="FFFFFF"/>
          <w:sz w:val="28"/>
          <w:szCs w:val="28"/>
        </w:rPr>
        <w:t xml:space="preserve">Soft Skills</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tcBorders>
              <w:top w:val="single" w:color="AAAAAA" w:sz="4"/>
              <w:left w:val="single" w:color="AAAAAA" w:sz="4"/>
              <w:bottom w:val="single" w:color="AAAAAA" w:sz="4"/>
              <w:right w:val="single" w:color="AAAAAA" w:sz="4"/>
            </w:tcBorders>
            <w:shd w:fill="2E5F8A" w:val="clear"/>
            <w:tcMar>
              <w:top w:type="dxa" w:w="100"/>
              <w:left w:type="dxa" w:w="120"/>
              <w:bottom w:type="dxa" w:w="100"/>
              <w:right w:type="dxa" w:w="120"/>
            </w:tcMar>
            <w:vAlign w:val="center"/>
          </w:tcPr>
          <w:p>
            <w:pPr>
              <w:spacing w:after="40" w:before="40"/>
              <w:jc w:val="center"/>
            </w:pPr>
            <w:r>
              <w:rPr>
                <w:rFonts w:ascii="Arial" w:cs="Arial" w:eastAsia="Arial" w:hAnsi="Arial"/>
                <w:b/>
                <w:bCs/>
                <w:color w:val="FFFFFF"/>
                <w:sz w:val="20"/>
                <w:szCs w:val="20"/>
              </w:rPr>
              <w:t xml:space="preserve">Soft Skill</w:t>
            </w:r>
          </w:p>
        </w:tc>
        <w:tc>
          <w:tcPr>
            <w:tcW w:type="dxa" w:w="6480"/>
            <w:tcBorders>
              <w:top w:val="single" w:color="AAAAAA" w:sz="4"/>
              <w:left w:val="single" w:color="AAAAAA" w:sz="4"/>
              <w:bottom w:val="single" w:color="AAAAAA" w:sz="4"/>
              <w:right w:val="single" w:color="AAAAAA" w:sz="4"/>
            </w:tcBorders>
            <w:shd w:fill="2E5F8A" w:val="clear"/>
            <w:tcMar>
              <w:top w:type="dxa" w:w="100"/>
              <w:left w:type="dxa" w:w="120"/>
              <w:bottom w:type="dxa" w:w="100"/>
              <w:right w:type="dxa" w:w="120"/>
            </w:tcMar>
            <w:vAlign w:val="center"/>
          </w:tcPr>
          <w:p>
            <w:pPr>
              <w:spacing w:after="40" w:before="40"/>
              <w:jc w:val="center"/>
            </w:pPr>
            <w:r>
              <w:rPr>
                <w:rFonts w:ascii="Arial" w:cs="Arial" w:eastAsia="Arial" w:hAnsi="Arial"/>
                <w:b/>
                <w:bCs/>
                <w:color w:val="FFFFFF"/>
                <w:sz w:val="20"/>
                <w:szCs w:val="20"/>
              </w:rPr>
              <w:t xml:space="preserve">Description / Application to EIA-649-1</w:t>
            </w:r>
          </w:p>
        </w:tc>
      </w:tr>
      <w:tr>
        <w:tc>
          <w:tcPr>
            <w:tcW w:type="dxa" w:w="28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2E5F8A"/>
                <w:sz w:val="19"/>
                <w:szCs w:val="19"/>
              </w:rPr>
              <w:t xml:space="preserve">Meticulous Attention to Detail</w:t>
            </w:r>
          </w:p>
        </w:tc>
        <w:tc>
          <w:tcPr>
            <w:tcW w:type="dxa" w:w="64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9"/>
                <w:szCs w:val="19"/>
              </w:rPr>
              <w:t xml:space="preserve">CSA accuracy without automation depends entirely on the practitioner's discipline. A single missed change incorporation or incorrect revision letter in the as-built record can create a safety or compliance discrepancy.</w:t>
            </w:r>
          </w:p>
        </w:tc>
      </w:tr>
      <w:tr>
        <w:tc>
          <w:tcPr>
            <w:tcW w:type="dxa" w:w="28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bCs/>
                <w:color w:val="2E5F8A"/>
                <w:sz w:val="19"/>
                <w:szCs w:val="19"/>
              </w:rPr>
              <w:t xml:space="preserve">Data Integrity Mindset</w:t>
            </w:r>
          </w:p>
        </w:tc>
        <w:tc>
          <w:tcPr>
            <w:tcW w:type="dxa" w:w="64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9"/>
                <w:szCs w:val="19"/>
              </w:rPr>
              <w:t xml:space="preserve">Treat configuration information as a safety-critical data set. Refuse to allow expedient short-cuts that compromise record accuracy.</w:t>
            </w:r>
          </w:p>
        </w:tc>
      </w:tr>
      <w:tr>
        <w:tc>
          <w:tcPr>
            <w:tcW w:type="dxa" w:w="28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2E5F8A"/>
                <w:sz w:val="19"/>
                <w:szCs w:val="19"/>
              </w:rPr>
              <w:t xml:space="preserve">Process Discipline</w:t>
            </w:r>
          </w:p>
        </w:tc>
        <w:tc>
          <w:tcPr>
            <w:tcW w:type="dxa" w:w="64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9"/>
                <w:szCs w:val="19"/>
              </w:rPr>
              <w:t xml:space="preserve">Establish and enforce consistent workflows for capturing changes in real time rather than reconstructing records retroactively.</w:t>
            </w:r>
          </w:p>
        </w:tc>
      </w:tr>
      <w:tr>
        <w:tc>
          <w:tcPr>
            <w:tcW w:type="dxa" w:w="28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bCs/>
                <w:color w:val="2E5F8A"/>
                <w:sz w:val="19"/>
                <w:szCs w:val="19"/>
              </w:rPr>
              <w:t xml:space="preserve">Analytical / Trend Thinking</w:t>
            </w:r>
          </w:p>
        </w:tc>
        <w:tc>
          <w:tcPr>
            <w:tcW w:type="dxa" w:w="64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9"/>
                <w:szCs w:val="19"/>
              </w:rPr>
              <w:t xml:space="preserve">Identify patterns in CSA data (recurring variances on a specific CI, chronic ECP processing delays) and initiate corrective action per §3.4.2.</w:t>
            </w:r>
          </w:p>
        </w:tc>
      </w:tr>
      <w:tr>
        <w:tc>
          <w:tcPr>
            <w:tcW w:type="dxa" w:w="28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2E5F8A"/>
                <w:sz w:val="19"/>
                <w:szCs w:val="19"/>
              </w:rPr>
              <w:t xml:space="preserve">Persistence / Follow-Through</w:t>
            </w:r>
          </w:p>
        </w:tc>
        <w:tc>
          <w:tcPr>
            <w:tcW w:type="dxa" w:w="64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9"/>
                <w:szCs w:val="19"/>
              </w:rPr>
              <w:t xml:space="preserve">CSA closure requires following open actions across multiple organizations (engineering, manufacturing, procurement, sub-suppliers) to confirmed incorporation.</w:t>
            </w:r>
          </w:p>
        </w:tc>
      </w:tr>
      <w:tr>
        <w:tc>
          <w:tcPr>
            <w:tcW w:type="dxa" w:w="28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bCs/>
                <w:color w:val="2E5F8A"/>
                <w:sz w:val="19"/>
                <w:szCs w:val="19"/>
              </w:rPr>
              <w:t xml:space="preserve">Written &amp; Verbal Communication</w:t>
            </w:r>
          </w:p>
        </w:tc>
        <w:tc>
          <w:tcPr>
            <w:tcW w:type="dxa" w:w="64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9"/>
                <w:szCs w:val="19"/>
              </w:rPr>
              <w:t xml:space="preserve">Brief CSA status at program reviews; respond to Acquirer requests for CSA information on short timelines per §3.4.1(4)a.</w:t>
            </w:r>
          </w:p>
        </w:tc>
      </w:tr>
    </w:tbl>
    <w:p>
      <w:r>
        <w:br w:type="page"/>
      </w:r>
    </w:p>
    <w:p>
      <w:pPr>
        <w:pStyle w:val="Heading1"/>
        <w:shd w:fill="1F3864" w:val="clear"/>
        <w:spacing w:after="120" w:before="240"/>
        <w:ind w:left="120"/>
      </w:pPr>
      <w:r>
        <w:rPr>
          <w:rFonts w:ascii="Arial" w:cs="Arial" w:eastAsia="Arial" w:hAnsi="Arial"/>
          <w:b/>
          <w:bCs/>
          <w:color w:val="FFFFFF"/>
          <w:sz w:val="36"/>
          <w:szCs w:val="36"/>
        </w:rPr>
        <w:t xml:space="preserve">CM Function 5: Configuration Verification and Audits</w:t>
      </w:r>
    </w:p>
    <w:p>
      <w:pPr>
        <w:spacing w:after="0" w:before="80"/>
      </w:pPr>
    </w:p>
    <w:tbl>
      <w:tblPr>
        <w:tblW w:type="dxa" w:w="9360"/>
        <w:tblBorders>
          <w:top w:val="single" w:color="2E5F8A" w:sz="8"/>
          <w:left w:val="single" w:color="2E5F8A" w:sz="8"/>
          <w:bottom w:val="single" w:color="2E5F8A" w:sz="8"/>
          <w:right w:val="single" w:color="2E5F8A" w:sz="8"/>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BDD7EE" w:val="clear"/>
            <w:tcMar>
              <w:top w:type="dxa" w:w="100"/>
              <w:left w:type="dxa" w:w="200"/>
              <w:bottom w:type="dxa" w:w="100"/>
              <w:right w:type="dxa" w:w="200"/>
            </w:tcMar>
          </w:tcPr>
          <w:p>
            <w:pPr>
              <w:spacing w:after="40" w:before="40"/>
            </w:pPr>
            <w:r>
              <w:rPr>
                <w:rFonts w:ascii="Arial" w:cs="Arial" w:eastAsia="Arial" w:hAnsi="Arial"/>
                <w:b/>
                <w:bCs/>
                <w:color w:val="1F3864"/>
                <w:sz w:val="22"/>
                <w:szCs w:val="22"/>
              </w:rPr>
              <w:t xml:space="preserve">§3.5 — What This Function Requires</w:t>
            </w:r>
          </w:p>
        </w:tc>
      </w:tr>
      <w:tr>
        <w:tc>
          <w:tcPr>
            <w:tcW w:type="dxa" w:w="9360"/>
            <w:tcBorders>
              <w:top w:val="none" w:color="FFFFFF" w:sz="0"/>
              <w:left w:val="none" w:color="FFFFFF" w:sz="0"/>
              <w:bottom w:val="none" w:color="FFFFFF" w:sz="0"/>
              <w:right w:val="none" w:color="FFFFFF" w:sz="0"/>
            </w:tcBorders>
            <w:shd w:fill="D5E8F0" w:val="clear"/>
            <w:tcMar>
              <w:top w:type="dxa" w:w="80"/>
              <w:left w:type="dxa" w:w="200"/>
              <w:bottom w:type="dxa" w:w="80"/>
              <w:right w:type="dxa" w:w="200"/>
            </w:tcMar>
          </w:tcPr>
          <w:p>
            <w:pPr>
              <w:spacing w:after="40" w:before="40"/>
            </w:pPr>
            <w:r>
              <w:rPr>
                <w:rFonts w:ascii="Arial" w:cs="Arial" w:eastAsia="Arial" w:hAnsi="Arial"/>
                <w:color w:val="404040"/>
                <w:sz w:val="20"/>
                <w:szCs w:val="20"/>
              </w:rPr>
              <w:t xml:space="preserve">Conduct Functional Configuration Audits (FCA): verify CI meets performance requirements in FCD and ACD; review test data, test plans, requirements traceability matrices.</w:t>
            </w:r>
          </w:p>
        </w:tc>
      </w:tr>
      <w:tr>
        <w:tc>
          <w:tcPr>
            <w:tcW w:type="dxa" w:w="9360"/>
            <w:tcBorders>
              <w:top w:val="none" w:color="FFFFFF" w:sz="0"/>
              <w:left w:val="none" w:color="FFFFFF" w:sz="0"/>
              <w:bottom w:val="none" w:color="FFFFFF" w:sz="0"/>
              <w:right w:val="none" w:color="FFFFFF" w:sz="0"/>
            </w:tcBorders>
            <w:shd w:fill="D5E8F0" w:val="clear"/>
            <w:tcMar>
              <w:top w:type="dxa" w:w="80"/>
              <w:left w:type="dxa" w:w="200"/>
              <w:bottom w:type="dxa" w:w="80"/>
              <w:right w:type="dxa" w:w="200"/>
            </w:tcMar>
          </w:tcPr>
          <w:p>
            <w:pPr>
              <w:spacing w:after="40" w:before="40"/>
            </w:pPr>
            <w:r>
              <w:rPr>
                <w:rFonts w:ascii="Arial" w:cs="Arial" w:eastAsia="Arial" w:hAnsi="Arial"/>
                <w:color w:val="404040"/>
                <w:sz w:val="20"/>
                <w:szCs w:val="20"/>
              </w:rPr>
              <w:t xml:space="preserve">Conduct Physical Configuration Audits (PCA): verify as-built CI conforms to PCD; review engineering drawings, 3D CAD models, manufacturing instructions, and PPSL.</w:t>
            </w:r>
          </w:p>
        </w:tc>
      </w:tr>
      <w:tr>
        <w:tc>
          <w:tcPr>
            <w:tcW w:type="dxa" w:w="9360"/>
            <w:tcBorders>
              <w:top w:val="none" w:color="FFFFFF" w:sz="0"/>
              <w:left w:val="none" w:color="FFFFFF" w:sz="0"/>
              <w:bottom w:val="none" w:color="FFFFFF" w:sz="0"/>
              <w:right w:val="none" w:color="FFFFFF" w:sz="0"/>
            </w:tcBorders>
            <w:shd w:fill="D5E8F0" w:val="clear"/>
            <w:tcMar>
              <w:top w:type="dxa" w:w="80"/>
              <w:left w:type="dxa" w:w="200"/>
              <w:bottom w:type="dxa" w:w="80"/>
              <w:right w:type="dxa" w:w="200"/>
            </w:tcMar>
          </w:tcPr>
          <w:p>
            <w:pPr>
              <w:spacing w:after="40" w:before="40"/>
            </w:pPr>
            <w:r>
              <w:rPr>
                <w:rFonts w:ascii="Arial" w:cs="Arial" w:eastAsia="Arial" w:hAnsi="Arial"/>
                <w:color w:val="404040"/>
                <w:sz w:val="20"/>
                <w:szCs w:val="20"/>
              </w:rPr>
              <w:t xml:space="preserve">Develop and maintain Configuration Audit Plans; schedule audits against IMS; obtain Acquirer approval.</w:t>
            </w:r>
          </w:p>
        </w:tc>
      </w:tr>
      <w:tr>
        <w:tc>
          <w:tcPr>
            <w:tcW w:type="dxa" w:w="9360"/>
            <w:tcBorders>
              <w:top w:val="none" w:color="FFFFFF" w:sz="0"/>
              <w:left w:val="none" w:color="FFFFFF" w:sz="0"/>
              <w:bottom w:val="none" w:color="FFFFFF" w:sz="0"/>
              <w:right w:val="none" w:color="FFFFFF" w:sz="0"/>
            </w:tcBorders>
            <w:shd w:fill="D5E8F0" w:val="clear"/>
            <w:tcMar>
              <w:top w:type="dxa" w:w="80"/>
              <w:left w:type="dxa" w:w="200"/>
              <w:bottom w:type="dxa" w:w="80"/>
              <w:right w:type="dxa" w:w="200"/>
            </w:tcMar>
          </w:tcPr>
          <w:p>
            <w:pPr>
              <w:spacing w:after="40" w:before="40"/>
            </w:pPr>
            <w:r>
              <w:rPr>
                <w:rFonts w:ascii="Arial" w:cs="Arial" w:eastAsia="Arial" w:hAnsi="Arial"/>
                <w:color w:val="404040"/>
                <w:sz w:val="20"/>
                <w:szCs w:val="20"/>
              </w:rPr>
              <w:t xml:space="preserve">Document discrepancies; track to closure; prepare Configuration Audit Summary Reports.</w:t>
            </w:r>
          </w:p>
        </w:tc>
      </w:tr>
      <w:tr>
        <w:tc>
          <w:tcPr>
            <w:tcW w:type="dxa" w:w="9360"/>
            <w:tcBorders>
              <w:top w:val="none" w:color="FFFFFF" w:sz="0"/>
              <w:left w:val="none" w:color="FFFFFF" w:sz="0"/>
              <w:bottom w:val="none" w:color="FFFFFF" w:sz="0"/>
              <w:right w:val="none" w:color="FFFFFF" w:sz="0"/>
            </w:tcBorders>
            <w:shd w:fill="D5E8F0" w:val="clear"/>
            <w:tcMar>
              <w:top w:type="dxa" w:w="80"/>
              <w:left w:type="dxa" w:w="200"/>
              <w:bottom w:type="dxa" w:w="80"/>
              <w:right w:type="dxa" w:w="200"/>
            </w:tcMar>
          </w:tcPr>
          <w:p>
            <w:pPr>
              <w:spacing w:after="40" w:before="40"/>
            </w:pPr>
            <w:r>
              <w:rPr>
                <w:rFonts w:ascii="Arial" w:cs="Arial" w:eastAsia="Arial" w:hAnsi="Arial"/>
                <w:color w:val="404040"/>
                <w:sz w:val="20"/>
                <w:szCs w:val="20"/>
              </w:rPr>
              <w:t xml:space="preserve">Support incremental and system-level audits; coordinate sub-supplier audit participation.</w:t>
            </w:r>
          </w:p>
        </w:tc>
      </w:tr>
    </w:tbl>
    <w:p>
      <w:pPr>
        <w:spacing w:after="0" w:before="120"/>
      </w:pPr>
    </w:p>
    <w:p>
      <w:pPr>
        <w:pStyle w:val="Heading2"/>
        <w:shd w:fill="2E5F8A" w:val="clear"/>
        <w:spacing w:after="80" w:before="200"/>
        <w:ind w:left="120"/>
      </w:pPr>
      <w:r>
        <w:rPr>
          <w:rFonts w:ascii="Arial" w:cs="Arial" w:eastAsia="Arial" w:hAnsi="Arial"/>
          <w:b/>
          <w:bCs/>
          <w:color w:val="FFFFFF"/>
          <w:sz w:val="28"/>
          <w:szCs w:val="28"/>
        </w:rPr>
        <w:t xml:space="preserve">Education Degree Requirements</w:t>
      </w:r>
    </w:p>
    <w:p>
      <w:pPr>
        <w:spacing w:after="0" w:before="60"/>
      </w:pPr>
    </w:p>
    <w:p>
      <w:pPr>
        <w:spacing w:after="80" w:before="80"/>
        <w:jc w:val="left"/>
      </w:pPr>
      <w:r>
        <w:rPr>
          <w:rFonts w:ascii="Arial" w:cs="Arial" w:eastAsia="Arial" w:hAnsi="Arial"/>
          <w:b/>
          <w:bCs/>
          <w:color w:val="C00000"/>
          <w:sz w:val="24"/>
          <w:szCs w:val="24"/>
        </w:rPr>
        <w:t xml:space="preserve">DETERMINATION: </w:t>
      </w:r>
      <w:r>
        <w:rPr>
          <w:rFonts w:ascii="Arial" w:cs="Arial" w:eastAsia="Arial" w:hAnsi="Arial"/>
          <w:b/>
          <w:bCs/>
          <w:color w:val="404040"/>
          <w:sz w:val="24"/>
          <w:szCs w:val="24"/>
        </w:rPr>
        <w:t xml:space="preserve">B.S. in Engineering or Engineering Technology — REQUIRED (Most Technically Demanding CM Function)</w:t>
      </w:r>
    </w:p>
    <w:p>
      <w:pPr>
        <w:spacing w:after="0" w:before="40"/>
      </w:pPr>
    </w:p>
    <w:p>
      <w:pPr>
        <w:spacing w:after="100" w:before="60"/>
        <w:jc w:val="left"/>
      </w:pPr>
      <w:r>
        <w:rPr>
          <w:rFonts w:ascii="Arial" w:cs="Arial" w:eastAsia="Arial" w:hAnsi="Arial"/>
          <w:i w:val="false"/>
          <w:iCs w:val="false"/>
          <w:color w:val="404040"/>
          <w:sz w:val="22"/>
          <w:szCs w:val="22"/>
        </w:rPr>
        <w:t xml:space="preserve">Configuration Verification and Audits is the most technically demanding of the five CM functions and presents the clearest case for requiring a technical bachelor's degree. The FCA requires the CM organization to verify that a CI's performance has been demonstrated against its functional and allocated configuration documentation (§3.5.2(1)). This is not a paperwork exercise — it requires reading and understanding performance specifications, test plans, test procedures, and test result analyses. The PCA requires comparing as-built hardware against engineering drawings, 3D CAD models, Model Based Definitions (MBDs), and manufacturing instruction sheets (§3.5.3.2(2)a). A practitioner who cannot read an engineering drawing cannot perform a PCA. The audit function also requires the CM practitioner to credibly challenge engineers and manufacturing personnel on technical discrepancies (§3.5.1(1)i,j) — an inherently technical confrontation that demands engineering credentials and knowledge. Placing an associate's-degree practitioner in the lead audit role for a defense system FCA or PCA creates a structural gap between what the standard requires and what the individual can actually assess.</w:t>
      </w:r>
    </w:p>
    <w:p>
      <w:pPr>
        <w:pStyle w:val="Heading3"/>
        <w:pBdr>
          <w:bottom w:val="single" w:color="2E5F8A" w:sz="6"/>
        </w:pBdr>
        <w:spacing w:after="80" w:before="160"/>
      </w:pPr>
      <w:r>
        <w:rPr>
          <w:rFonts w:ascii="Arial" w:cs="Arial" w:eastAsia="Arial" w:hAnsi="Arial"/>
          <w:b/>
          <w:bCs/>
          <w:color w:val="1F3864"/>
          <w:sz w:val="24"/>
          <w:szCs w:val="24"/>
        </w:rPr>
        <w:t xml:space="preserve">EIA-649-1 Traceability — Why a Technical Degree Is Required for Configuration Verification and Audits</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3200"/>
        <w:gridCol w:w="4720"/>
      </w:tblGrid>
      <w:tr>
        <w:trPr>
          <w:tblHeader/>
        </w:trPr>
        <w:tc>
          <w:tcPr>
            <w:tcW w:type="dxa" w:w="1440"/>
            <w:tcBorders>
              <w:top w:val="single" w:color="AAAAAA" w:sz="4"/>
              <w:left w:val="single" w:color="AAAAAA" w:sz="4"/>
              <w:bottom w:val="single" w:color="AAAAAA" w:sz="4"/>
              <w:right w:val="single" w:color="AAAAAA" w:sz="4"/>
            </w:tcBorders>
            <w:shd w:fill="1F3864" w:val="clear"/>
            <w:tcMar>
              <w:top w:type="dxa" w:w="100"/>
              <w:left w:type="dxa" w:w="120"/>
              <w:bottom w:type="dxa" w:w="100"/>
              <w:right w:type="dxa" w:w="120"/>
            </w:tcMar>
            <w:vAlign w:val="center"/>
          </w:tcPr>
          <w:p>
            <w:pPr>
              <w:spacing w:after="40" w:before="40"/>
              <w:jc w:val="center"/>
            </w:pPr>
            <w:r>
              <w:rPr>
                <w:rFonts w:ascii="Arial" w:cs="Arial" w:eastAsia="Arial" w:hAnsi="Arial"/>
                <w:b/>
                <w:bCs/>
                <w:color w:val="FFFFFF"/>
                <w:sz w:val="20"/>
                <w:szCs w:val="20"/>
              </w:rPr>
              <w:t xml:space="preserve">649-1 Para.</w:t>
            </w:r>
          </w:p>
        </w:tc>
        <w:tc>
          <w:tcPr>
            <w:tcW w:type="dxa" w:w="3200"/>
            <w:tcBorders>
              <w:top w:val="single" w:color="AAAAAA" w:sz="4"/>
              <w:left w:val="single" w:color="AAAAAA" w:sz="4"/>
              <w:bottom w:val="single" w:color="AAAAAA" w:sz="4"/>
              <w:right w:val="single" w:color="AAAAAA" w:sz="4"/>
            </w:tcBorders>
            <w:shd w:fill="1F3864" w:val="clear"/>
            <w:tcMar>
              <w:top w:type="dxa" w:w="100"/>
              <w:left w:type="dxa" w:w="120"/>
              <w:bottom w:type="dxa" w:w="100"/>
              <w:right w:type="dxa" w:w="120"/>
            </w:tcMar>
            <w:vAlign w:val="center"/>
          </w:tcPr>
          <w:p>
            <w:pPr>
              <w:spacing w:after="40" w:before="40"/>
              <w:jc w:val="center"/>
            </w:pPr>
            <w:r>
              <w:rPr>
                <w:rFonts w:ascii="Arial" w:cs="Arial" w:eastAsia="Arial" w:hAnsi="Arial"/>
                <w:b/>
                <w:bCs/>
                <w:color w:val="FFFFFF"/>
                <w:sz w:val="20"/>
                <w:szCs w:val="20"/>
              </w:rPr>
              <w:t xml:space="preserve">Requirement Language</w:t>
            </w:r>
          </w:p>
        </w:tc>
        <w:tc>
          <w:tcPr>
            <w:tcW w:type="dxa" w:w="4720"/>
            <w:tcBorders>
              <w:top w:val="single" w:color="AAAAAA" w:sz="4"/>
              <w:left w:val="single" w:color="AAAAAA" w:sz="4"/>
              <w:bottom w:val="single" w:color="AAAAAA" w:sz="4"/>
              <w:right w:val="single" w:color="AAAAAA" w:sz="4"/>
            </w:tcBorders>
            <w:shd w:fill="1F3864" w:val="clear"/>
            <w:tcMar>
              <w:top w:type="dxa" w:w="100"/>
              <w:left w:type="dxa" w:w="120"/>
              <w:bottom w:type="dxa" w:w="100"/>
              <w:right w:type="dxa" w:w="120"/>
            </w:tcMar>
            <w:vAlign w:val="center"/>
          </w:tcPr>
          <w:p>
            <w:pPr>
              <w:spacing w:after="40" w:before="40"/>
              <w:jc w:val="center"/>
            </w:pPr>
            <w:r>
              <w:rPr>
                <w:rFonts w:ascii="Arial" w:cs="Arial" w:eastAsia="Arial" w:hAnsi="Arial"/>
                <w:b/>
                <w:bCs/>
                <w:color w:val="FFFFFF"/>
                <w:sz w:val="20"/>
                <w:szCs w:val="20"/>
              </w:rPr>
              <w:t xml:space="preserve">Why This Requires a Technical Degree</w:t>
            </w:r>
          </w:p>
        </w:tc>
      </w:tr>
      <w:tr>
        <w:tc>
          <w:tcPr>
            <w:tcW w:type="dxa" w:w="14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2E5F8A"/>
                <w:sz w:val="18"/>
                <w:szCs w:val="18"/>
              </w:rPr>
              <w:t xml:space="preserve">§3.5.2(1)</w:t>
            </w:r>
          </w:p>
        </w:tc>
        <w:tc>
          <w:tcPr>
            <w:tcW w:type="dxa" w:w="3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8"/>
                <w:szCs w:val="18"/>
              </w:rPr>
              <w:t xml:space="preserve">Conduct FCA to verify the CI meets its performance requirements as documented in the approved FCD and ACD.</w:t>
            </w:r>
          </w:p>
        </w:tc>
        <w:tc>
          <w:tcPr>
            <w:tcW w:type="dxa" w:w="47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595959"/>
                <w:sz w:val="18"/>
                <w:szCs w:val="18"/>
              </w:rPr>
              <w:t xml:space="preserve">Verifying that a gas turbine engine, avionics system, or guided munition has met its functional performance requirements requires the ability to read performance specifications, understand test methodologies, and evaluate whether test evidence constitutes valid demonstration. This is core B.S. engineering curriculum content.</w:t>
            </w:r>
          </w:p>
        </w:tc>
      </w:tr>
      <w:tr>
        <w:tc>
          <w:tcPr>
            <w:tcW w:type="dxa" w:w="14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bCs/>
                <w:color w:val="2E5F8A"/>
                <w:sz w:val="18"/>
                <w:szCs w:val="18"/>
              </w:rPr>
              <w:t xml:space="preserve">§3.5.2.1(1)c</w:t>
            </w:r>
          </w:p>
        </w:tc>
        <w:tc>
          <w:tcPr>
            <w:tcW w:type="dxa" w:w="3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8"/>
                <w:szCs w:val="18"/>
              </w:rPr>
              <w:t xml:space="preserve">Provide matrix identifying and providing traceability for all requirements; cross-reference to test plans, procedures, test programs, test reports, and known deficiencies.</w:t>
            </w:r>
          </w:p>
        </w:tc>
        <w:tc>
          <w:tcPr>
            <w:tcW w:type="dxa" w:w="472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val="false"/>
                <w:bCs w:val="false"/>
                <w:color w:val="595959"/>
                <w:sz w:val="18"/>
                <w:szCs w:val="18"/>
              </w:rPr>
              <w:t xml:space="preserve">Developing and verifying a Requirements Traceability Matrix (RTM) against test evidence requires understanding both what the requirement says technically and what the test was designed to demonstrate. This synthesis is not achievable without engineering-level technical education.</w:t>
            </w:r>
          </w:p>
        </w:tc>
      </w:tr>
      <w:tr>
        <w:tc>
          <w:tcPr>
            <w:tcW w:type="dxa" w:w="14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2E5F8A"/>
                <w:sz w:val="18"/>
                <w:szCs w:val="18"/>
              </w:rPr>
              <w:t xml:space="preserve">§3.5.2.1(2)h</w:t>
            </w:r>
          </w:p>
        </w:tc>
        <w:tc>
          <w:tcPr>
            <w:tcW w:type="dxa" w:w="3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8"/>
                <w:szCs w:val="18"/>
              </w:rPr>
              <w:t xml:space="preserve">Provide analyses or simulations for requirements that cannot be completely verified through testing.</w:t>
            </w:r>
          </w:p>
        </w:tc>
        <w:tc>
          <w:tcPr>
            <w:tcW w:type="dxa" w:w="47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595959"/>
                <w:sz w:val="18"/>
                <w:szCs w:val="18"/>
              </w:rPr>
              <w:t xml:space="preserve">Evaluating whether an analytical verification approach is technically valid as a substitute for test requires engineering judgment about modeling, simulation, and verification equivalence.</w:t>
            </w:r>
          </w:p>
        </w:tc>
      </w:tr>
      <w:tr>
        <w:tc>
          <w:tcPr>
            <w:tcW w:type="dxa" w:w="14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bCs/>
                <w:color w:val="2E5F8A"/>
                <w:sz w:val="18"/>
                <w:szCs w:val="18"/>
              </w:rPr>
              <w:t xml:space="preserve">§3.5.3</w:t>
            </w:r>
          </w:p>
        </w:tc>
        <w:tc>
          <w:tcPr>
            <w:tcW w:type="dxa" w:w="3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8"/>
                <w:szCs w:val="18"/>
              </w:rPr>
              <w:t xml:space="preserve">PCA: examine as-built configuration of a validated CI against design documentation including CAD models, drawings, and software source code. Verify PCD is consistent with the validated CI.</w:t>
            </w:r>
          </w:p>
        </w:tc>
        <w:tc>
          <w:tcPr>
            <w:tcW w:type="dxa" w:w="472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val="false"/>
                <w:bCs w:val="false"/>
                <w:color w:val="595959"/>
                <w:sz w:val="18"/>
                <w:szCs w:val="18"/>
              </w:rPr>
              <w:t xml:space="preserve">A PCA is fundamentally an engineering drawing review. Each drawing must be compared to the actual hardware to confirm the correct parts, configurations, and revision levels are represented. This is impossible without engineering drawing literacy.</w:t>
            </w:r>
          </w:p>
        </w:tc>
      </w:tr>
      <w:tr>
        <w:tc>
          <w:tcPr>
            <w:tcW w:type="dxa" w:w="14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2E5F8A"/>
                <w:sz w:val="18"/>
                <w:szCs w:val="18"/>
              </w:rPr>
              <w:t xml:space="preserve">§3.5.3.1(1)a items 4,5,14</w:t>
            </w:r>
          </w:p>
        </w:tc>
        <w:tc>
          <w:tcPr>
            <w:tcW w:type="dxa" w:w="3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8"/>
                <w:szCs w:val="18"/>
              </w:rPr>
              <w:t xml:space="preserve">Review acceptance test procedures and associated test data; engineering drawing index including revision letters; current approved hardware development and software/interface requirements specifications including approved SCNs and approved variances.</w:t>
            </w:r>
          </w:p>
        </w:tc>
        <w:tc>
          <w:tcPr>
            <w:tcW w:type="dxa" w:w="47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595959"/>
                <w:sz w:val="18"/>
                <w:szCs w:val="18"/>
              </w:rPr>
              <w:t xml:space="preserve">Reviewing acceptance test procedures, drawing indices, and interface specifications during a PCA requires the practitioner to understand what these documents contain technically and what constitutes a complete, correct package.</w:t>
            </w:r>
          </w:p>
        </w:tc>
      </w:tr>
      <w:tr>
        <w:tc>
          <w:tcPr>
            <w:tcW w:type="dxa" w:w="14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bCs/>
                <w:color w:val="2E5F8A"/>
                <w:sz w:val="18"/>
                <w:szCs w:val="18"/>
              </w:rPr>
              <w:t xml:space="preserve">§3.5.3.2(2)a</w:t>
            </w:r>
          </w:p>
        </w:tc>
        <w:tc>
          <w:tcPr>
            <w:tcW w:type="dxa" w:w="3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8"/>
                <w:szCs w:val="18"/>
              </w:rPr>
              <w:t xml:space="preserve">Review complete product drawings/associated lists package (3D model type, cut-away drawings, MBDs) and associated manufacturing instruction sheets (and/or CAM data) for each item of hardware or software.</w:t>
            </w:r>
          </w:p>
        </w:tc>
        <w:tc>
          <w:tcPr>
            <w:tcW w:type="dxa" w:w="472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val="false"/>
                <w:bCs w:val="false"/>
                <w:color w:val="595959"/>
                <w:sz w:val="18"/>
                <w:szCs w:val="18"/>
              </w:rPr>
              <w:t xml:space="preserve">Manufacturing instruction sheets and CAM data define how parts are made. Comparing these to drawings as part of a PCA requires knowledge of manufacturing processes and engineering documentation standards (ASME Y14.100).</w:t>
            </w:r>
          </w:p>
        </w:tc>
      </w:tr>
      <w:tr>
        <w:tc>
          <w:tcPr>
            <w:tcW w:type="dxa" w:w="14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2E5F8A"/>
                <w:sz w:val="18"/>
                <w:szCs w:val="18"/>
              </w:rPr>
              <w:t xml:space="preserve">§3.5.1(1)i,j</w:t>
            </w:r>
          </w:p>
        </w:tc>
        <w:tc>
          <w:tcPr>
            <w:tcW w:type="dxa" w:w="3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8"/>
                <w:szCs w:val="18"/>
              </w:rPr>
              <w:t xml:space="preserve">Ensure Supplier and Sub-supplier personnel are prepared to discuss technical detail; participate in resolution of discrepancies identified during FCA/PCA.</w:t>
            </w:r>
          </w:p>
        </w:tc>
        <w:tc>
          <w:tcPr>
            <w:tcW w:type="dxa" w:w="47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595959"/>
                <w:sz w:val="18"/>
                <w:szCs w:val="18"/>
              </w:rPr>
              <w:t xml:space="preserve">Technical discrepancy resolution requires the CM auditor to understand and articulate what is wrong between the as-built item and its documentation, and to evaluate proposed resolutions for adequacy. Technical credibility is not possible without a technical degree.</w:t>
            </w:r>
          </w:p>
        </w:tc>
      </w:tr>
      <w:tr>
        <w:tc>
          <w:tcPr>
            <w:tcW w:type="dxa" w:w="14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bCs/>
                <w:color w:val="2E5F8A"/>
                <w:sz w:val="18"/>
                <w:szCs w:val="18"/>
              </w:rPr>
              <w:t xml:space="preserve">§3.5.3(2)</w:t>
            </w:r>
          </w:p>
        </w:tc>
        <w:tc>
          <w:tcPr>
            <w:tcW w:type="dxa" w:w="3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8"/>
                <w:szCs w:val="18"/>
              </w:rPr>
              <w:t xml:space="preserve">Ensure compatibility between CI and the PPSL; examine CI to ensure proper parts are actually installed.</w:t>
            </w:r>
          </w:p>
        </w:tc>
        <w:tc>
          <w:tcPr>
            <w:tcW w:type="dxa" w:w="472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val="false"/>
                <w:bCs w:val="false"/>
                <w:color w:val="595959"/>
                <w:sz w:val="18"/>
                <w:szCs w:val="18"/>
              </w:rPr>
              <w:t xml:space="preserve">Cross-referencing a physical CI against the Program Parts Selection List to verify correct part numbers and approved sources requires engineering documentation literacy and understanding of parts control programs.</w:t>
            </w:r>
          </w:p>
        </w:tc>
      </w:tr>
    </w:tbl>
    <w:p>
      <w:pPr>
        <w:spacing w:after="0" w:before="120"/>
      </w:pPr>
    </w:p>
    <w:p>
      <w:pPr>
        <w:pStyle w:val="Heading2"/>
        <w:shd w:fill="2E5F8A" w:val="clear"/>
        <w:spacing w:after="80" w:before="200"/>
        <w:ind w:left="120"/>
      </w:pPr>
      <w:r>
        <w:rPr>
          <w:rFonts w:ascii="Arial" w:cs="Arial" w:eastAsia="Arial" w:hAnsi="Arial"/>
          <w:b/>
          <w:bCs/>
          <w:color w:val="FFFFFF"/>
          <w:sz w:val="28"/>
          <w:szCs w:val="28"/>
        </w:rPr>
        <w:t xml:space="preserve">Technical Skills</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tcBorders>
              <w:top w:val="single" w:color="AAAAAA" w:sz="4"/>
              <w:left w:val="single" w:color="AAAAAA" w:sz="4"/>
              <w:bottom w:val="single" w:color="AAAAAA" w:sz="4"/>
              <w:right w:val="single" w:color="AAAAAA" w:sz="4"/>
            </w:tcBorders>
            <w:shd w:fill="2E5F8A" w:val="clear"/>
            <w:tcMar>
              <w:top w:type="dxa" w:w="100"/>
              <w:left w:type="dxa" w:w="120"/>
              <w:bottom w:type="dxa" w:w="100"/>
              <w:right w:type="dxa" w:w="120"/>
            </w:tcMar>
            <w:vAlign w:val="center"/>
          </w:tcPr>
          <w:p>
            <w:pPr>
              <w:spacing w:after="40" w:before="40"/>
              <w:jc w:val="center"/>
            </w:pPr>
            <w:r>
              <w:rPr>
                <w:rFonts w:ascii="Arial" w:cs="Arial" w:eastAsia="Arial" w:hAnsi="Arial"/>
                <w:b/>
                <w:bCs/>
                <w:color w:val="FFFFFF"/>
                <w:sz w:val="20"/>
                <w:szCs w:val="20"/>
              </w:rPr>
              <w:t xml:space="preserve">Technical Skill</w:t>
            </w:r>
          </w:p>
        </w:tc>
        <w:tc>
          <w:tcPr>
            <w:tcW w:type="dxa" w:w="6480"/>
            <w:tcBorders>
              <w:top w:val="single" w:color="AAAAAA" w:sz="4"/>
              <w:left w:val="single" w:color="AAAAAA" w:sz="4"/>
              <w:bottom w:val="single" w:color="AAAAAA" w:sz="4"/>
              <w:right w:val="single" w:color="AAAAAA" w:sz="4"/>
            </w:tcBorders>
            <w:shd w:fill="2E5F8A" w:val="clear"/>
            <w:tcMar>
              <w:top w:type="dxa" w:w="100"/>
              <w:left w:type="dxa" w:w="120"/>
              <w:bottom w:type="dxa" w:w="100"/>
              <w:right w:type="dxa" w:w="120"/>
            </w:tcMar>
            <w:vAlign w:val="center"/>
          </w:tcPr>
          <w:p>
            <w:pPr>
              <w:spacing w:after="40" w:before="40"/>
              <w:jc w:val="center"/>
            </w:pPr>
            <w:r>
              <w:rPr>
                <w:rFonts w:ascii="Arial" w:cs="Arial" w:eastAsia="Arial" w:hAnsi="Arial"/>
                <w:b/>
                <w:bCs/>
                <w:color w:val="FFFFFF"/>
                <w:sz w:val="20"/>
                <w:szCs w:val="20"/>
              </w:rPr>
              <w:t xml:space="preserve">Description / Application to EIA-649-1</w:t>
            </w:r>
          </w:p>
        </w:tc>
      </w:tr>
      <w:tr>
        <w:tc>
          <w:tcPr>
            <w:tcW w:type="dxa" w:w="28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2E5F8A"/>
                <w:sz w:val="19"/>
                <w:szCs w:val="19"/>
              </w:rPr>
              <w:t xml:space="preserve">FCA Conduct &amp; Documentation</w:t>
            </w:r>
          </w:p>
        </w:tc>
        <w:tc>
          <w:tcPr>
            <w:tcW w:type="dxa" w:w="64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9"/>
                <w:szCs w:val="19"/>
              </w:rPr>
              <w:t xml:space="preserve">Lead Functional Configuration Audits: prepare pre-audit packages, review FCD/ACD compliance, verify test results against requirements, document non-compliances, and produce FCA minutes per §3.5.2.1.</w:t>
            </w:r>
          </w:p>
        </w:tc>
      </w:tr>
      <w:tr>
        <w:tc>
          <w:tcPr>
            <w:tcW w:type="dxa" w:w="28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bCs/>
                <w:color w:val="2E5F8A"/>
                <w:sz w:val="19"/>
                <w:szCs w:val="19"/>
              </w:rPr>
              <w:t xml:space="preserve">PCA Conduct &amp; Documentation</w:t>
            </w:r>
          </w:p>
        </w:tc>
        <w:tc>
          <w:tcPr>
            <w:tcW w:type="dxa" w:w="64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9"/>
                <w:szCs w:val="19"/>
              </w:rPr>
              <w:t xml:space="preserve">Lead Physical Configuration Audits: compare as-built CI to PCD (drawings, 3D models, MBDs, manufacturing instructions, PPSL); record drawing numbers, revision letters, and part numbers in PCA minutes per §3.5.3.</w:t>
            </w:r>
          </w:p>
        </w:tc>
      </w:tr>
      <w:tr>
        <w:tc>
          <w:tcPr>
            <w:tcW w:type="dxa" w:w="28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2E5F8A"/>
                <w:sz w:val="19"/>
                <w:szCs w:val="19"/>
              </w:rPr>
              <w:t xml:space="preserve">Requirements Traceability Matrix (RTM)</w:t>
            </w:r>
          </w:p>
        </w:tc>
        <w:tc>
          <w:tcPr>
            <w:tcW w:type="dxa" w:w="64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9"/>
                <w:szCs w:val="19"/>
              </w:rPr>
              <w:t xml:space="preserve">Develop and verify RTM cross-referencing all functional/allocated requirements to test plans, test procedures, test reports, and verification method; identify gaps and known deficiencies per §3.5.2.1(1)c.</w:t>
            </w:r>
          </w:p>
        </w:tc>
      </w:tr>
      <w:tr>
        <w:tc>
          <w:tcPr>
            <w:tcW w:type="dxa" w:w="28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bCs/>
                <w:color w:val="2E5F8A"/>
                <w:sz w:val="19"/>
                <w:szCs w:val="19"/>
              </w:rPr>
              <w:t xml:space="preserve">Engineering Drawing &amp; CAD Model Review</w:t>
            </w:r>
          </w:p>
        </w:tc>
        <w:tc>
          <w:tcPr>
            <w:tcW w:type="dxa" w:w="64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9"/>
                <w:szCs w:val="19"/>
              </w:rPr>
              <w:t xml:space="preserve">Read and interpret engineering drawings, 3D CAD models, Model Based Definitions (MBDs), associated lists, and manufacturing instruction sheets in support of PCA per §3.5.3.2. Required for comparing design intent to as-built reality.</w:t>
            </w:r>
          </w:p>
        </w:tc>
      </w:tr>
      <w:tr>
        <w:tc>
          <w:tcPr>
            <w:tcW w:type="dxa" w:w="28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2E5F8A"/>
                <w:sz w:val="19"/>
                <w:szCs w:val="19"/>
              </w:rPr>
              <w:t xml:space="preserve">Test Data Interpretation</w:t>
            </w:r>
          </w:p>
        </w:tc>
        <w:tc>
          <w:tcPr>
            <w:tcW w:type="dxa" w:w="64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9"/>
                <w:szCs w:val="19"/>
              </w:rPr>
              <w:t xml:space="preserve">Review and evaluate test plans, test procedures, test reports, and analyses for FCA evidence packages; assess whether test results demonstrate requirement compliance per §3.5.2.1(2).</w:t>
            </w:r>
          </w:p>
        </w:tc>
      </w:tr>
      <w:tr>
        <w:tc>
          <w:tcPr>
            <w:tcW w:type="dxa" w:w="28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bCs/>
                <w:color w:val="2E5F8A"/>
                <w:sz w:val="19"/>
                <w:szCs w:val="19"/>
              </w:rPr>
              <w:t xml:space="preserve">Software Audit Skills</w:t>
            </w:r>
          </w:p>
        </w:tc>
        <w:tc>
          <w:tcPr>
            <w:tcW w:type="dxa" w:w="64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9"/>
                <w:szCs w:val="19"/>
              </w:rPr>
              <w:t xml:space="preserve">Audit CSCIs: review SVDs, software library listings, problem reports, development configuration records, CSCI FCA closure; verify software build baselines per §3.5.2.1(2)i.</w:t>
            </w:r>
          </w:p>
        </w:tc>
      </w:tr>
      <w:tr>
        <w:tc>
          <w:tcPr>
            <w:tcW w:type="dxa" w:w="28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2E5F8A"/>
                <w:sz w:val="19"/>
                <w:szCs w:val="19"/>
              </w:rPr>
              <w:t xml:space="preserve">Audit Planning &amp; Scheduling</w:t>
            </w:r>
          </w:p>
        </w:tc>
        <w:tc>
          <w:tcPr>
            <w:tcW w:type="dxa" w:w="64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9"/>
                <w:szCs w:val="19"/>
              </w:rPr>
              <w:t xml:space="preserve">Develop Configuration Audit Plans (DI-SESS-81646); schedule audits against IMS; coordinate sub-supplier participation; establish entry/exit criteria per §3.5.1.</w:t>
            </w:r>
          </w:p>
        </w:tc>
      </w:tr>
      <w:tr>
        <w:tc>
          <w:tcPr>
            <w:tcW w:type="dxa" w:w="28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bCs/>
                <w:color w:val="2E5F8A"/>
                <w:sz w:val="19"/>
                <w:szCs w:val="19"/>
              </w:rPr>
              <w:t xml:space="preserve">Discrepancy Documentation &amp; Tracking</w:t>
            </w:r>
          </w:p>
        </w:tc>
        <w:tc>
          <w:tcPr>
            <w:tcW w:type="dxa" w:w="64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9"/>
                <w:szCs w:val="19"/>
              </w:rPr>
              <w:t xml:space="preserve">Record all audit discrepancies; assign responsible activities and suspense dates; track to closure; prepare Configuration Audit Summary Reports (DI-SESS-81022) per §3.5.5.</w:t>
            </w:r>
          </w:p>
        </w:tc>
      </w:tr>
      <w:tr>
        <w:tc>
          <w:tcPr>
            <w:tcW w:type="dxa" w:w="28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2E5F8A"/>
                <w:sz w:val="19"/>
                <w:szCs w:val="19"/>
              </w:rPr>
              <w:t xml:space="preserve">PPSL / Parts Control Review</w:t>
            </w:r>
          </w:p>
        </w:tc>
        <w:tc>
          <w:tcPr>
            <w:tcW w:type="dxa" w:w="64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9"/>
                <w:szCs w:val="19"/>
              </w:rPr>
              <w:t xml:space="preserve">Cross-reference PPSL to verify correct parts are installed in the CI; identify unauthorized substitutions or unapproved sources per §3.5.3(2).</w:t>
            </w:r>
          </w:p>
        </w:tc>
      </w:tr>
      <w:tr>
        <w:tc>
          <w:tcPr>
            <w:tcW w:type="dxa" w:w="28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bCs/>
                <w:color w:val="2E5F8A"/>
                <w:sz w:val="19"/>
                <w:szCs w:val="19"/>
              </w:rPr>
              <w:t xml:space="preserve">First Article Test (FAT) Support</w:t>
            </w:r>
          </w:p>
        </w:tc>
        <w:tc>
          <w:tcPr>
            <w:tcW w:type="dxa" w:w="64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9"/>
                <w:szCs w:val="19"/>
              </w:rPr>
              <w:t xml:space="preserve">Use First Article Test data to support PCA evidence for form, fit, and function of product model data per §3.5.3.1(1)c.</w:t>
            </w:r>
          </w:p>
        </w:tc>
      </w:tr>
    </w:tbl>
    <w:p>
      <w:pPr>
        <w:spacing w:after="0" w:before="120"/>
      </w:pPr>
    </w:p>
    <w:p>
      <w:pPr>
        <w:pStyle w:val="Heading2"/>
        <w:shd w:fill="2E5F8A" w:val="clear"/>
        <w:spacing w:after="80" w:before="200"/>
        <w:ind w:left="120"/>
      </w:pPr>
      <w:r>
        <w:rPr>
          <w:rFonts w:ascii="Arial" w:cs="Arial" w:eastAsia="Arial" w:hAnsi="Arial"/>
          <w:b/>
          <w:bCs/>
          <w:color w:val="FFFFFF"/>
          <w:sz w:val="28"/>
          <w:szCs w:val="28"/>
        </w:rPr>
        <w:t xml:space="preserve">Soft Skills</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tcBorders>
              <w:top w:val="single" w:color="AAAAAA" w:sz="4"/>
              <w:left w:val="single" w:color="AAAAAA" w:sz="4"/>
              <w:bottom w:val="single" w:color="AAAAAA" w:sz="4"/>
              <w:right w:val="single" w:color="AAAAAA" w:sz="4"/>
            </w:tcBorders>
            <w:shd w:fill="2E5F8A" w:val="clear"/>
            <w:tcMar>
              <w:top w:type="dxa" w:w="100"/>
              <w:left w:type="dxa" w:w="120"/>
              <w:bottom w:type="dxa" w:w="100"/>
              <w:right w:type="dxa" w:w="120"/>
            </w:tcMar>
            <w:vAlign w:val="center"/>
          </w:tcPr>
          <w:p>
            <w:pPr>
              <w:spacing w:after="40" w:before="40"/>
              <w:jc w:val="center"/>
            </w:pPr>
            <w:r>
              <w:rPr>
                <w:rFonts w:ascii="Arial" w:cs="Arial" w:eastAsia="Arial" w:hAnsi="Arial"/>
                <w:b/>
                <w:bCs/>
                <w:color w:val="FFFFFF"/>
                <w:sz w:val="20"/>
                <w:szCs w:val="20"/>
              </w:rPr>
              <w:t xml:space="preserve">Soft Skill</w:t>
            </w:r>
          </w:p>
        </w:tc>
        <w:tc>
          <w:tcPr>
            <w:tcW w:type="dxa" w:w="6480"/>
            <w:tcBorders>
              <w:top w:val="single" w:color="AAAAAA" w:sz="4"/>
              <w:left w:val="single" w:color="AAAAAA" w:sz="4"/>
              <w:bottom w:val="single" w:color="AAAAAA" w:sz="4"/>
              <w:right w:val="single" w:color="AAAAAA" w:sz="4"/>
            </w:tcBorders>
            <w:shd w:fill="2E5F8A" w:val="clear"/>
            <w:tcMar>
              <w:top w:type="dxa" w:w="100"/>
              <w:left w:type="dxa" w:w="120"/>
              <w:bottom w:type="dxa" w:w="100"/>
              <w:right w:type="dxa" w:w="120"/>
            </w:tcMar>
            <w:vAlign w:val="center"/>
          </w:tcPr>
          <w:p>
            <w:pPr>
              <w:spacing w:after="40" w:before="40"/>
              <w:jc w:val="center"/>
            </w:pPr>
            <w:r>
              <w:rPr>
                <w:rFonts w:ascii="Arial" w:cs="Arial" w:eastAsia="Arial" w:hAnsi="Arial"/>
                <w:b/>
                <w:bCs/>
                <w:color w:val="FFFFFF"/>
                <w:sz w:val="20"/>
                <w:szCs w:val="20"/>
              </w:rPr>
              <w:t xml:space="preserve">Description / Application to EIA-649-1</w:t>
            </w:r>
          </w:p>
        </w:tc>
      </w:tr>
      <w:tr>
        <w:tc>
          <w:tcPr>
            <w:tcW w:type="dxa" w:w="28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2E5F8A"/>
                <w:sz w:val="19"/>
                <w:szCs w:val="19"/>
              </w:rPr>
              <w:t xml:space="preserve">Analytical Rigor / Objectivity</w:t>
            </w:r>
          </w:p>
        </w:tc>
        <w:tc>
          <w:tcPr>
            <w:tcW w:type="dxa" w:w="64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9"/>
                <w:szCs w:val="19"/>
              </w:rPr>
              <w:t xml:space="preserve">Approach audits as independent verification events; resist pressure from engineering or program management to accept incomplete evidence or paper over discrepancies.</w:t>
            </w:r>
          </w:p>
        </w:tc>
      </w:tr>
      <w:tr>
        <w:tc>
          <w:tcPr>
            <w:tcW w:type="dxa" w:w="28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bCs/>
                <w:color w:val="2E5F8A"/>
                <w:sz w:val="19"/>
                <w:szCs w:val="19"/>
              </w:rPr>
              <w:t xml:space="preserve">Technical Assertiveness</w:t>
            </w:r>
          </w:p>
        </w:tc>
        <w:tc>
          <w:tcPr>
            <w:tcW w:type="dxa" w:w="64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9"/>
                <w:szCs w:val="19"/>
              </w:rPr>
              <w:t xml:space="preserve">Identify and document discrepancies even when doing so creates friction with engineering teams; maintain audit independence per CVA principles.</w:t>
            </w:r>
          </w:p>
        </w:tc>
      </w:tr>
      <w:tr>
        <w:tc>
          <w:tcPr>
            <w:tcW w:type="dxa" w:w="28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2E5F8A"/>
                <w:sz w:val="19"/>
                <w:szCs w:val="19"/>
              </w:rPr>
              <w:t xml:space="preserve">Written Communication</w:t>
            </w:r>
          </w:p>
        </w:tc>
        <w:tc>
          <w:tcPr>
            <w:tcW w:type="dxa" w:w="64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9"/>
                <w:szCs w:val="19"/>
              </w:rPr>
              <w:t xml:space="preserve">Produce audit documentation (FCA/PCA minutes, discrepancy lists, Configuration Audit Summary Reports) that are precise, complete, and defensible before the Acquirer.</w:t>
            </w:r>
          </w:p>
        </w:tc>
      </w:tr>
      <w:tr>
        <w:tc>
          <w:tcPr>
            <w:tcW w:type="dxa" w:w="28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bCs/>
                <w:color w:val="2E5F8A"/>
                <w:sz w:val="19"/>
                <w:szCs w:val="19"/>
              </w:rPr>
              <w:t xml:space="preserve">Facilitation Skills</w:t>
            </w:r>
          </w:p>
        </w:tc>
        <w:tc>
          <w:tcPr>
            <w:tcW w:type="dxa" w:w="64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9"/>
                <w:szCs w:val="19"/>
              </w:rPr>
              <w:t xml:space="preserve">Manage audit sessions with Supplier, Sub-supplier, and Acquirer personnel; keep proceedings on track; ensure all required evidence is presented and reviewed.</w:t>
            </w:r>
          </w:p>
        </w:tc>
      </w:tr>
      <w:tr>
        <w:tc>
          <w:tcPr>
            <w:tcW w:type="dxa" w:w="28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2E5F8A"/>
                <w:sz w:val="19"/>
                <w:szCs w:val="19"/>
              </w:rPr>
              <w:t xml:space="preserve">Scheduling &amp; Coordination</w:t>
            </w:r>
          </w:p>
        </w:tc>
        <w:tc>
          <w:tcPr>
            <w:tcW w:type="dxa" w:w="64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9"/>
                <w:szCs w:val="19"/>
              </w:rPr>
              <w:t xml:space="preserve">Establish audit schedules compatible with IMS and material/documentation availability; coordinate across engineering, manufacturing, software, quality, and logistics organizations per §3.5.1(1)d,e.</w:t>
            </w:r>
          </w:p>
        </w:tc>
      </w:tr>
      <w:tr>
        <w:tc>
          <w:tcPr>
            <w:tcW w:type="dxa" w:w="28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bCs/>
                <w:color w:val="2E5F8A"/>
                <w:sz w:val="19"/>
                <w:szCs w:val="19"/>
              </w:rPr>
              <w:t xml:space="preserve">Persistence / Action Tracking</w:t>
            </w:r>
          </w:p>
        </w:tc>
        <w:tc>
          <w:tcPr>
            <w:tcW w:type="dxa" w:w="64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9"/>
                <w:szCs w:val="19"/>
              </w:rPr>
              <w:t xml:space="preserve">Track open audit discrepancies through resolution — a process that may take weeks to months and requires sustained follow-up across multiple organizational owners per §3.5.1(1)m.</w:t>
            </w:r>
          </w:p>
        </w:tc>
      </w:tr>
      <w:tr>
        <w:tc>
          <w:tcPr>
            <w:tcW w:type="dxa" w:w="28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2E5F8A"/>
                <w:sz w:val="19"/>
                <w:szCs w:val="19"/>
              </w:rPr>
              <w:t xml:space="preserve">Diplomacy &amp; Tact</w:t>
            </w:r>
          </w:p>
        </w:tc>
        <w:tc>
          <w:tcPr>
            <w:tcW w:type="dxa" w:w="64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9"/>
                <w:szCs w:val="19"/>
              </w:rPr>
              <w:t xml:space="preserve">Communicate discrepancies constructively to avoid adversarial relationships while maintaining audit rigor; balance technical accuracy with professional rapport.</w:t>
            </w:r>
          </w:p>
        </w:tc>
      </w:tr>
    </w:tbl>
    <w:p>
      <w:r>
        <w:br w:type="page"/>
      </w:r>
    </w:p>
    <w:p>
      <w:pPr>
        <w:pStyle w:val="Heading1"/>
        <w:shd w:fill="1F3864" w:val="clear"/>
        <w:spacing w:after="120" w:before="240"/>
        <w:ind w:left="120"/>
      </w:pPr>
      <w:r>
        <w:rPr>
          <w:rFonts w:ascii="Arial" w:cs="Arial" w:eastAsia="Arial" w:hAnsi="Arial"/>
          <w:b/>
          <w:bCs/>
          <w:color w:val="FFFFFF"/>
          <w:sz w:val="36"/>
          <w:szCs w:val="36"/>
        </w:rPr>
        <w:t xml:space="preserve">REAL-WORLD CONSEQUENCES OF CM FAILURES</w:t>
      </w:r>
    </w:p>
    <w:p>
      <w:pPr>
        <w:spacing w:after="0" w:before="80"/>
      </w:pPr>
    </w:p>
    <w:p>
      <w:pPr>
        <w:spacing w:after="100" w:before="80"/>
        <w:jc w:val="left"/>
      </w:pPr>
      <w:r>
        <w:rPr>
          <w:rFonts w:ascii="Arial" w:cs="Arial" w:eastAsia="Arial" w:hAnsi="Arial"/>
          <w:i w:val="false"/>
          <w:iCs w:val="false"/>
          <w:color w:val="404040"/>
          <w:sz w:val="22"/>
          <w:szCs w:val="22"/>
        </w:rPr>
        <w:t xml:space="preserve">Configuration Management is not an abstract compliance framework — it is the discipline that prevents aircraft from falling out of the sky. The following case studies are drawn from publicly available accident investigation reports and trace catastrophic aviation events directly to failures in Configuration Status Accounting, Configuration Verification, or related CM functions. Each case is presented with its CM root cause, the specific EIA-649-1 function that should have prevented it, and the lesson for this company's workforce model.</w:t>
      </w:r>
    </w:p>
    <w:p>
      <w:pPr>
        <w:spacing w:after="0" w:before="100"/>
      </w:pPr>
    </w:p>
    <w:p>
      <w:pPr>
        <w:pStyle w:val="Heading2"/>
        <w:shd w:fill="2E5F8A" w:val="clear"/>
        <w:spacing w:after="80" w:before="200"/>
        <w:ind w:left="120"/>
      </w:pPr>
      <w:r>
        <w:rPr>
          <w:rFonts w:ascii="Arial" w:cs="Arial" w:eastAsia="Arial" w:hAnsi="Arial"/>
          <w:b/>
          <w:bCs/>
          <w:color w:val="FFFFFF"/>
          <w:sz w:val="28"/>
          <w:szCs w:val="28"/>
        </w:rPr>
        <w:t xml:space="preserve">Case 1: B-2 'Spirit of Kansas' — Andersen AFB, Guam, 23 February 2008</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vAlign w:val="top"/>
          </w:tcPr>
          <w:p>
            <w:pPr>
              <w:spacing w:after="40" w:before="40"/>
            </w:pPr>
            <w:r>
              <w:rPr>
                <w:rFonts w:ascii="Arial" w:cs="Arial" w:eastAsia="Arial" w:hAnsi="Arial"/>
                <w:b/>
                <w:bCs/>
                <w:color w:val="1F3864"/>
                <w:sz w:val="19"/>
                <w:szCs w:val="19"/>
              </w:rPr>
              <w:t xml:space="preserve">Outcome</w:t>
            </w:r>
          </w:p>
        </w:tc>
        <w:tc>
          <w:tcPr>
            <w:tcW w:type="dxa" w:w="684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9"/>
                <w:szCs w:val="19"/>
              </w:rPr>
              <w:t xml:space="preserve">Aircraft lost on takeoff; both pilots ejected safely. $1.4 billion loss — at the time the most expensive aviation accident in history. Loss of 1 of only 21 B-2 strategic bombers ever produced.</w:t>
            </w:r>
          </w:p>
        </w:tc>
      </w:tr>
      <w:tr>
        <w:tc>
          <w:tcPr>
            <w:tcW w:type="dxa" w:w="25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1F3864"/>
                <w:sz w:val="19"/>
                <w:szCs w:val="19"/>
              </w:rPr>
              <w:t xml:space="preserve">What Happened</w:t>
            </w:r>
          </w:p>
        </w:tc>
        <w:tc>
          <w:tcPr>
            <w:tcW w:type="dxa" w:w="68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9"/>
                <w:szCs w:val="19"/>
              </w:rPr>
              <w:t xml:space="preserve">Moisture intrusion into 3 of 24 Port Transducer Units (air data sensors) during preflight calibration caused the flight control computers to receive distorted airspeed and angle-of-attack data. On takeoff, the aircraft pitched up 30 degrees uncommanded, stalled, and crashed.</w:t>
            </w:r>
          </w:p>
        </w:tc>
      </w:tr>
      <w:tr>
        <w:tc>
          <w:tcPr>
            <w:tcW w:type="dxa" w:w="252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vAlign w:val="top"/>
          </w:tcPr>
          <w:p>
            <w:pPr>
              <w:spacing w:after="40" w:before="40"/>
            </w:pPr>
            <w:r>
              <w:rPr>
                <w:rFonts w:ascii="Arial" w:cs="Arial" w:eastAsia="Arial" w:hAnsi="Arial"/>
                <w:b/>
                <w:bCs/>
                <w:color w:val="1F3864"/>
                <w:sz w:val="19"/>
                <w:szCs w:val="19"/>
              </w:rPr>
              <w:t xml:space="preserve">The CM Failure</w:t>
            </w:r>
          </w:p>
        </w:tc>
        <w:tc>
          <w:tcPr>
            <w:tcW w:type="dxa" w:w="684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9"/>
                <w:szCs w:val="19"/>
              </w:rPr>
              <w:t xml:space="preserve">An effective workaround procedure — turning on pitot heat before sensor calibration to evaporate moisture — had been independently discovered by some maintenance technicians up to two years before the accident. The procedure was never formally documented, baselined, or distributed across the fleet. Most flight control technicians and all but one supervisor were unaware of the technique. The Accident Investigation Board's Lessons Learned report specifically called out that 'the workaround calibration technique was not documented.'</w:t>
            </w:r>
          </w:p>
        </w:tc>
      </w:tr>
      <w:tr>
        <w:tc>
          <w:tcPr>
            <w:tcW w:type="dxa" w:w="25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1F3864"/>
                <w:sz w:val="19"/>
                <w:szCs w:val="19"/>
              </w:rPr>
              <w:t xml:space="preserve">EIA-649-1 Connection</w:t>
            </w:r>
          </w:p>
        </w:tc>
        <w:tc>
          <w:tcPr>
            <w:tcW w:type="dxa" w:w="68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9"/>
                <w:szCs w:val="19"/>
              </w:rPr>
              <w:t xml:space="preserve">§3.2.3 Engineering Release System (formal release of revised procedures), §3.3 Configuration Change Management (an ECP would have controlled the procedure update), §3.4.1(3)b Historical configuration information traceability. An effective CM organization would have captured the workaround as a Class II procedural change at minimum, processed it through the Engineering Release System, and ensured fleet-wide adoption.</w:t>
            </w:r>
          </w:p>
        </w:tc>
      </w:tr>
      <w:tr>
        <w:tc>
          <w:tcPr>
            <w:tcW w:type="dxa" w:w="252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vAlign w:val="top"/>
          </w:tcPr>
          <w:p>
            <w:pPr>
              <w:spacing w:after="40" w:before="40"/>
            </w:pPr>
            <w:r>
              <w:rPr>
                <w:rFonts w:ascii="Arial" w:cs="Arial" w:eastAsia="Arial" w:hAnsi="Arial"/>
                <w:b/>
                <w:bCs/>
                <w:color w:val="1F3864"/>
                <w:sz w:val="19"/>
                <w:szCs w:val="19"/>
              </w:rPr>
              <w:t xml:space="preserve">Lesson</w:t>
            </w:r>
          </w:p>
        </w:tc>
        <w:tc>
          <w:tcPr>
            <w:tcW w:type="dxa" w:w="684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9"/>
                <w:szCs w:val="19"/>
              </w:rPr>
              <w:t xml:space="preserve">Undocumented procedural knowledge is a CM failure with catastrophic potential. The workforce model must include personnel with the training to recognize when a tribal-knowledge workaround needs to be formally captured and configuration-controlled. This is exactly the judgment that an engineering-trained CM professional brings.</w:t>
            </w:r>
          </w:p>
        </w:tc>
      </w:tr>
    </w:tbl>
    <w:p>
      <w:pPr>
        <w:spacing w:after="0" w:before="120"/>
      </w:pPr>
    </w:p>
    <w:p>
      <w:pPr>
        <w:pStyle w:val="Heading2"/>
        <w:shd w:fill="2E5F8A" w:val="clear"/>
        <w:spacing w:after="80" w:before="200"/>
        <w:ind w:left="120"/>
      </w:pPr>
      <w:r>
        <w:rPr>
          <w:rFonts w:ascii="Arial" w:cs="Arial" w:eastAsia="Arial" w:hAnsi="Arial"/>
          <w:b/>
          <w:bCs/>
          <w:color w:val="FFFFFF"/>
          <w:sz w:val="28"/>
          <w:szCs w:val="28"/>
        </w:rPr>
        <w:t xml:space="preserve">Case 2: Partnair Flight 394 — North Sea, 8 September 1989</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vAlign w:val="top"/>
          </w:tcPr>
          <w:p>
            <w:pPr>
              <w:spacing w:after="40" w:before="40"/>
            </w:pPr>
            <w:r>
              <w:rPr>
                <w:rFonts w:ascii="Arial" w:cs="Arial" w:eastAsia="Arial" w:hAnsi="Arial"/>
                <w:b/>
                <w:bCs/>
                <w:color w:val="1F3864"/>
                <w:sz w:val="19"/>
                <w:szCs w:val="19"/>
              </w:rPr>
              <w:t xml:space="preserve">Outcome</w:t>
            </w:r>
          </w:p>
        </w:tc>
        <w:tc>
          <w:tcPr>
            <w:tcW w:type="dxa" w:w="684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9"/>
                <w:szCs w:val="19"/>
              </w:rPr>
              <w:t xml:space="preserve">Convair CV-580 broke apart in flight off the coast of Denmark. All 55 occupants killed. Deadliest civilian aviation accident involving a Norwegian operator. The seminal event that triggered global recognition of the unapproved parts problem.</w:t>
            </w:r>
          </w:p>
        </w:tc>
      </w:tr>
      <w:tr>
        <w:tc>
          <w:tcPr>
            <w:tcW w:type="dxa" w:w="25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1F3864"/>
                <w:sz w:val="19"/>
                <w:szCs w:val="19"/>
              </w:rPr>
              <w:t xml:space="preserve">What Happened</w:t>
            </w:r>
          </w:p>
        </w:tc>
        <w:tc>
          <w:tcPr>
            <w:tcW w:type="dxa" w:w="68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9"/>
                <w:szCs w:val="19"/>
              </w:rPr>
              <w:t xml:space="preserve">Three of four bolts/pins securing the vertical stabilizer to the fuselage were counterfeit, improperly heat-treated, and had only 60% of their intended strength. Combined with vibration from a broken APU mount, the substandard bolts failed in resonance, causing the tail to detach and the aircraft to disintegrate.</w:t>
            </w:r>
          </w:p>
        </w:tc>
      </w:tr>
      <w:tr>
        <w:tc>
          <w:tcPr>
            <w:tcW w:type="dxa" w:w="252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vAlign w:val="top"/>
          </w:tcPr>
          <w:p>
            <w:pPr>
              <w:spacing w:after="40" w:before="40"/>
            </w:pPr>
            <w:r>
              <w:rPr>
                <w:rFonts w:ascii="Arial" w:cs="Arial" w:eastAsia="Arial" w:hAnsi="Arial"/>
                <w:b/>
                <w:bCs/>
                <w:color w:val="1F3864"/>
                <w:sz w:val="19"/>
                <w:szCs w:val="19"/>
              </w:rPr>
              <w:t xml:space="preserve">The CM Failure</w:t>
            </w:r>
          </w:p>
        </w:tc>
        <w:tc>
          <w:tcPr>
            <w:tcW w:type="dxa" w:w="684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9"/>
                <w:szCs w:val="19"/>
              </w:rPr>
              <w:t xml:space="preserve">Counterfeit parts entered the supply chain via fraudulent certification documents and were installed in safety-critical applications without effective configuration verification. The Norwegian Aircraft Accident Investigation Board's report established that the maintenance organization had no effective process for verifying parts provenance against approved sources. This is a Configuration Status Accounting failure at the sub-supplier traceability level (§3.4.1(3)j) and a Configuration Verification failure (§3.5.3).</w:t>
            </w:r>
          </w:p>
        </w:tc>
      </w:tr>
      <w:tr>
        <w:tc>
          <w:tcPr>
            <w:tcW w:type="dxa" w:w="25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1F3864"/>
                <w:sz w:val="19"/>
                <w:szCs w:val="19"/>
              </w:rPr>
              <w:t xml:space="preserve">EIA-649-1 Connection</w:t>
            </w:r>
          </w:p>
        </w:tc>
        <w:tc>
          <w:tcPr>
            <w:tcW w:type="dxa" w:w="68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9"/>
                <w:szCs w:val="19"/>
              </w:rPr>
              <w:t xml:space="preserve">§3.4.1(3)j requires recording and reporting all product data inherited from sub-tier suppliers, including vendor part numbers and serial numbers, with clear traceability. §3.5.3(2) PCA requires examination of the CI to ensure proper parts are actually installed per the PPSL. Either of these CM controls, properly executed, would have flagged the counterfeit parts before installation.</w:t>
            </w:r>
          </w:p>
        </w:tc>
      </w:tr>
      <w:tr>
        <w:tc>
          <w:tcPr>
            <w:tcW w:type="dxa" w:w="252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vAlign w:val="top"/>
          </w:tcPr>
          <w:p>
            <w:pPr>
              <w:spacing w:after="40" w:before="40"/>
            </w:pPr>
            <w:r>
              <w:rPr>
                <w:rFonts w:ascii="Arial" w:cs="Arial" w:eastAsia="Arial" w:hAnsi="Arial"/>
                <w:b/>
                <w:bCs/>
                <w:color w:val="1F3864"/>
                <w:sz w:val="19"/>
                <w:szCs w:val="19"/>
              </w:rPr>
              <w:t xml:space="preserve">Lesson</w:t>
            </w:r>
          </w:p>
        </w:tc>
        <w:tc>
          <w:tcPr>
            <w:tcW w:type="dxa" w:w="684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9"/>
                <w:szCs w:val="19"/>
              </w:rPr>
              <w:t xml:space="preserve">The aftermath of Partnair 394 led directly to the establishment of the FAA's Suspected Unapproved Parts (SUP) program in 1995 and over 150 criminal convictions and $47 million in fines. Defense contracts rely on the contractor's CM organization to be the line of defense against this exact failure mode. That line of defense requires personnel competent to read engineering drawings, evaluate certification documents, and conduct rigorous PCAs.</w:t>
            </w:r>
          </w:p>
        </w:tc>
      </w:tr>
    </w:tbl>
    <w:p>
      <w:pPr>
        <w:spacing w:after="0" w:before="120"/>
      </w:pPr>
    </w:p>
    <w:p>
      <w:pPr>
        <w:pStyle w:val="Heading2"/>
        <w:shd w:fill="2E5F8A" w:val="clear"/>
        <w:spacing w:after="80" w:before="200"/>
        <w:ind w:left="120"/>
      </w:pPr>
      <w:r>
        <w:rPr>
          <w:rFonts w:ascii="Arial" w:cs="Arial" w:eastAsia="Arial" w:hAnsi="Arial"/>
          <w:b/>
          <w:bCs/>
          <w:color w:val="FFFFFF"/>
          <w:sz w:val="28"/>
          <w:szCs w:val="28"/>
        </w:rPr>
        <w:t xml:space="preserve">Case 3: Alaska Airlines Flight 261 — Pacific Ocean, 31 January 2000</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vAlign w:val="top"/>
          </w:tcPr>
          <w:p>
            <w:pPr>
              <w:spacing w:after="40" w:before="40"/>
            </w:pPr>
            <w:r>
              <w:rPr>
                <w:rFonts w:ascii="Arial" w:cs="Arial" w:eastAsia="Arial" w:hAnsi="Arial"/>
                <w:b/>
                <w:bCs/>
                <w:color w:val="1F3864"/>
                <w:sz w:val="19"/>
                <w:szCs w:val="19"/>
              </w:rPr>
              <w:t xml:space="preserve">Outcome</w:t>
            </w:r>
          </w:p>
        </w:tc>
        <w:tc>
          <w:tcPr>
            <w:tcW w:type="dxa" w:w="684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9"/>
                <w:szCs w:val="19"/>
              </w:rPr>
              <w:t xml:space="preserve">McDonnell Douglas MD-83 lost control after horizontal stabilizer trim system jackscrew failure and crashed into the Pacific Ocean off Anacapa Island, California. All 88 occupants killed.</w:t>
            </w:r>
          </w:p>
        </w:tc>
      </w:tr>
      <w:tr>
        <w:tc>
          <w:tcPr>
            <w:tcW w:type="dxa" w:w="25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1F3864"/>
                <w:sz w:val="19"/>
                <w:szCs w:val="19"/>
              </w:rPr>
              <w:t xml:space="preserve">What Happened</w:t>
            </w:r>
          </w:p>
        </w:tc>
        <w:tc>
          <w:tcPr>
            <w:tcW w:type="dxa" w:w="68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9"/>
                <w:szCs w:val="19"/>
              </w:rPr>
              <w:t xml:space="preserve">The acme nut threads in the horizontal stabilizer jackscrew assembly wore through completely due to inadequate lubrication. With no fail-safe mechanism in the design, total thread loss resulted in catastrophic loss of pitch control.</w:t>
            </w:r>
          </w:p>
        </w:tc>
      </w:tr>
      <w:tr>
        <w:tc>
          <w:tcPr>
            <w:tcW w:type="dxa" w:w="252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vAlign w:val="top"/>
          </w:tcPr>
          <w:p>
            <w:pPr>
              <w:spacing w:after="40" w:before="40"/>
            </w:pPr>
            <w:r>
              <w:rPr>
                <w:rFonts w:ascii="Arial" w:cs="Arial" w:eastAsia="Arial" w:hAnsi="Arial"/>
                <w:b/>
                <w:bCs/>
                <w:color w:val="1F3864"/>
                <w:sz w:val="19"/>
                <w:szCs w:val="19"/>
              </w:rPr>
              <w:t xml:space="preserve">The CM Failure</w:t>
            </w:r>
          </w:p>
        </w:tc>
        <w:tc>
          <w:tcPr>
            <w:tcW w:type="dxa" w:w="684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9"/>
                <w:szCs w:val="19"/>
              </w:rPr>
              <w:t xml:space="preserve">Alaska Airlines extended both the lubrication interval and the end-play check interval (the inspection that would have detected the wear) without adequate engineering justification. The FAA approved these maintenance interval changes without requiring proper technical data. The NTSB found that 'Alaska Airlines' end play check interval extension should have been, but was not, supported by adequate technical data to demonstrate that the extension would not present a potential hazard.' This is a Configuration Change Management failure: a major change to the maintenance baseline was processed without the technical evaluation that EIA-649-1 §3.3.1.4 requires.</w:t>
            </w:r>
          </w:p>
        </w:tc>
      </w:tr>
      <w:tr>
        <w:tc>
          <w:tcPr>
            <w:tcW w:type="dxa" w:w="25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1F3864"/>
                <w:sz w:val="19"/>
                <w:szCs w:val="19"/>
              </w:rPr>
              <w:t xml:space="preserve">EIA-649-1 Connection</w:t>
            </w:r>
          </w:p>
        </w:tc>
        <w:tc>
          <w:tcPr>
            <w:tcW w:type="dxa" w:w="68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9"/>
                <w:szCs w:val="19"/>
              </w:rPr>
              <w:t xml:space="preserve">§3.3.1.4(1) requires that ECPs be supported by Logistics Support Analysis (LSA) data, test data, analyses, and reliability/maintainability evaluations. §3.3(2)d requires that change impact be evaluated across operational and sustainment domains. Extension of a maintenance interval on a safety-critical flight control component is exactly the kind of change that requires technical evaluation by engineering-competent CM personnel.</w:t>
            </w:r>
          </w:p>
        </w:tc>
      </w:tr>
      <w:tr>
        <w:tc>
          <w:tcPr>
            <w:tcW w:type="dxa" w:w="252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vAlign w:val="top"/>
          </w:tcPr>
          <w:p>
            <w:pPr>
              <w:spacing w:after="40" w:before="40"/>
            </w:pPr>
            <w:r>
              <w:rPr>
                <w:rFonts w:ascii="Arial" w:cs="Arial" w:eastAsia="Arial" w:hAnsi="Arial"/>
                <w:b/>
                <w:bCs/>
                <w:color w:val="1F3864"/>
                <w:sz w:val="19"/>
                <w:szCs w:val="19"/>
              </w:rPr>
              <w:t xml:space="preserve">Lesson</w:t>
            </w:r>
          </w:p>
        </w:tc>
        <w:tc>
          <w:tcPr>
            <w:tcW w:type="dxa" w:w="684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9"/>
                <w:szCs w:val="19"/>
              </w:rPr>
              <w:t xml:space="preserve">Configuration changes — including changes to maintenance procedures and intervals — require technical evaluation that an administrator-level practitioner cannot perform. The NTSB called Alaska's maintenance issues 'less coincidence than culture.' A culture of rigorous CM requires CM personnel who can technically evaluate the changes they are processing.</w:t>
            </w:r>
          </w:p>
        </w:tc>
      </w:tr>
    </w:tbl>
    <w:p>
      <w:pPr>
        <w:spacing w:after="0" w:before="120"/>
      </w:pPr>
    </w:p>
    <w:p>
      <w:pPr>
        <w:pStyle w:val="Heading2"/>
        <w:shd w:fill="2E5F8A" w:val="clear"/>
        <w:spacing w:after="80" w:before="200"/>
        <w:ind w:left="120"/>
      </w:pPr>
      <w:r>
        <w:rPr>
          <w:rFonts w:ascii="Arial" w:cs="Arial" w:eastAsia="Arial" w:hAnsi="Arial"/>
          <w:b/>
          <w:bCs/>
          <w:color w:val="FFFFFF"/>
          <w:sz w:val="28"/>
          <w:szCs w:val="28"/>
        </w:rPr>
        <w:t xml:space="preserve">Case 4: American Airlines Flight 191 — Chicago O'Hare, 25 May 1979</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vAlign w:val="top"/>
          </w:tcPr>
          <w:p>
            <w:pPr>
              <w:spacing w:after="40" w:before="40"/>
            </w:pPr>
            <w:r>
              <w:rPr>
                <w:rFonts w:ascii="Arial" w:cs="Arial" w:eastAsia="Arial" w:hAnsi="Arial"/>
                <w:b/>
                <w:bCs/>
                <w:color w:val="1F3864"/>
                <w:sz w:val="19"/>
                <w:szCs w:val="19"/>
              </w:rPr>
              <w:t xml:space="preserve">Outcome</w:t>
            </w:r>
          </w:p>
        </w:tc>
        <w:tc>
          <w:tcPr>
            <w:tcW w:type="dxa" w:w="684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9"/>
                <w:szCs w:val="19"/>
              </w:rPr>
              <w:t xml:space="preserve">McDonnell Douglas DC-10 lost its left engine and pylon assembly during takeoff rotation, rolled inverted, and crashed. All 271 occupants killed plus 2 on the ground — the deadliest aviation accident on U.S. soil at the time. Entire U.S. DC-10 fleet grounded for over a month.</w:t>
            </w:r>
          </w:p>
        </w:tc>
      </w:tr>
      <w:tr>
        <w:tc>
          <w:tcPr>
            <w:tcW w:type="dxa" w:w="25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1F3864"/>
                <w:sz w:val="19"/>
                <w:szCs w:val="19"/>
              </w:rPr>
              <w:t xml:space="preserve">What Happened</w:t>
            </w:r>
          </w:p>
        </w:tc>
        <w:tc>
          <w:tcPr>
            <w:tcW w:type="dxa" w:w="68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9"/>
                <w:szCs w:val="19"/>
              </w:rPr>
              <w:t xml:space="preserve">Eight weeks before the accident, the engine and pylon had been damaged during maintenance — a 10-inch fracture had been induced in the pylon's aft bulkhead. Subsequent takeoff and landing cycles propagated the crack until the pylon failed and the engine separated.</w:t>
            </w:r>
          </w:p>
        </w:tc>
      </w:tr>
      <w:tr>
        <w:tc>
          <w:tcPr>
            <w:tcW w:type="dxa" w:w="252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vAlign w:val="top"/>
          </w:tcPr>
          <w:p>
            <w:pPr>
              <w:spacing w:after="40" w:before="40"/>
            </w:pPr>
            <w:r>
              <w:rPr>
                <w:rFonts w:ascii="Arial" w:cs="Arial" w:eastAsia="Arial" w:hAnsi="Arial"/>
                <w:b/>
                <w:bCs/>
                <w:color w:val="1F3864"/>
                <w:sz w:val="19"/>
                <w:szCs w:val="19"/>
              </w:rPr>
              <w:t xml:space="preserve">The CM Failure</w:t>
            </w:r>
          </w:p>
        </w:tc>
        <w:tc>
          <w:tcPr>
            <w:tcW w:type="dxa" w:w="684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9"/>
                <w:szCs w:val="19"/>
              </w:rPr>
              <w:t xml:space="preserve">American Airlines (and Continental Airlines independently) developed an unapproved maintenance procedure: removing the engine and pylon as a unit using a forklift, in violation of McDonnell Douglas service manuals which required separate removal. The procedure was developed by maintenance personnel without engineering review, without manufacturer concurrence, and without FAA notification. Two earlier Continental incidents involving the same procedure resulted in pylon damage but were not reported to the manufacturer, the FAA, or other operators. This is a textbook Class I ECP that was never submitted: a change to an approved maintenance procedure with direct safety implications, processed informally outside any configuration change management system.</w:t>
            </w:r>
          </w:p>
        </w:tc>
      </w:tr>
      <w:tr>
        <w:tc>
          <w:tcPr>
            <w:tcW w:type="dxa" w:w="25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1F3864"/>
                <w:sz w:val="19"/>
                <w:szCs w:val="19"/>
              </w:rPr>
              <w:t xml:space="preserve">EIA-649-1 Connection</w:t>
            </w:r>
          </w:p>
        </w:tc>
        <w:tc>
          <w:tcPr>
            <w:tcW w:type="dxa" w:w="68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9"/>
                <w:szCs w:val="19"/>
              </w:rPr>
              <w:t xml:space="preserve">§3.3.1.1 requires that engineering changes be reviewed against product technical data and that a separate ECP be prepared for each distinct change. §3.3.1.2 requires Class I classification of changes affecting safety. §3.3(2)d requires impact assessment across all areas including tooling and manufacturing planning. American Airlines made a sweeping change to engine maintenance procedure — the kind of change that requires technical engineering evaluation and manufacturer concurrence — and processed it as a routine departmental decision.</w:t>
            </w:r>
          </w:p>
        </w:tc>
      </w:tr>
      <w:tr>
        <w:tc>
          <w:tcPr>
            <w:tcW w:type="dxa" w:w="252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vAlign w:val="top"/>
          </w:tcPr>
          <w:p>
            <w:pPr>
              <w:spacing w:after="40" w:before="40"/>
            </w:pPr>
            <w:r>
              <w:rPr>
                <w:rFonts w:ascii="Arial" w:cs="Arial" w:eastAsia="Arial" w:hAnsi="Arial"/>
                <w:b/>
                <w:bCs/>
                <w:color w:val="1F3864"/>
                <w:sz w:val="19"/>
                <w:szCs w:val="19"/>
              </w:rPr>
              <w:t xml:space="preserve">Lesson</w:t>
            </w:r>
          </w:p>
        </w:tc>
        <w:tc>
          <w:tcPr>
            <w:tcW w:type="dxa" w:w="684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9"/>
                <w:szCs w:val="19"/>
              </w:rPr>
              <w:t xml:space="preserve">When the CM organization is not staffed with personnel who can recognize a Class I change when they see one, sweeping procedural changes get made through informal channels. The cost of getting that recognition wrong, even once, can be measured in hundreds of lives.</w:t>
            </w:r>
          </w:p>
        </w:tc>
      </w:tr>
    </w:tbl>
    <w:p>
      <w:pPr>
        <w:spacing w:after="0" w:before="120"/>
      </w:pPr>
    </w:p>
    <w:p>
      <w:pPr>
        <w:pStyle w:val="Heading2"/>
        <w:shd w:fill="2E5F8A" w:val="clear"/>
        <w:spacing w:after="80" w:before="200"/>
        <w:ind w:left="120"/>
      </w:pPr>
      <w:r>
        <w:rPr>
          <w:rFonts w:ascii="Arial" w:cs="Arial" w:eastAsia="Arial" w:hAnsi="Arial"/>
          <w:b/>
          <w:bCs/>
          <w:color w:val="FFFFFF"/>
          <w:sz w:val="28"/>
          <w:szCs w:val="28"/>
        </w:rPr>
        <w:t xml:space="preserve">Case 5: Boeing 737 MAX — Lion Air 610 (2018) and Ethiopian 302 (2019)</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vAlign w:val="top"/>
          </w:tcPr>
          <w:p>
            <w:pPr>
              <w:spacing w:after="40" w:before="40"/>
            </w:pPr>
            <w:r>
              <w:rPr>
                <w:rFonts w:ascii="Arial" w:cs="Arial" w:eastAsia="Arial" w:hAnsi="Arial"/>
                <w:b/>
                <w:bCs/>
                <w:color w:val="1F3864"/>
                <w:sz w:val="19"/>
                <w:szCs w:val="19"/>
              </w:rPr>
              <w:t xml:space="preserve">Outcome</w:t>
            </w:r>
          </w:p>
        </w:tc>
        <w:tc>
          <w:tcPr>
            <w:tcW w:type="dxa" w:w="684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9"/>
                <w:szCs w:val="19"/>
              </w:rPr>
              <w:t xml:space="preserve">Lion Air Flight 610 crashed into the Java Sea on 29 October 2018 (189 killed). Ethiopian Airlines Flight 302 crashed near Addis Ababa on 10 March 2019 (157 killed). Combined: 346 fatalities. Worldwide grounding of all 387 delivered 737 MAX aircraft for 20 months — the longest grounding in U.S. aviation history. Boeing financial impact exceeded $20 billion.</w:t>
            </w:r>
          </w:p>
        </w:tc>
      </w:tr>
      <w:tr>
        <w:tc>
          <w:tcPr>
            <w:tcW w:type="dxa" w:w="25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1F3864"/>
                <w:sz w:val="19"/>
                <w:szCs w:val="19"/>
              </w:rPr>
              <w:t xml:space="preserve">What Happened</w:t>
            </w:r>
          </w:p>
        </w:tc>
        <w:tc>
          <w:tcPr>
            <w:tcW w:type="dxa" w:w="68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9"/>
                <w:szCs w:val="19"/>
              </w:rPr>
              <w:t xml:space="preserve">The Maneuvering Characteristics Augmentation System (MCAS) — an automated flight control feature — relied on a single angle-of-attack sensor and could repeatedly drive the aircraft's nose down. In both accidents, a faulty AOA sensor triggered MCAS, and the flight crews — who had no documentation describing MCAS or its failure modes — were unable to override the system in time.</w:t>
            </w:r>
          </w:p>
        </w:tc>
      </w:tr>
      <w:tr>
        <w:tc>
          <w:tcPr>
            <w:tcW w:type="dxa" w:w="252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vAlign w:val="top"/>
          </w:tcPr>
          <w:p>
            <w:pPr>
              <w:spacing w:after="40" w:before="40"/>
            </w:pPr>
            <w:r>
              <w:rPr>
                <w:rFonts w:ascii="Arial" w:cs="Arial" w:eastAsia="Arial" w:hAnsi="Arial"/>
                <w:b/>
                <w:bCs/>
                <w:color w:val="1F3864"/>
                <w:sz w:val="19"/>
                <w:szCs w:val="19"/>
              </w:rPr>
              <w:t xml:space="preserve">The CM Failure</w:t>
            </w:r>
          </w:p>
        </w:tc>
        <w:tc>
          <w:tcPr>
            <w:tcW w:type="dxa" w:w="684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9"/>
                <w:szCs w:val="19"/>
              </w:rPr>
              <w:t xml:space="preserve">The Joint Authorities Technical Review (JATR) found that Boeing failed to update safety documentation as MCAS evolved during development. As MCAS authority was increased, the documentation submitted to the FAA was not updated to reflect those changes — so regulators reviewed an outdated baseline. Pilot training materials and aircraft flight manuals omitted MCAS entirely. Separately, an AOA Disagree alert that Boeing intended to be standard was actually configuration-dependent on an optional package — and the configuration discrepancy was not disclosed to operators. The JATR explicitly identified documentation update failures as central to the accident chain. This is a Configuration Status Accounting failure (the system as built did not match the system as documented), a Configuration Identification failure (baseline was not maintained as the design evolved), and a Configuration Verification failure (the FCA process did not catch the documentation gap).</w:t>
            </w:r>
          </w:p>
        </w:tc>
      </w:tr>
      <w:tr>
        <w:tc>
          <w:tcPr>
            <w:tcW w:type="dxa" w:w="25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1F3864"/>
                <w:sz w:val="19"/>
                <w:szCs w:val="19"/>
              </w:rPr>
              <w:t xml:space="preserve">EIA-649-1 Connection</w:t>
            </w:r>
          </w:p>
        </w:tc>
        <w:tc>
          <w:tcPr>
            <w:tcW w:type="dxa" w:w="68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9"/>
                <w:szCs w:val="19"/>
              </w:rPr>
              <w:t xml:space="preserve">§3.2.2.3(1) requires that configuration documentation be updated to reflect approved changes within 90 days. §3.4.1(3)b requires historical configuration information traceability from contract award to present. §3.5.2(1) FCA requires verification that the CI meets its performance requirements as documented in the approved FCD and ACD — the mismatch between MCAS as designed/built and MCAS as documented should have been caught by FCA. The 737 MAX program demonstrates that CM is not just a defense aerospace requirement — it is a commercial aviation safety requirement of the highest order.</w:t>
            </w:r>
          </w:p>
        </w:tc>
      </w:tr>
      <w:tr>
        <w:tc>
          <w:tcPr>
            <w:tcW w:type="dxa" w:w="252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vAlign w:val="top"/>
          </w:tcPr>
          <w:p>
            <w:pPr>
              <w:spacing w:after="40" w:before="40"/>
            </w:pPr>
            <w:r>
              <w:rPr>
                <w:rFonts w:ascii="Arial" w:cs="Arial" w:eastAsia="Arial" w:hAnsi="Arial"/>
                <w:b/>
                <w:bCs/>
                <w:color w:val="1F3864"/>
                <w:sz w:val="19"/>
                <w:szCs w:val="19"/>
              </w:rPr>
              <w:t xml:space="preserve">Lesson</w:t>
            </w:r>
          </w:p>
        </w:tc>
        <w:tc>
          <w:tcPr>
            <w:tcW w:type="dxa" w:w="684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9"/>
                <w:szCs w:val="19"/>
              </w:rPr>
              <w:t xml:space="preserve">CM failure does not require an exotic root cause. It can be as simple as documentation not being updated when a design changes — a basic CM hygiene failure. The CM organization is the documentation conscience of the program; that conscience requires technical literacy to recognize when design changes have outpaced documentation.</w:t>
            </w:r>
          </w:p>
        </w:tc>
      </w:tr>
    </w:tbl>
    <w:p>
      <w:pPr>
        <w:spacing w:after="0" w:before="120"/>
      </w:pPr>
    </w:p>
    <w:tbl>
      <w:tblPr>
        <w:tblW w:type="dxa" w:w="9360"/>
        <w:tblBorders>
          <w:top w:val="single" w:color="2E5F8A" w:sz="8"/>
          <w:left w:val="single" w:color="2E5F8A" w:sz="8"/>
          <w:bottom w:val="single" w:color="2E5F8A" w:sz="8"/>
          <w:right w:val="single" w:color="2E5F8A" w:sz="8"/>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BDD7EE" w:val="clear"/>
            <w:tcMar>
              <w:top w:type="dxa" w:w="100"/>
              <w:left w:type="dxa" w:w="200"/>
              <w:bottom w:type="dxa" w:w="100"/>
              <w:right w:type="dxa" w:w="200"/>
            </w:tcMar>
          </w:tcPr>
          <w:p>
            <w:pPr>
              <w:spacing w:after="40" w:before="40"/>
            </w:pPr>
            <w:r>
              <w:rPr>
                <w:rFonts w:ascii="Arial" w:cs="Arial" w:eastAsia="Arial" w:hAnsi="Arial"/>
                <w:b/>
                <w:bCs/>
                <w:color w:val="1F3864"/>
                <w:sz w:val="22"/>
                <w:szCs w:val="22"/>
              </w:rPr>
              <w:t xml:space="preserve">The Common Thread Across All Five Cases</w:t>
            </w:r>
          </w:p>
        </w:tc>
      </w:tr>
      <w:tr>
        <w:tc>
          <w:tcPr>
            <w:tcW w:type="dxa" w:w="9360"/>
            <w:tcBorders>
              <w:top w:val="none" w:color="FFFFFF" w:sz="0"/>
              <w:left w:val="none" w:color="FFFFFF" w:sz="0"/>
              <w:bottom w:val="none" w:color="FFFFFF" w:sz="0"/>
              <w:right w:val="none" w:color="FFFFFF" w:sz="0"/>
            </w:tcBorders>
            <w:shd w:fill="D5E8F0" w:val="clear"/>
            <w:tcMar>
              <w:top w:type="dxa" w:w="80"/>
              <w:left w:type="dxa" w:w="200"/>
              <w:bottom w:type="dxa" w:w="80"/>
              <w:right w:type="dxa" w:w="200"/>
            </w:tcMar>
          </w:tcPr>
          <w:p>
            <w:pPr>
              <w:spacing w:after="40" w:before="40"/>
            </w:pPr>
            <w:r>
              <w:rPr>
                <w:rFonts w:ascii="Arial" w:cs="Arial" w:eastAsia="Arial" w:hAnsi="Arial"/>
                <w:color w:val="404040"/>
                <w:sz w:val="20"/>
                <w:szCs w:val="20"/>
              </w:rPr>
              <w:t xml:space="preserve">In each case, CM failed not because procedures did not exist, but because the personnel involved did not</w:t>
            </w:r>
          </w:p>
        </w:tc>
      </w:tr>
      <w:tr>
        <w:tc>
          <w:tcPr>
            <w:tcW w:type="dxa" w:w="9360"/>
            <w:tcBorders>
              <w:top w:val="none" w:color="FFFFFF" w:sz="0"/>
              <w:left w:val="none" w:color="FFFFFF" w:sz="0"/>
              <w:bottom w:val="none" w:color="FFFFFF" w:sz="0"/>
              <w:right w:val="none" w:color="FFFFFF" w:sz="0"/>
            </w:tcBorders>
            <w:shd w:fill="D5E8F0" w:val="clear"/>
            <w:tcMar>
              <w:top w:type="dxa" w:w="80"/>
              <w:left w:type="dxa" w:w="200"/>
              <w:bottom w:type="dxa" w:w="80"/>
              <w:right w:type="dxa" w:w="200"/>
            </w:tcMar>
          </w:tcPr>
          <w:p>
            <w:pPr>
              <w:spacing w:after="40" w:before="40"/>
            </w:pPr>
            <w:r>
              <w:rPr>
                <w:rFonts w:ascii="Arial" w:cs="Arial" w:eastAsia="Arial" w:hAnsi="Arial"/>
                <w:color w:val="404040"/>
                <w:sz w:val="20"/>
                <w:szCs w:val="20"/>
              </w:rPr>
              <w:t xml:space="preserve">recognize that a CM action was required. An undocumented procedure (B-2). An unverified part (Partnair).</w:t>
            </w:r>
          </w:p>
        </w:tc>
      </w:tr>
      <w:tr>
        <w:tc>
          <w:tcPr>
            <w:tcW w:type="dxa" w:w="9360"/>
            <w:tcBorders>
              <w:top w:val="none" w:color="FFFFFF" w:sz="0"/>
              <w:left w:val="none" w:color="FFFFFF" w:sz="0"/>
              <w:bottom w:val="none" w:color="FFFFFF" w:sz="0"/>
              <w:right w:val="none" w:color="FFFFFF" w:sz="0"/>
            </w:tcBorders>
            <w:shd w:fill="D5E8F0" w:val="clear"/>
            <w:tcMar>
              <w:top w:type="dxa" w:w="80"/>
              <w:left w:type="dxa" w:w="200"/>
              <w:bottom w:type="dxa" w:w="80"/>
              <w:right w:type="dxa" w:w="200"/>
            </w:tcMar>
          </w:tcPr>
          <w:p>
            <w:pPr>
              <w:spacing w:after="40" w:before="40"/>
            </w:pPr>
            <w:r>
              <w:rPr>
                <w:rFonts w:ascii="Arial" w:cs="Arial" w:eastAsia="Arial" w:hAnsi="Arial"/>
                <w:color w:val="404040"/>
                <w:sz w:val="20"/>
                <w:szCs w:val="20"/>
              </w:rPr>
              <w:t xml:space="preserve">An undocumented interval change (Alaska 261). An unprocessed Class I ECP (AA 191). Unmaintained design</w:t>
            </w:r>
          </w:p>
        </w:tc>
      </w:tr>
      <w:tr>
        <w:tc>
          <w:tcPr>
            <w:tcW w:type="dxa" w:w="9360"/>
            <w:tcBorders>
              <w:top w:val="none" w:color="FFFFFF" w:sz="0"/>
              <w:left w:val="none" w:color="FFFFFF" w:sz="0"/>
              <w:bottom w:val="none" w:color="FFFFFF" w:sz="0"/>
              <w:right w:val="none" w:color="FFFFFF" w:sz="0"/>
            </w:tcBorders>
            <w:shd w:fill="D5E8F0" w:val="clear"/>
            <w:tcMar>
              <w:top w:type="dxa" w:w="80"/>
              <w:left w:type="dxa" w:w="200"/>
              <w:bottom w:type="dxa" w:w="80"/>
              <w:right w:type="dxa" w:w="200"/>
            </w:tcMar>
          </w:tcPr>
          <w:p>
            <w:pPr>
              <w:spacing w:after="40" w:before="40"/>
            </w:pPr>
            <w:r>
              <w:rPr>
                <w:rFonts w:ascii="Arial" w:cs="Arial" w:eastAsia="Arial" w:hAnsi="Arial"/>
                <w:color w:val="404040"/>
                <w:sz w:val="20"/>
                <w:szCs w:val="20"/>
              </w:rPr>
              <w:t xml:space="preserve">documentation (737 MAX). Recognition is the function of competence, not procedure. Competence is the</w:t>
            </w:r>
          </w:p>
        </w:tc>
      </w:tr>
      <w:tr>
        <w:tc>
          <w:tcPr>
            <w:tcW w:type="dxa" w:w="9360"/>
            <w:tcBorders>
              <w:top w:val="none" w:color="FFFFFF" w:sz="0"/>
              <w:left w:val="none" w:color="FFFFFF" w:sz="0"/>
              <w:bottom w:val="none" w:color="FFFFFF" w:sz="0"/>
              <w:right w:val="none" w:color="FFFFFF" w:sz="0"/>
            </w:tcBorders>
            <w:shd w:fill="D5E8F0" w:val="clear"/>
            <w:tcMar>
              <w:top w:type="dxa" w:w="80"/>
              <w:left w:type="dxa" w:w="200"/>
              <w:bottom w:type="dxa" w:w="80"/>
              <w:right w:type="dxa" w:w="200"/>
            </w:tcMar>
          </w:tcPr>
          <w:p>
            <w:pPr>
              <w:spacing w:after="40" w:before="40"/>
            </w:pPr>
            <w:r>
              <w:rPr>
                <w:rFonts w:ascii="Arial" w:cs="Arial" w:eastAsia="Arial" w:hAnsi="Arial"/>
                <w:color w:val="404040"/>
                <w:sz w:val="20"/>
                <w:szCs w:val="20"/>
              </w:rPr>
              <w:t xml:space="preserve">function of education, training, and experience — which is why the credential question matters.</w:t>
            </w:r>
          </w:p>
        </w:tc>
      </w:tr>
    </w:tbl>
    <w:p>
      <w:r>
        <w:br w:type="page"/>
      </w:r>
    </w:p>
    <w:p>
      <w:pPr>
        <w:pStyle w:val="Heading1"/>
        <w:shd w:fill="1F3864" w:val="clear"/>
        <w:spacing w:after="120" w:before="240"/>
        <w:ind w:left="120"/>
      </w:pPr>
      <w:r>
        <w:rPr>
          <w:rFonts w:ascii="Arial" w:cs="Arial" w:eastAsia="Arial" w:hAnsi="Arial"/>
          <w:b/>
          <w:bCs/>
          <w:color w:val="FFFFFF"/>
          <w:sz w:val="36"/>
          <w:szCs w:val="36"/>
        </w:rPr>
        <w:t xml:space="preserve">RISK REGISTER: STATUS QUO COMPLIANCE RISKS</w:t>
      </w:r>
    </w:p>
    <w:p>
      <w:pPr>
        <w:spacing w:after="0" w:before="80"/>
      </w:pPr>
    </w:p>
    <w:p>
      <w:pPr>
        <w:spacing w:after="100" w:before="80"/>
        <w:jc w:val="left"/>
      </w:pPr>
      <w:r>
        <w:rPr>
          <w:rFonts w:ascii="Arial" w:cs="Arial" w:eastAsia="Arial" w:hAnsi="Arial"/>
          <w:i w:val="false"/>
          <w:iCs w:val="false"/>
          <w:color w:val="404040"/>
          <w:sz w:val="22"/>
          <w:szCs w:val="22"/>
        </w:rPr>
        <w:t xml:space="preserve">The following risk register itemizes the specific compliance and safety risks created by the current CM workforce model. Likelihood and impact ratings are qualitative and intended to support executive decision-making. Each risk is mapped to specific EIA-649-1 paragraphs and the CM function that owns the mitigation.</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2820"/>
        <w:gridCol w:w="1080"/>
        <w:gridCol w:w="1080"/>
        <w:gridCol w:w="3840"/>
      </w:tblGrid>
      <w:tr>
        <w:trPr>
          <w:tblHeader/>
        </w:trPr>
        <w:tc>
          <w:tcPr>
            <w:tcW w:type="dxa" w:w="540"/>
            <w:tcBorders>
              <w:top w:val="single" w:color="AAAAAA" w:sz="4"/>
              <w:left w:val="single" w:color="AAAAAA" w:sz="4"/>
              <w:bottom w:val="single" w:color="AAAAAA" w:sz="4"/>
              <w:right w:val="single" w:color="AAAAAA" w:sz="4"/>
            </w:tcBorders>
            <w:shd w:fill="1F3864" w:val="clear"/>
            <w:tcMar>
              <w:top w:type="dxa" w:w="100"/>
              <w:left w:type="dxa" w:w="120"/>
              <w:bottom w:type="dxa" w:w="100"/>
              <w:right w:type="dxa" w:w="120"/>
            </w:tcMar>
            <w:vAlign w:val="center"/>
          </w:tcPr>
          <w:p>
            <w:pPr>
              <w:spacing w:after="40" w:before="40"/>
              <w:jc w:val="center"/>
            </w:pPr>
            <w:r>
              <w:rPr>
                <w:rFonts w:ascii="Arial" w:cs="Arial" w:eastAsia="Arial" w:hAnsi="Arial"/>
                <w:b/>
                <w:bCs/>
                <w:color w:val="FFFFFF"/>
                <w:sz w:val="20"/>
                <w:szCs w:val="20"/>
              </w:rPr>
              <w:t xml:space="preserve">ID</w:t>
            </w:r>
          </w:p>
        </w:tc>
        <w:tc>
          <w:tcPr>
            <w:tcW w:type="dxa" w:w="2820"/>
            <w:tcBorders>
              <w:top w:val="single" w:color="AAAAAA" w:sz="4"/>
              <w:left w:val="single" w:color="AAAAAA" w:sz="4"/>
              <w:bottom w:val="single" w:color="AAAAAA" w:sz="4"/>
              <w:right w:val="single" w:color="AAAAAA" w:sz="4"/>
            </w:tcBorders>
            <w:shd w:fill="1F3864" w:val="clear"/>
            <w:tcMar>
              <w:top w:type="dxa" w:w="100"/>
              <w:left w:type="dxa" w:w="120"/>
              <w:bottom w:type="dxa" w:w="100"/>
              <w:right w:type="dxa" w:w="120"/>
            </w:tcMar>
            <w:vAlign w:val="center"/>
          </w:tcPr>
          <w:p>
            <w:pPr>
              <w:spacing w:after="40" w:before="40"/>
              <w:jc w:val="center"/>
            </w:pPr>
            <w:r>
              <w:rPr>
                <w:rFonts w:ascii="Arial" w:cs="Arial" w:eastAsia="Arial" w:hAnsi="Arial"/>
                <w:b/>
                <w:bCs/>
                <w:color w:val="FFFFFF"/>
                <w:sz w:val="20"/>
                <w:szCs w:val="20"/>
              </w:rPr>
              <w:t xml:space="preserve">Risk</w:t>
            </w:r>
          </w:p>
        </w:tc>
        <w:tc>
          <w:tcPr>
            <w:tcW w:type="dxa" w:w="1080"/>
            <w:tcBorders>
              <w:top w:val="single" w:color="AAAAAA" w:sz="4"/>
              <w:left w:val="single" w:color="AAAAAA" w:sz="4"/>
              <w:bottom w:val="single" w:color="AAAAAA" w:sz="4"/>
              <w:right w:val="single" w:color="AAAAAA" w:sz="4"/>
            </w:tcBorders>
            <w:shd w:fill="1F3864" w:val="clear"/>
            <w:tcMar>
              <w:top w:type="dxa" w:w="100"/>
              <w:left w:type="dxa" w:w="120"/>
              <w:bottom w:type="dxa" w:w="100"/>
              <w:right w:type="dxa" w:w="120"/>
            </w:tcMar>
            <w:vAlign w:val="center"/>
          </w:tcPr>
          <w:p>
            <w:pPr>
              <w:spacing w:after="40" w:before="40"/>
              <w:jc w:val="center"/>
            </w:pPr>
            <w:r>
              <w:rPr>
                <w:rFonts w:ascii="Arial" w:cs="Arial" w:eastAsia="Arial" w:hAnsi="Arial"/>
                <w:b/>
                <w:bCs/>
                <w:color w:val="FFFFFF"/>
                <w:sz w:val="20"/>
                <w:szCs w:val="20"/>
              </w:rPr>
              <w:t xml:space="preserve">Likelihood</w:t>
            </w:r>
          </w:p>
        </w:tc>
        <w:tc>
          <w:tcPr>
            <w:tcW w:type="dxa" w:w="1080"/>
            <w:tcBorders>
              <w:top w:val="single" w:color="AAAAAA" w:sz="4"/>
              <w:left w:val="single" w:color="AAAAAA" w:sz="4"/>
              <w:bottom w:val="single" w:color="AAAAAA" w:sz="4"/>
              <w:right w:val="single" w:color="AAAAAA" w:sz="4"/>
            </w:tcBorders>
            <w:shd w:fill="1F3864" w:val="clear"/>
            <w:tcMar>
              <w:top w:type="dxa" w:w="100"/>
              <w:left w:type="dxa" w:w="120"/>
              <w:bottom w:type="dxa" w:w="100"/>
              <w:right w:type="dxa" w:w="120"/>
            </w:tcMar>
            <w:vAlign w:val="center"/>
          </w:tcPr>
          <w:p>
            <w:pPr>
              <w:spacing w:after="40" w:before="40"/>
              <w:jc w:val="center"/>
            </w:pPr>
            <w:r>
              <w:rPr>
                <w:rFonts w:ascii="Arial" w:cs="Arial" w:eastAsia="Arial" w:hAnsi="Arial"/>
                <w:b/>
                <w:bCs/>
                <w:color w:val="FFFFFF"/>
                <w:sz w:val="20"/>
                <w:szCs w:val="20"/>
              </w:rPr>
              <w:t xml:space="preserve">Impact</w:t>
            </w:r>
          </w:p>
        </w:tc>
        <w:tc>
          <w:tcPr>
            <w:tcW w:type="dxa" w:w="3840"/>
            <w:tcBorders>
              <w:top w:val="single" w:color="AAAAAA" w:sz="4"/>
              <w:left w:val="single" w:color="AAAAAA" w:sz="4"/>
              <w:bottom w:val="single" w:color="AAAAAA" w:sz="4"/>
              <w:right w:val="single" w:color="AAAAAA" w:sz="4"/>
            </w:tcBorders>
            <w:shd w:fill="1F3864" w:val="clear"/>
            <w:tcMar>
              <w:top w:type="dxa" w:w="100"/>
              <w:left w:type="dxa" w:w="120"/>
              <w:bottom w:type="dxa" w:w="100"/>
              <w:right w:type="dxa" w:w="120"/>
            </w:tcMar>
            <w:vAlign w:val="center"/>
          </w:tcPr>
          <w:p>
            <w:pPr>
              <w:spacing w:after="40" w:before="40"/>
              <w:jc w:val="center"/>
            </w:pPr>
            <w:r>
              <w:rPr>
                <w:rFonts w:ascii="Arial" w:cs="Arial" w:eastAsia="Arial" w:hAnsi="Arial"/>
                <w:b/>
                <w:bCs/>
                <w:color w:val="FFFFFF"/>
                <w:sz w:val="20"/>
                <w:szCs w:val="20"/>
              </w:rPr>
              <w:t xml:space="preserve">Driver / Mitigation</w:t>
            </w:r>
          </w:p>
        </w:tc>
      </w:tr>
      <w:tr>
        <w:tc>
          <w:tcPr>
            <w:tcW w:type="dxa" w:w="5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1F3864"/>
                <w:sz w:val="18"/>
                <w:szCs w:val="18"/>
              </w:rPr>
              <w:t xml:space="preserve">R-01</w:t>
            </w:r>
          </w:p>
        </w:tc>
        <w:tc>
          <w:tcPr>
            <w:tcW w:type="dxa" w:w="28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8"/>
                <w:szCs w:val="18"/>
              </w:rPr>
              <w:t xml:space="preserve">Incorrect CI selection: safety-critical or technology-critical items not designated for separate configuration control</w:t>
            </w:r>
          </w:p>
        </w:tc>
        <w:tc>
          <w:tcPr>
            <w:tcW w:type="dxa" w:w="10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C00000"/>
                <w:sz w:val="18"/>
                <w:szCs w:val="18"/>
              </w:rPr>
              <w:t xml:space="preserve">HIGH</w:t>
            </w:r>
          </w:p>
        </w:tc>
        <w:tc>
          <w:tcPr>
            <w:tcW w:type="dxa" w:w="10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C00000"/>
                <w:sz w:val="18"/>
                <w:szCs w:val="18"/>
              </w:rPr>
              <w:t xml:space="preserve">HIGH</w:t>
            </w:r>
          </w:p>
        </w:tc>
        <w:tc>
          <w:tcPr>
            <w:tcW w:type="dxa" w:w="38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8"/>
                <w:szCs w:val="18"/>
              </w:rPr>
              <w:t xml:space="preserve">EIA-649-1 §3.2.1(2)a-c. Mitigation: Tier 3 CM Engineer leading CI selection.</w:t>
            </w:r>
          </w:p>
        </w:tc>
      </w:tr>
      <w:tr>
        <w:tc>
          <w:tcPr>
            <w:tcW w:type="dxa" w:w="5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bCs/>
                <w:color w:val="1F3864"/>
                <w:sz w:val="18"/>
                <w:szCs w:val="18"/>
              </w:rPr>
              <w:t xml:space="preserve">R-02</w:t>
            </w:r>
          </w:p>
        </w:tc>
        <w:tc>
          <w:tcPr>
            <w:tcW w:type="dxa" w:w="282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8"/>
                <w:szCs w:val="18"/>
              </w:rPr>
              <w:t xml:space="preserve">Class I change misclassified as Class II to avoid Acquirer review and approval</w:t>
            </w:r>
          </w:p>
        </w:tc>
        <w:tc>
          <w:tcPr>
            <w:tcW w:type="dxa" w:w="10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bCs/>
                <w:color w:val="C00000"/>
                <w:sz w:val="18"/>
                <w:szCs w:val="18"/>
              </w:rPr>
              <w:t xml:space="preserve">HIGH</w:t>
            </w:r>
          </w:p>
        </w:tc>
        <w:tc>
          <w:tcPr>
            <w:tcW w:type="dxa" w:w="10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bCs/>
                <w:color w:val="C00000"/>
                <w:sz w:val="18"/>
                <w:szCs w:val="18"/>
              </w:rPr>
              <w:t xml:space="preserve">HIGH</w:t>
            </w:r>
          </w:p>
        </w:tc>
        <w:tc>
          <w:tcPr>
            <w:tcW w:type="dxa" w:w="38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8"/>
                <w:szCs w:val="18"/>
              </w:rPr>
              <w:t xml:space="preserve">EIA-649-1 §3.3.1.2. Mitigation: Tier 3 CM Engineer as classification authority.</w:t>
            </w:r>
          </w:p>
        </w:tc>
      </w:tr>
      <w:tr>
        <w:tc>
          <w:tcPr>
            <w:tcW w:type="dxa" w:w="5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1F3864"/>
                <w:sz w:val="18"/>
                <w:szCs w:val="18"/>
              </w:rPr>
              <w:t xml:space="preserve">R-03</w:t>
            </w:r>
          </w:p>
        </w:tc>
        <w:tc>
          <w:tcPr>
            <w:tcW w:type="dxa" w:w="28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8"/>
                <w:szCs w:val="18"/>
              </w:rPr>
              <w:t xml:space="preserve">FCA conducted without ability to verify technical compliance against FCD/ACD; requirement traceability matrix gaps undetected</w:t>
            </w:r>
          </w:p>
        </w:tc>
        <w:tc>
          <w:tcPr>
            <w:tcW w:type="dxa" w:w="10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C00000"/>
                <w:sz w:val="18"/>
                <w:szCs w:val="18"/>
              </w:rPr>
              <w:t xml:space="preserve">HIGH</w:t>
            </w:r>
          </w:p>
        </w:tc>
        <w:tc>
          <w:tcPr>
            <w:tcW w:type="dxa" w:w="10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C00000"/>
                <w:sz w:val="18"/>
                <w:szCs w:val="18"/>
              </w:rPr>
              <w:t xml:space="preserve">HIGH</w:t>
            </w:r>
          </w:p>
        </w:tc>
        <w:tc>
          <w:tcPr>
            <w:tcW w:type="dxa" w:w="38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8"/>
                <w:szCs w:val="18"/>
              </w:rPr>
              <w:t xml:space="preserve">EIA-649-1 §3.5.2. Mitigation: Tier 3 CM Engineer as FCA lead with engineering literacy.</w:t>
            </w:r>
          </w:p>
        </w:tc>
      </w:tr>
      <w:tr>
        <w:tc>
          <w:tcPr>
            <w:tcW w:type="dxa" w:w="5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bCs/>
                <w:color w:val="1F3864"/>
                <w:sz w:val="18"/>
                <w:szCs w:val="18"/>
              </w:rPr>
              <w:t xml:space="preserve">R-04</w:t>
            </w:r>
          </w:p>
        </w:tc>
        <w:tc>
          <w:tcPr>
            <w:tcW w:type="dxa" w:w="282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8"/>
                <w:szCs w:val="18"/>
              </w:rPr>
              <w:t xml:space="preserve">PCA conducted without engineering drawing literacy; as-built CI not actually verified against PCD</w:t>
            </w:r>
          </w:p>
        </w:tc>
        <w:tc>
          <w:tcPr>
            <w:tcW w:type="dxa" w:w="10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bCs/>
                <w:color w:val="C00000"/>
                <w:sz w:val="18"/>
                <w:szCs w:val="18"/>
              </w:rPr>
              <w:t xml:space="preserve">HIGH</w:t>
            </w:r>
          </w:p>
        </w:tc>
        <w:tc>
          <w:tcPr>
            <w:tcW w:type="dxa" w:w="10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bCs/>
                <w:color w:val="C00000"/>
                <w:sz w:val="18"/>
                <w:szCs w:val="18"/>
              </w:rPr>
              <w:t xml:space="preserve">HIGH</w:t>
            </w:r>
          </w:p>
        </w:tc>
        <w:tc>
          <w:tcPr>
            <w:tcW w:type="dxa" w:w="38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8"/>
                <w:szCs w:val="18"/>
              </w:rPr>
              <w:t xml:space="preserve">EIA-649-1 §3.5.3. Mitigation: Tier 3 CM Engineer as PCA lead.</w:t>
            </w:r>
          </w:p>
        </w:tc>
      </w:tr>
      <w:tr>
        <w:tc>
          <w:tcPr>
            <w:tcW w:type="dxa" w:w="5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1F3864"/>
                <w:sz w:val="18"/>
                <w:szCs w:val="18"/>
              </w:rPr>
              <w:t xml:space="preserve">R-05</w:t>
            </w:r>
          </w:p>
        </w:tc>
        <w:tc>
          <w:tcPr>
            <w:tcW w:type="dxa" w:w="28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8"/>
                <w:szCs w:val="18"/>
              </w:rPr>
              <w:t xml:space="preserve">CSA inaccuracy: as-built configuration records do not reflect actual delivered product configuration</w:t>
            </w:r>
          </w:p>
        </w:tc>
        <w:tc>
          <w:tcPr>
            <w:tcW w:type="dxa" w:w="10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C00000"/>
                <w:sz w:val="18"/>
                <w:szCs w:val="18"/>
              </w:rPr>
              <w:t xml:space="preserve">HIGH</w:t>
            </w:r>
          </w:p>
        </w:tc>
        <w:tc>
          <w:tcPr>
            <w:tcW w:type="dxa" w:w="10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C00000"/>
                <w:sz w:val="18"/>
                <w:szCs w:val="18"/>
              </w:rPr>
              <w:t xml:space="preserve">HIGH</w:t>
            </w:r>
          </w:p>
        </w:tc>
        <w:tc>
          <w:tcPr>
            <w:tcW w:type="dxa" w:w="38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8"/>
                <w:szCs w:val="18"/>
              </w:rPr>
              <w:t xml:space="preserve">EIA-649-1 §3.4.1(3)a-j. Amplified by absence of CSA tool. Mitigation: Tier 2/3 CM personnel + CSA tool acquisition.</w:t>
            </w:r>
          </w:p>
        </w:tc>
      </w:tr>
      <w:tr>
        <w:tc>
          <w:tcPr>
            <w:tcW w:type="dxa" w:w="5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bCs/>
                <w:color w:val="1F3864"/>
                <w:sz w:val="18"/>
                <w:szCs w:val="18"/>
              </w:rPr>
              <w:t xml:space="preserve">R-06</w:t>
            </w:r>
          </w:p>
        </w:tc>
        <w:tc>
          <w:tcPr>
            <w:tcW w:type="dxa" w:w="282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8"/>
                <w:szCs w:val="18"/>
              </w:rPr>
              <w:t xml:space="preserve">Sub-supplier configuration data not properly captured; vendor part traceability incomplete</w:t>
            </w:r>
          </w:p>
        </w:tc>
        <w:tc>
          <w:tcPr>
            <w:tcW w:type="dxa" w:w="10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bCs/>
                <w:color w:val="BF8F00"/>
                <w:sz w:val="18"/>
                <w:szCs w:val="18"/>
              </w:rPr>
              <w:t xml:space="preserve">MEDIUM</w:t>
            </w:r>
          </w:p>
        </w:tc>
        <w:tc>
          <w:tcPr>
            <w:tcW w:type="dxa" w:w="10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bCs/>
                <w:color w:val="C00000"/>
                <w:sz w:val="18"/>
                <w:szCs w:val="18"/>
              </w:rPr>
              <w:t xml:space="preserve">HIGH</w:t>
            </w:r>
          </w:p>
        </w:tc>
        <w:tc>
          <w:tcPr>
            <w:tcW w:type="dxa" w:w="38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8"/>
                <w:szCs w:val="18"/>
              </w:rPr>
              <w:t xml:space="preserve">EIA-649-1 §3.4.1(3)j. SUP risk per Partnair 394 case. Mitigation: CSA tool + Tier 2 sub-supplier data lead.</w:t>
            </w:r>
          </w:p>
        </w:tc>
      </w:tr>
      <w:tr>
        <w:tc>
          <w:tcPr>
            <w:tcW w:type="dxa" w:w="5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1F3864"/>
                <w:sz w:val="18"/>
                <w:szCs w:val="18"/>
              </w:rPr>
              <w:t xml:space="preserve">R-07</w:t>
            </w:r>
          </w:p>
        </w:tc>
        <w:tc>
          <w:tcPr>
            <w:tcW w:type="dxa" w:w="28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8"/>
                <w:szCs w:val="18"/>
              </w:rPr>
              <w:t xml:space="preserve">Interface requirements at ICWG not properly committed or controlled; integration discrepancies emerge at system test</w:t>
            </w:r>
          </w:p>
        </w:tc>
        <w:tc>
          <w:tcPr>
            <w:tcW w:type="dxa" w:w="10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BF8F00"/>
                <w:sz w:val="18"/>
                <w:szCs w:val="18"/>
              </w:rPr>
              <w:t xml:space="preserve">MEDIUM</w:t>
            </w:r>
          </w:p>
        </w:tc>
        <w:tc>
          <w:tcPr>
            <w:tcW w:type="dxa" w:w="10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C00000"/>
                <w:sz w:val="18"/>
                <w:szCs w:val="18"/>
              </w:rPr>
              <w:t xml:space="preserve">HIGH</w:t>
            </w:r>
          </w:p>
        </w:tc>
        <w:tc>
          <w:tcPr>
            <w:tcW w:type="dxa" w:w="38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8"/>
                <w:szCs w:val="18"/>
              </w:rPr>
              <w:t xml:space="preserve">EIA-649-1 §3.2.5. Mitigation: Tier 3 CM Engineer as ICWG representative.</w:t>
            </w:r>
          </w:p>
        </w:tc>
      </w:tr>
      <w:tr>
        <w:tc>
          <w:tcPr>
            <w:tcW w:type="dxa" w:w="5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bCs/>
                <w:color w:val="1F3864"/>
                <w:sz w:val="18"/>
                <w:szCs w:val="18"/>
              </w:rPr>
              <w:t xml:space="preserve">R-08</w:t>
            </w:r>
          </w:p>
        </w:tc>
        <w:tc>
          <w:tcPr>
            <w:tcW w:type="dxa" w:w="282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8"/>
                <w:szCs w:val="18"/>
              </w:rPr>
              <w:t xml:space="preserve">Configuration documentation not maintained current within 90-day requirement; baseline drift undetected</w:t>
            </w:r>
          </w:p>
        </w:tc>
        <w:tc>
          <w:tcPr>
            <w:tcW w:type="dxa" w:w="10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bCs/>
                <w:color w:val="BF8F00"/>
                <w:sz w:val="18"/>
                <w:szCs w:val="18"/>
              </w:rPr>
              <w:t xml:space="preserve">MEDIUM</w:t>
            </w:r>
          </w:p>
        </w:tc>
        <w:tc>
          <w:tcPr>
            <w:tcW w:type="dxa" w:w="10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bCs/>
                <w:color w:val="BF8F00"/>
                <w:sz w:val="18"/>
                <w:szCs w:val="18"/>
              </w:rPr>
              <w:t xml:space="preserve">MEDIUM</w:t>
            </w:r>
          </w:p>
        </w:tc>
        <w:tc>
          <w:tcPr>
            <w:tcW w:type="dxa" w:w="38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8"/>
                <w:szCs w:val="18"/>
              </w:rPr>
              <w:t xml:space="preserve">EIA-649-1 §3.2.2.3. Mitigation: Tier 2 CM Specialist + Engineering Release System rigor.</w:t>
            </w:r>
          </w:p>
        </w:tc>
      </w:tr>
      <w:tr>
        <w:tc>
          <w:tcPr>
            <w:tcW w:type="dxa" w:w="5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1F3864"/>
                <w:sz w:val="18"/>
                <w:szCs w:val="18"/>
              </w:rPr>
              <w:t xml:space="preserve">R-09</w:t>
            </w:r>
          </w:p>
        </w:tc>
        <w:tc>
          <w:tcPr>
            <w:tcW w:type="dxa" w:w="28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8"/>
                <w:szCs w:val="18"/>
              </w:rPr>
              <w:t xml:space="preserve">DCMA Level III Corrective Action Request (CAR) or contract withhold due to CM compliance finding</w:t>
            </w:r>
          </w:p>
        </w:tc>
        <w:tc>
          <w:tcPr>
            <w:tcW w:type="dxa" w:w="10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BF8F00"/>
                <w:sz w:val="18"/>
                <w:szCs w:val="18"/>
              </w:rPr>
              <w:t xml:space="preserve">MEDIUM</w:t>
            </w:r>
          </w:p>
        </w:tc>
        <w:tc>
          <w:tcPr>
            <w:tcW w:type="dxa" w:w="10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C00000"/>
                <w:sz w:val="18"/>
                <w:szCs w:val="18"/>
              </w:rPr>
              <w:t xml:space="preserve">HIGH</w:t>
            </w:r>
          </w:p>
        </w:tc>
        <w:tc>
          <w:tcPr>
            <w:tcW w:type="dxa" w:w="38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8"/>
                <w:szCs w:val="18"/>
              </w:rPr>
              <w:t xml:space="preserve">Cumulative risk arising from R-01 through R-08. Mitigation: Full workforce model implementation.</w:t>
            </w:r>
          </w:p>
        </w:tc>
      </w:tr>
      <w:tr>
        <w:tc>
          <w:tcPr>
            <w:tcW w:type="dxa" w:w="5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bCs/>
                <w:color w:val="1F3864"/>
                <w:sz w:val="18"/>
                <w:szCs w:val="18"/>
              </w:rPr>
              <w:t xml:space="preserve">R-10</w:t>
            </w:r>
          </w:p>
        </w:tc>
        <w:tc>
          <w:tcPr>
            <w:tcW w:type="dxa" w:w="282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8"/>
                <w:szCs w:val="18"/>
              </w:rPr>
              <w:t xml:space="preserve">Lost recompete or new business: customer audits CM organization and finds it below industry peer standard</w:t>
            </w:r>
          </w:p>
        </w:tc>
        <w:tc>
          <w:tcPr>
            <w:tcW w:type="dxa" w:w="10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bCs/>
                <w:color w:val="BF8F00"/>
                <w:sz w:val="18"/>
                <w:szCs w:val="18"/>
              </w:rPr>
              <w:t xml:space="preserve">MEDIUM</w:t>
            </w:r>
          </w:p>
        </w:tc>
        <w:tc>
          <w:tcPr>
            <w:tcW w:type="dxa" w:w="10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bCs/>
                <w:color w:val="C00000"/>
                <w:sz w:val="18"/>
                <w:szCs w:val="18"/>
              </w:rPr>
              <w:t xml:space="preserve">HIGH</w:t>
            </w:r>
          </w:p>
        </w:tc>
        <w:tc>
          <w:tcPr>
            <w:tcW w:type="dxa" w:w="38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8"/>
                <w:szCs w:val="18"/>
              </w:rPr>
              <w:t xml:space="preserve">Industry peer comparison shows company below baseline. Mitigation: Workforce upgrade.</w:t>
            </w:r>
          </w:p>
        </w:tc>
      </w:tr>
      <w:tr>
        <w:tc>
          <w:tcPr>
            <w:tcW w:type="dxa" w:w="5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1F3864"/>
                <w:sz w:val="18"/>
                <w:szCs w:val="18"/>
              </w:rPr>
              <w:t xml:space="preserve">R-11</w:t>
            </w:r>
          </w:p>
        </w:tc>
        <w:tc>
          <w:tcPr>
            <w:tcW w:type="dxa" w:w="28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8"/>
                <w:szCs w:val="18"/>
              </w:rPr>
              <w:t xml:space="preserve">Loss of institutional CM SME without successor: critical knowledge held by individual departs without formal succession</w:t>
            </w:r>
          </w:p>
        </w:tc>
        <w:tc>
          <w:tcPr>
            <w:tcW w:type="dxa" w:w="10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BF8F00"/>
                <w:sz w:val="18"/>
                <w:szCs w:val="18"/>
              </w:rPr>
              <w:t xml:space="preserve">MEDIUM</w:t>
            </w:r>
          </w:p>
        </w:tc>
        <w:tc>
          <w:tcPr>
            <w:tcW w:type="dxa" w:w="10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C00000"/>
                <w:sz w:val="18"/>
                <w:szCs w:val="18"/>
              </w:rPr>
              <w:t xml:space="preserve">HIGH</w:t>
            </w:r>
          </w:p>
        </w:tc>
        <w:tc>
          <w:tcPr>
            <w:tcW w:type="dxa" w:w="38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8"/>
                <w:szCs w:val="18"/>
              </w:rPr>
              <w:t xml:space="preserve">Mitigation: Tier 4 SME formalization; documented succession; equivalency pathway recognition.</w:t>
            </w:r>
          </w:p>
        </w:tc>
      </w:tr>
      <w:tr>
        <w:tc>
          <w:tcPr>
            <w:tcW w:type="dxa" w:w="5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bCs/>
                <w:color w:val="1F3864"/>
                <w:sz w:val="18"/>
                <w:szCs w:val="18"/>
              </w:rPr>
              <w:t xml:space="preserve">R-12</w:t>
            </w:r>
          </w:p>
        </w:tc>
        <w:tc>
          <w:tcPr>
            <w:tcW w:type="dxa" w:w="282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8"/>
                <w:szCs w:val="18"/>
              </w:rPr>
              <w:t xml:space="preserve">CM workforce attrition: A.A.S. talent leaves for peers offering engineering-level CM career paths</w:t>
            </w:r>
          </w:p>
        </w:tc>
        <w:tc>
          <w:tcPr>
            <w:tcW w:type="dxa" w:w="10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bCs/>
                <w:color w:val="BF8F00"/>
                <w:sz w:val="18"/>
                <w:szCs w:val="18"/>
              </w:rPr>
              <w:t xml:space="preserve">MEDIUM</w:t>
            </w:r>
          </w:p>
        </w:tc>
        <w:tc>
          <w:tcPr>
            <w:tcW w:type="dxa" w:w="10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bCs/>
                <w:color w:val="BF8F00"/>
                <w:sz w:val="18"/>
                <w:szCs w:val="18"/>
              </w:rPr>
              <w:t xml:space="preserve">MEDIUM</w:t>
            </w:r>
          </w:p>
        </w:tc>
        <w:tc>
          <w:tcPr>
            <w:tcW w:type="dxa" w:w="38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8"/>
                <w:szCs w:val="18"/>
              </w:rPr>
              <w:t xml:space="preserve">Mitigation: Four-tier career ladder + tuition assistance + development pathway.</w:t>
            </w:r>
          </w:p>
        </w:tc>
      </w:tr>
    </w:tbl>
    <w:p>
      <w:r>
        <w:br w:type="page"/>
      </w:r>
    </w:p>
    <w:p>
      <w:pPr>
        <w:pStyle w:val="Heading1"/>
        <w:shd w:fill="1F3864" w:val="clear"/>
        <w:spacing w:after="120" w:before="240"/>
        <w:ind w:left="120"/>
      </w:pPr>
      <w:r>
        <w:rPr>
          <w:rFonts w:ascii="Arial" w:cs="Arial" w:eastAsia="Arial" w:hAnsi="Arial"/>
          <w:b/>
          <w:bCs/>
          <w:color w:val="FFFFFF"/>
          <w:sz w:val="36"/>
          <w:szCs w:val="36"/>
        </w:rPr>
        <w:t xml:space="preserve">CURRENT STATE GAP ASSESSMENT</w:t>
      </w:r>
    </w:p>
    <w:p>
      <w:pPr>
        <w:spacing w:after="0" w:before="80"/>
      </w:pPr>
    </w:p>
    <w:p>
      <w:pPr>
        <w:spacing w:after="100" w:before="80"/>
        <w:jc w:val="left"/>
      </w:pPr>
      <w:r>
        <w:rPr>
          <w:rFonts w:ascii="Arial" w:cs="Arial" w:eastAsia="Arial" w:hAnsi="Arial"/>
          <w:i w:val="false"/>
          <w:iCs w:val="false"/>
          <w:color w:val="404040"/>
          <w:sz w:val="22"/>
          <w:szCs w:val="22"/>
        </w:rPr>
        <w:t xml:space="preserve">This section provides the structure for executive leadership and HR to quantify the gap between the current CM workforce and the target four-tier model. Specific headcount numbers should be filled in by the CM organization and HR jointly before this section is briefed.</w:t>
      </w:r>
    </w:p>
    <w:p>
      <w:pPr>
        <w:spacing w:after="0" w:before="80"/>
      </w:pPr>
    </w:p>
    <w:p>
      <w:pPr>
        <w:pStyle w:val="Heading3"/>
        <w:pBdr>
          <w:bottom w:val="single" w:color="2E5F8A" w:sz="6"/>
        </w:pBdr>
        <w:spacing w:after="80" w:before="160"/>
      </w:pPr>
      <w:r>
        <w:rPr>
          <w:rFonts w:ascii="Arial" w:cs="Arial" w:eastAsia="Arial" w:hAnsi="Arial"/>
          <w:b/>
          <w:bCs/>
          <w:color w:val="1F3864"/>
          <w:sz w:val="24"/>
          <w:szCs w:val="24"/>
        </w:rPr>
        <w:t xml:space="preserve">Workforce Composition: Current vs. Target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440"/>
        <w:gridCol w:w="1440"/>
        <w:gridCol w:w="1440"/>
        <w:gridCol w:w="2880"/>
      </w:tblGrid>
      <w:tr>
        <w:trPr>
          <w:tblHeader/>
        </w:trPr>
        <w:tc>
          <w:tcPr>
            <w:tcW w:type="dxa" w:w="2160"/>
            <w:tcBorders>
              <w:top w:val="single" w:color="AAAAAA" w:sz="4"/>
              <w:left w:val="single" w:color="AAAAAA" w:sz="4"/>
              <w:bottom w:val="single" w:color="AAAAAA" w:sz="4"/>
              <w:right w:val="single" w:color="AAAAAA" w:sz="4"/>
            </w:tcBorders>
            <w:shd w:fill="1F3864" w:val="clear"/>
            <w:tcMar>
              <w:top w:type="dxa" w:w="100"/>
              <w:left w:type="dxa" w:w="120"/>
              <w:bottom w:type="dxa" w:w="100"/>
              <w:right w:type="dxa" w:w="120"/>
            </w:tcMar>
            <w:vAlign w:val="center"/>
          </w:tcPr>
          <w:p>
            <w:pPr>
              <w:spacing w:after="40" w:before="40"/>
              <w:jc w:val="center"/>
            </w:pPr>
            <w:r>
              <w:rPr>
                <w:rFonts w:ascii="Arial" w:cs="Arial" w:eastAsia="Arial" w:hAnsi="Arial"/>
                <w:b/>
                <w:bCs/>
                <w:color w:val="FFFFFF"/>
                <w:sz w:val="20"/>
                <w:szCs w:val="20"/>
              </w:rPr>
              <w:t xml:space="preserve">Tier</w:t>
            </w:r>
          </w:p>
        </w:tc>
        <w:tc>
          <w:tcPr>
            <w:tcW w:type="dxa" w:w="1440"/>
            <w:tcBorders>
              <w:top w:val="single" w:color="AAAAAA" w:sz="4"/>
              <w:left w:val="single" w:color="AAAAAA" w:sz="4"/>
              <w:bottom w:val="single" w:color="AAAAAA" w:sz="4"/>
              <w:right w:val="single" w:color="AAAAAA" w:sz="4"/>
            </w:tcBorders>
            <w:shd w:fill="1F3864" w:val="clear"/>
            <w:tcMar>
              <w:top w:type="dxa" w:w="100"/>
              <w:left w:type="dxa" w:w="120"/>
              <w:bottom w:type="dxa" w:w="100"/>
              <w:right w:type="dxa" w:w="120"/>
            </w:tcMar>
            <w:vAlign w:val="center"/>
          </w:tcPr>
          <w:p>
            <w:pPr>
              <w:spacing w:after="40" w:before="40"/>
              <w:jc w:val="center"/>
            </w:pPr>
            <w:r>
              <w:rPr>
                <w:rFonts w:ascii="Arial" w:cs="Arial" w:eastAsia="Arial" w:hAnsi="Arial"/>
                <w:b/>
                <w:bCs/>
                <w:color w:val="FFFFFF"/>
                <w:sz w:val="20"/>
                <w:szCs w:val="20"/>
              </w:rPr>
              <w:t xml:space="preserve">Current Count</w:t>
            </w:r>
          </w:p>
        </w:tc>
        <w:tc>
          <w:tcPr>
            <w:tcW w:type="dxa" w:w="1440"/>
            <w:tcBorders>
              <w:top w:val="single" w:color="AAAAAA" w:sz="4"/>
              <w:left w:val="single" w:color="AAAAAA" w:sz="4"/>
              <w:bottom w:val="single" w:color="AAAAAA" w:sz="4"/>
              <w:right w:val="single" w:color="AAAAAA" w:sz="4"/>
            </w:tcBorders>
            <w:shd w:fill="1F3864" w:val="clear"/>
            <w:tcMar>
              <w:top w:type="dxa" w:w="100"/>
              <w:left w:type="dxa" w:w="120"/>
              <w:bottom w:type="dxa" w:w="100"/>
              <w:right w:type="dxa" w:w="120"/>
            </w:tcMar>
            <w:vAlign w:val="center"/>
          </w:tcPr>
          <w:p>
            <w:pPr>
              <w:spacing w:after="40" w:before="40"/>
              <w:jc w:val="center"/>
            </w:pPr>
            <w:r>
              <w:rPr>
                <w:rFonts w:ascii="Arial" w:cs="Arial" w:eastAsia="Arial" w:hAnsi="Arial"/>
                <w:b/>
                <w:bCs/>
                <w:color w:val="FFFFFF"/>
                <w:sz w:val="20"/>
                <w:szCs w:val="20"/>
              </w:rPr>
              <w:t xml:space="preserve">Target Count</w:t>
            </w:r>
          </w:p>
        </w:tc>
        <w:tc>
          <w:tcPr>
            <w:tcW w:type="dxa" w:w="1440"/>
            <w:tcBorders>
              <w:top w:val="single" w:color="AAAAAA" w:sz="4"/>
              <w:left w:val="single" w:color="AAAAAA" w:sz="4"/>
              <w:bottom w:val="single" w:color="AAAAAA" w:sz="4"/>
              <w:right w:val="single" w:color="AAAAAA" w:sz="4"/>
            </w:tcBorders>
            <w:shd w:fill="1F3864" w:val="clear"/>
            <w:tcMar>
              <w:top w:type="dxa" w:w="100"/>
              <w:left w:type="dxa" w:w="120"/>
              <w:bottom w:type="dxa" w:w="100"/>
              <w:right w:type="dxa" w:w="120"/>
            </w:tcMar>
            <w:vAlign w:val="center"/>
          </w:tcPr>
          <w:p>
            <w:pPr>
              <w:spacing w:after="40" w:before="40"/>
              <w:jc w:val="center"/>
            </w:pPr>
            <w:r>
              <w:rPr>
                <w:rFonts w:ascii="Arial" w:cs="Arial" w:eastAsia="Arial" w:hAnsi="Arial"/>
                <w:b/>
                <w:bCs/>
                <w:color w:val="FFFFFF"/>
                <w:sz w:val="20"/>
                <w:szCs w:val="20"/>
              </w:rPr>
              <w:t xml:space="preserve">Gap</w:t>
            </w:r>
          </w:p>
        </w:tc>
        <w:tc>
          <w:tcPr>
            <w:tcW w:type="dxa" w:w="2880"/>
            <w:tcBorders>
              <w:top w:val="single" w:color="AAAAAA" w:sz="4"/>
              <w:left w:val="single" w:color="AAAAAA" w:sz="4"/>
              <w:bottom w:val="single" w:color="AAAAAA" w:sz="4"/>
              <w:right w:val="single" w:color="AAAAAA" w:sz="4"/>
            </w:tcBorders>
            <w:shd w:fill="1F3864" w:val="clear"/>
            <w:tcMar>
              <w:top w:type="dxa" w:w="100"/>
              <w:left w:type="dxa" w:w="120"/>
              <w:bottom w:type="dxa" w:w="100"/>
              <w:right w:type="dxa" w:w="120"/>
            </w:tcMar>
            <w:vAlign w:val="center"/>
          </w:tcPr>
          <w:p>
            <w:pPr>
              <w:spacing w:after="40" w:before="40"/>
              <w:jc w:val="center"/>
            </w:pPr>
            <w:r>
              <w:rPr>
                <w:rFonts w:ascii="Arial" w:cs="Arial" w:eastAsia="Arial" w:hAnsi="Arial"/>
                <w:b/>
                <w:bCs/>
                <w:color w:val="FFFFFF"/>
                <w:sz w:val="20"/>
                <w:szCs w:val="20"/>
              </w:rPr>
              <w:t xml:space="preserve">Closure Strategy</w:t>
            </w:r>
          </w:p>
        </w:tc>
      </w:tr>
      <w:tr>
        <w:tc>
          <w:tcPr>
            <w:tcW w:type="dxa" w:w="2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1F3864"/>
                <w:sz w:val="19"/>
                <w:szCs w:val="19"/>
              </w:rPr>
              <w:t xml:space="preserve">Tier 1: CM Technician (A.A.S.)</w:t>
            </w:r>
          </w:p>
        </w:tc>
        <w:tc>
          <w:tcPr>
            <w:tcW w:type="dxa" w:w="14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595959"/>
                <w:sz w:val="19"/>
                <w:szCs w:val="19"/>
              </w:rPr>
              <w:t xml:space="preserve">[FILL IN]</w:t>
            </w:r>
          </w:p>
        </w:tc>
        <w:tc>
          <w:tcPr>
            <w:tcW w:type="dxa" w:w="14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595959"/>
                <w:sz w:val="19"/>
                <w:szCs w:val="19"/>
              </w:rPr>
              <w:t xml:space="preserve">[FILL IN]</w:t>
            </w:r>
          </w:p>
        </w:tc>
        <w:tc>
          <w:tcPr>
            <w:tcW w:type="dxa" w:w="14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595959"/>
                <w:sz w:val="19"/>
                <w:szCs w:val="19"/>
              </w:rPr>
              <w:t xml:space="preserve">[CALC]</w:t>
            </w:r>
          </w:p>
        </w:tc>
        <w:tc>
          <w:tcPr>
            <w:tcW w:type="dxa" w:w="28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9"/>
                <w:szCs w:val="19"/>
              </w:rPr>
              <w:t xml:space="preserve">Retain existing workforce; provide development pathway to Tier 2.</w:t>
            </w:r>
          </w:p>
        </w:tc>
      </w:tr>
      <w:tr>
        <w:tc>
          <w:tcPr>
            <w:tcW w:type="dxa" w:w="21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bCs/>
                <w:color w:val="1F3864"/>
                <w:sz w:val="19"/>
                <w:szCs w:val="19"/>
              </w:rPr>
              <w:t xml:space="preserve">Tier 2: CM Specialist (B.S.E.T. or equiv.)</w:t>
            </w:r>
          </w:p>
        </w:tc>
        <w:tc>
          <w:tcPr>
            <w:tcW w:type="dxa" w:w="14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val="false"/>
                <w:bCs w:val="false"/>
                <w:color w:val="595959"/>
                <w:sz w:val="19"/>
                <w:szCs w:val="19"/>
              </w:rPr>
              <w:t xml:space="preserve">[FILL IN]</w:t>
            </w:r>
          </w:p>
        </w:tc>
        <w:tc>
          <w:tcPr>
            <w:tcW w:type="dxa" w:w="14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val="false"/>
                <w:bCs w:val="false"/>
                <w:color w:val="595959"/>
                <w:sz w:val="19"/>
                <w:szCs w:val="19"/>
              </w:rPr>
              <w:t xml:space="preserve">[FILL IN]</w:t>
            </w:r>
          </w:p>
        </w:tc>
        <w:tc>
          <w:tcPr>
            <w:tcW w:type="dxa" w:w="14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val="false"/>
                <w:bCs w:val="false"/>
                <w:color w:val="595959"/>
                <w:sz w:val="19"/>
                <w:szCs w:val="19"/>
              </w:rPr>
              <w:t xml:space="preserve">[CALC]</w:t>
            </w:r>
          </w:p>
        </w:tc>
        <w:tc>
          <w:tcPr>
            <w:tcW w:type="dxa" w:w="28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9"/>
                <w:szCs w:val="19"/>
              </w:rPr>
              <w:t xml:space="preserve">Mix of external hiring and internal promotion of Tier 1 personnel completing B.S.E.T. via tuition assistance.</w:t>
            </w:r>
          </w:p>
        </w:tc>
      </w:tr>
      <w:tr>
        <w:tc>
          <w:tcPr>
            <w:tcW w:type="dxa" w:w="2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1F3864"/>
                <w:sz w:val="19"/>
                <w:szCs w:val="19"/>
              </w:rPr>
              <w:t xml:space="preserve">Tier 3: CM Engineer (B.S.E. or equiv.)</w:t>
            </w:r>
          </w:p>
        </w:tc>
        <w:tc>
          <w:tcPr>
            <w:tcW w:type="dxa" w:w="14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595959"/>
                <w:sz w:val="19"/>
                <w:szCs w:val="19"/>
              </w:rPr>
              <w:t xml:space="preserve">[FILL IN]</w:t>
            </w:r>
          </w:p>
        </w:tc>
        <w:tc>
          <w:tcPr>
            <w:tcW w:type="dxa" w:w="14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595959"/>
                <w:sz w:val="19"/>
                <w:szCs w:val="19"/>
              </w:rPr>
              <w:t xml:space="preserve">[FILL IN]</w:t>
            </w:r>
          </w:p>
        </w:tc>
        <w:tc>
          <w:tcPr>
            <w:tcW w:type="dxa" w:w="14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595959"/>
                <w:sz w:val="19"/>
                <w:szCs w:val="19"/>
              </w:rPr>
              <w:t xml:space="preserve">[CALC]</w:t>
            </w:r>
          </w:p>
        </w:tc>
        <w:tc>
          <w:tcPr>
            <w:tcW w:type="dxa" w:w="28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9"/>
                <w:szCs w:val="19"/>
              </w:rPr>
              <w:t xml:space="preserve">Primarily external hiring of B.S.E. engineers with CM background; selective rotation from broader engineering organization.</w:t>
            </w:r>
          </w:p>
        </w:tc>
      </w:tr>
      <w:tr>
        <w:tc>
          <w:tcPr>
            <w:tcW w:type="dxa" w:w="21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bCs/>
                <w:color w:val="1F3864"/>
                <w:sz w:val="19"/>
                <w:szCs w:val="19"/>
              </w:rPr>
              <w:t xml:space="preserve">Tier 4: Senior CM Engineer / SME</w:t>
            </w:r>
          </w:p>
        </w:tc>
        <w:tc>
          <w:tcPr>
            <w:tcW w:type="dxa" w:w="14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val="false"/>
                <w:bCs w:val="false"/>
                <w:color w:val="595959"/>
                <w:sz w:val="19"/>
                <w:szCs w:val="19"/>
              </w:rPr>
              <w:t xml:space="preserve">[FILL IN]</w:t>
            </w:r>
          </w:p>
        </w:tc>
        <w:tc>
          <w:tcPr>
            <w:tcW w:type="dxa" w:w="14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val="false"/>
                <w:bCs w:val="false"/>
                <w:color w:val="595959"/>
                <w:sz w:val="19"/>
                <w:szCs w:val="19"/>
              </w:rPr>
              <w:t xml:space="preserve">[FILL IN]</w:t>
            </w:r>
          </w:p>
        </w:tc>
        <w:tc>
          <w:tcPr>
            <w:tcW w:type="dxa" w:w="14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val="false"/>
                <w:bCs w:val="false"/>
                <w:color w:val="595959"/>
                <w:sz w:val="19"/>
                <w:szCs w:val="19"/>
              </w:rPr>
              <w:t xml:space="preserve">[CALC]</w:t>
            </w:r>
          </w:p>
        </w:tc>
        <w:tc>
          <w:tcPr>
            <w:tcW w:type="dxa" w:w="28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9"/>
                <w:szCs w:val="19"/>
              </w:rPr>
              <w:t xml:space="preserve">Formal recognition of existing SMEs (including equivalency-qualified); selective external hiring of senior CM professionals.</w:t>
            </w:r>
          </w:p>
        </w:tc>
      </w:tr>
    </w:tbl>
    <w:p>
      <w:pPr>
        <w:spacing w:after="0" w:before="120"/>
      </w:pPr>
    </w:p>
    <w:p>
      <w:pPr>
        <w:pStyle w:val="Heading3"/>
        <w:pBdr>
          <w:bottom w:val="single" w:color="2E5F8A" w:sz="6"/>
        </w:pBdr>
        <w:spacing w:after="80" w:before="160"/>
      </w:pPr>
      <w:r>
        <w:rPr>
          <w:rFonts w:ascii="Arial" w:cs="Arial" w:eastAsia="Arial" w:hAnsi="Arial"/>
          <w:b/>
          <w:bCs/>
          <w:color w:val="1F3864"/>
          <w:sz w:val="24"/>
          <w:szCs w:val="24"/>
        </w:rPr>
        <w:t xml:space="preserve">Critical-Role Coverage Assessment</w:t>
      </w:r>
    </w:p>
    <w:p>
      <w:pPr>
        <w:spacing w:after="80" w:before="60"/>
        <w:jc w:val="left"/>
      </w:pPr>
      <w:r>
        <w:rPr>
          <w:rFonts w:ascii="Arial" w:cs="Arial" w:eastAsia="Arial" w:hAnsi="Arial"/>
          <w:i w:val="false"/>
          <w:iCs w:val="false"/>
          <w:color w:val="404040"/>
          <w:sz w:val="22"/>
          <w:szCs w:val="22"/>
        </w:rPr>
        <w:t xml:space="preserve">Before executive briefing, HR and CM leadership should also assess current coverage for the following critical roles. Each role should have a primary holder and an identified successor at the appropriate tier:</w:t>
      </w:r>
    </w:p>
    <w:p>
      <w:pPr>
        <w:pStyle w:val="ListParagraph"/>
        <w:numPr>
          <w:ilvl w:val="0"/>
          <w:numId w:val="2"/>
        </w:numPr>
        <w:spacing w:after="40" w:before="40"/>
      </w:pPr>
      <w:r>
        <w:rPr>
          <w:rFonts w:ascii="Arial" w:cs="Arial" w:eastAsia="Arial" w:hAnsi="Arial"/>
          <w:color w:val="404040"/>
          <w:sz w:val="22"/>
          <w:szCs w:val="22"/>
        </w:rPr>
        <w:t xml:space="preserve">CI Selection Lead (per program) — Tier 3 required</w:t>
      </w:r>
    </w:p>
    <w:p>
      <w:pPr>
        <w:pStyle w:val="ListParagraph"/>
        <w:numPr>
          <w:ilvl w:val="0"/>
          <w:numId w:val="2"/>
        </w:numPr>
        <w:spacing w:after="40" w:before="40"/>
      </w:pPr>
      <w:r>
        <w:rPr>
          <w:rFonts w:ascii="Arial" w:cs="Arial" w:eastAsia="Arial" w:hAnsi="Arial"/>
          <w:color w:val="404040"/>
          <w:sz w:val="22"/>
          <w:szCs w:val="22"/>
        </w:rPr>
        <w:t xml:space="preserve">ECP Classification Authority (per program) — Tier 3 required</w:t>
      </w:r>
    </w:p>
    <w:p>
      <w:pPr>
        <w:pStyle w:val="ListParagraph"/>
        <w:numPr>
          <w:ilvl w:val="0"/>
          <w:numId w:val="2"/>
        </w:numPr>
        <w:spacing w:after="40" w:before="40"/>
      </w:pPr>
      <w:r>
        <w:rPr>
          <w:rFonts w:ascii="Arial" w:cs="Arial" w:eastAsia="Arial" w:hAnsi="Arial"/>
          <w:color w:val="404040"/>
          <w:sz w:val="22"/>
          <w:szCs w:val="22"/>
        </w:rPr>
        <w:t xml:space="preserve">FCA Lead (per program) — Tier 3 required</w:t>
      </w:r>
    </w:p>
    <w:p>
      <w:pPr>
        <w:pStyle w:val="ListParagraph"/>
        <w:numPr>
          <w:ilvl w:val="0"/>
          <w:numId w:val="2"/>
        </w:numPr>
        <w:spacing w:after="40" w:before="40"/>
      </w:pPr>
      <w:r>
        <w:rPr>
          <w:rFonts w:ascii="Arial" w:cs="Arial" w:eastAsia="Arial" w:hAnsi="Arial"/>
          <w:color w:val="404040"/>
          <w:sz w:val="22"/>
          <w:szCs w:val="22"/>
        </w:rPr>
        <w:t xml:space="preserve">PCA Lead (per program) — Tier 3 required</w:t>
      </w:r>
    </w:p>
    <w:p>
      <w:pPr>
        <w:pStyle w:val="ListParagraph"/>
        <w:numPr>
          <w:ilvl w:val="0"/>
          <w:numId w:val="2"/>
        </w:numPr>
        <w:spacing w:after="40" w:before="40"/>
      </w:pPr>
      <w:r>
        <w:rPr>
          <w:rFonts w:ascii="Arial" w:cs="Arial" w:eastAsia="Arial" w:hAnsi="Arial"/>
          <w:color w:val="404040"/>
          <w:sz w:val="22"/>
          <w:szCs w:val="22"/>
        </w:rPr>
        <w:t xml:space="preserve">CSA System Owner (enterprise) — Tier 2 minimum, Tier 3 preferred</w:t>
      </w:r>
    </w:p>
    <w:p>
      <w:pPr>
        <w:pStyle w:val="ListParagraph"/>
        <w:numPr>
          <w:ilvl w:val="0"/>
          <w:numId w:val="2"/>
        </w:numPr>
        <w:spacing w:after="40" w:before="40"/>
      </w:pPr>
      <w:r>
        <w:rPr>
          <w:rFonts w:ascii="Arial" w:cs="Arial" w:eastAsia="Arial" w:hAnsi="Arial"/>
          <w:color w:val="404040"/>
          <w:sz w:val="22"/>
          <w:szCs w:val="22"/>
        </w:rPr>
        <w:t xml:space="preserve">CMP Owner / Acquirer Interface (per program) — Tier 3 or Tier 4 required</w:t>
      </w:r>
    </w:p>
    <w:p>
      <w:pPr>
        <w:pStyle w:val="ListParagraph"/>
        <w:numPr>
          <w:ilvl w:val="0"/>
          <w:numId w:val="2"/>
        </w:numPr>
        <w:spacing w:after="40" w:before="40"/>
      </w:pPr>
      <w:r>
        <w:rPr>
          <w:rFonts w:ascii="Arial" w:cs="Arial" w:eastAsia="Arial" w:hAnsi="Arial"/>
          <w:color w:val="404040"/>
          <w:sz w:val="22"/>
          <w:szCs w:val="22"/>
        </w:rPr>
        <w:t xml:space="preserve">Enterprise CM Standards Owner — Tier 4 required</w:t>
      </w:r>
    </w:p>
    <w:p>
      <w:pPr>
        <w:pStyle w:val="ListParagraph"/>
        <w:numPr>
          <w:ilvl w:val="0"/>
          <w:numId w:val="2"/>
        </w:numPr>
        <w:spacing w:after="40" w:before="40"/>
      </w:pPr>
      <w:r>
        <w:rPr>
          <w:rFonts w:ascii="Arial" w:cs="Arial" w:eastAsia="Arial" w:hAnsi="Arial"/>
          <w:color w:val="404040"/>
          <w:sz w:val="22"/>
          <w:szCs w:val="22"/>
        </w:rPr>
        <w:t xml:space="preserve">ICWG Representative (per applicable program) — Tier 3 required</w:t>
      </w:r>
    </w:p>
    <w:p>
      <w:pPr>
        <w:spacing w:after="0" w:before="80"/>
      </w:pPr>
    </w:p>
    <w:tbl>
      <w:tblPr>
        <w:tblW w:type="dxa" w:w="9360"/>
        <w:tblBorders>
          <w:top w:val="single" w:color="2E5F8A" w:sz="8"/>
          <w:left w:val="single" w:color="2E5F8A" w:sz="8"/>
          <w:bottom w:val="single" w:color="2E5F8A" w:sz="8"/>
          <w:right w:val="single" w:color="2E5F8A" w:sz="8"/>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BDD7EE" w:val="clear"/>
            <w:tcMar>
              <w:top w:type="dxa" w:w="100"/>
              <w:left w:type="dxa" w:w="200"/>
              <w:bottom w:type="dxa" w:w="100"/>
              <w:right w:type="dxa" w:w="200"/>
            </w:tcMar>
          </w:tcPr>
          <w:p>
            <w:pPr>
              <w:spacing w:after="40" w:before="40"/>
            </w:pPr>
            <w:r>
              <w:rPr>
                <w:rFonts w:ascii="Arial" w:cs="Arial" w:eastAsia="Arial" w:hAnsi="Arial"/>
                <w:b/>
                <w:bCs/>
                <w:color w:val="1F3864"/>
                <w:sz w:val="22"/>
                <w:szCs w:val="22"/>
              </w:rPr>
              <w:t xml:space="preserve">Suggested Format for Executive Discussion</w:t>
            </w:r>
          </w:p>
        </w:tc>
      </w:tr>
      <w:tr>
        <w:tc>
          <w:tcPr>
            <w:tcW w:type="dxa" w:w="9360"/>
            <w:tcBorders>
              <w:top w:val="none" w:color="FFFFFF" w:sz="0"/>
              <w:left w:val="none" w:color="FFFFFF" w:sz="0"/>
              <w:bottom w:val="none" w:color="FFFFFF" w:sz="0"/>
              <w:right w:val="none" w:color="FFFFFF" w:sz="0"/>
            </w:tcBorders>
            <w:shd w:fill="D5E8F0" w:val="clear"/>
            <w:tcMar>
              <w:top w:type="dxa" w:w="80"/>
              <w:left w:type="dxa" w:w="200"/>
              <w:bottom w:type="dxa" w:w="80"/>
              <w:right w:type="dxa" w:w="200"/>
            </w:tcMar>
          </w:tcPr>
          <w:p>
            <w:pPr>
              <w:spacing w:after="40" w:before="40"/>
            </w:pPr>
            <w:r>
              <w:rPr>
                <w:rFonts w:ascii="Arial" w:cs="Arial" w:eastAsia="Arial" w:hAnsi="Arial"/>
                <w:color w:val="404040"/>
                <w:sz w:val="20"/>
                <w:szCs w:val="20"/>
              </w:rPr>
              <w:t xml:space="preserve">For each program: identify the named individual currently holding each critical role and their tier qualification.</w:t>
            </w:r>
          </w:p>
        </w:tc>
      </w:tr>
      <w:tr>
        <w:tc>
          <w:tcPr>
            <w:tcW w:type="dxa" w:w="9360"/>
            <w:tcBorders>
              <w:top w:val="none" w:color="FFFFFF" w:sz="0"/>
              <w:left w:val="none" w:color="FFFFFF" w:sz="0"/>
              <w:bottom w:val="none" w:color="FFFFFF" w:sz="0"/>
              <w:right w:val="none" w:color="FFFFFF" w:sz="0"/>
            </w:tcBorders>
            <w:shd w:fill="D5E8F0" w:val="clear"/>
            <w:tcMar>
              <w:top w:type="dxa" w:w="80"/>
              <w:left w:type="dxa" w:w="200"/>
              <w:bottom w:type="dxa" w:w="80"/>
              <w:right w:type="dxa" w:w="200"/>
            </w:tcMar>
          </w:tcPr>
          <w:p>
            <w:pPr>
              <w:spacing w:after="40" w:before="40"/>
            </w:pPr>
            <w:r>
              <w:rPr>
                <w:rFonts w:ascii="Arial" w:cs="Arial" w:eastAsia="Arial" w:hAnsi="Arial"/>
                <w:color w:val="404040"/>
                <w:sz w:val="20"/>
                <w:szCs w:val="20"/>
              </w:rPr>
              <w:t xml:space="preserve">Where the current holder is below tier qualification, identify the development plan or external hiring action.</w:t>
            </w:r>
          </w:p>
        </w:tc>
      </w:tr>
      <w:tr>
        <w:tc>
          <w:tcPr>
            <w:tcW w:type="dxa" w:w="9360"/>
            <w:tcBorders>
              <w:top w:val="none" w:color="FFFFFF" w:sz="0"/>
              <w:left w:val="none" w:color="FFFFFF" w:sz="0"/>
              <w:bottom w:val="none" w:color="FFFFFF" w:sz="0"/>
              <w:right w:val="none" w:color="FFFFFF" w:sz="0"/>
            </w:tcBorders>
            <w:shd w:fill="D5E8F0" w:val="clear"/>
            <w:tcMar>
              <w:top w:type="dxa" w:w="80"/>
              <w:left w:type="dxa" w:w="200"/>
              <w:bottom w:type="dxa" w:w="80"/>
              <w:right w:type="dxa" w:w="200"/>
            </w:tcMar>
          </w:tcPr>
          <w:p>
            <w:pPr>
              <w:spacing w:after="40" w:before="40"/>
            </w:pPr>
            <w:r>
              <w:rPr>
                <w:rFonts w:ascii="Arial" w:cs="Arial" w:eastAsia="Arial" w:hAnsi="Arial"/>
                <w:color w:val="404040"/>
                <w:sz w:val="20"/>
                <w:szCs w:val="20"/>
              </w:rPr>
              <w:t xml:space="preserve">Where no holder is identified, designate that role as a coverage gap requiring immediate attention.</w:t>
            </w:r>
          </w:p>
        </w:tc>
      </w:tr>
      <w:tr>
        <w:tc>
          <w:tcPr>
            <w:tcW w:type="dxa" w:w="9360"/>
            <w:tcBorders>
              <w:top w:val="none" w:color="FFFFFF" w:sz="0"/>
              <w:left w:val="none" w:color="FFFFFF" w:sz="0"/>
              <w:bottom w:val="none" w:color="FFFFFF" w:sz="0"/>
              <w:right w:val="none" w:color="FFFFFF" w:sz="0"/>
            </w:tcBorders>
            <w:shd w:fill="D5E8F0" w:val="clear"/>
            <w:tcMar>
              <w:top w:type="dxa" w:w="80"/>
              <w:left w:type="dxa" w:w="200"/>
              <w:bottom w:type="dxa" w:w="80"/>
              <w:right w:type="dxa" w:w="200"/>
            </w:tcMar>
          </w:tcPr>
          <w:p>
            <w:pPr>
              <w:spacing w:after="40" w:before="40"/>
            </w:pPr>
            <w:r>
              <w:rPr>
                <w:rFonts w:ascii="Arial" w:cs="Arial" w:eastAsia="Arial" w:hAnsi="Arial"/>
                <w:color w:val="404040"/>
                <w:sz w:val="20"/>
                <w:szCs w:val="20"/>
              </w:rPr>
              <w:t xml:space="preserve">This is the artifact that converts the abstract workforce model into a concrete decision.</w:t>
            </w:r>
          </w:p>
        </w:tc>
      </w:tr>
    </w:tbl>
    <w:p>
      <w:r>
        <w:br w:type="page"/>
      </w:r>
    </w:p>
    <w:p>
      <w:pPr>
        <w:pStyle w:val="Heading1"/>
        <w:shd w:fill="1F3864" w:val="clear"/>
        <w:spacing w:after="120" w:before="240"/>
        <w:ind w:left="120"/>
      </w:pPr>
      <w:r>
        <w:rPr>
          <w:rFonts w:ascii="Arial" w:cs="Arial" w:eastAsia="Arial" w:hAnsi="Arial"/>
          <w:b/>
          <w:bCs/>
          <w:color w:val="FFFFFF"/>
          <w:sz w:val="36"/>
          <w:szCs w:val="36"/>
        </w:rPr>
        <w:t xml:space="preserve">IMPLEMENTATION PLAN: 90 / 180 / 365 DAYS</w:t>
      </w:r>
    </w:p>
    <w:p>
      <w:pPr>
        <w:spacing w:after="0" w:before="80"/>
      </w:pPr>
    </w:p>
    <w:p>
      <w:pPr>
        <w:spacing w:after="100" w:before="80"/>
        <w:jc w:val="left"/>
      </w:pPr>
      <w:r>
        <w:rPr>
          <w:rFonts w:ascii="Arial" w:cs="Arial" w:eastAsia="Arial" w:hAnsi="Arial"/>
          <w:i w:val="false"/>
          <w:iCs w:val="false"/>
          <w:color w:val="404040"/>
          <w:sz w:val="22"/>
          <w:szCs w:val="22"/>
        </w:rPr>
        <w:t xml:space="preserve">The recommendations of this analysis cannot all be executed at once. The following phased plan sequences the actions in order of urgency and dependency. The plan assumes executive approval of the workforce model. Specific dates and owners should be assigned by the CM organization and HR jointly upon approval.</w:t>
      </w:r>
    </w:p>
    <w:p>
      <w:pPr>
        <w:spacing w:after="0" w:before="80"/>
      </w:pPr>
    </w:p>
    <w:p>
      <w:pPr>
        <w:pStyle w:val="Heading2"/>
        <w:shd w:fill="2E5F8A" w:val="clear"/>
        <w:spacing w:after="80" w:before="200"/>
        <w:ind w:left="120"/>
      </w:pPr>
      <w:r>
        <w:rPr>
          <w:rFonts w:ascii="Arial" w:cs="Arial" w:eastAsia="Arial" w:hAnsi="Arial"/>
          <w:b/>
          <w:bCs/>
          <w:color w:val="FFFFFF"/>
          <w:sz w:val="28"/>
          <w:szCs w:val="28"/>
        </w:rPr>
        <w:t xml:space="preserve">Days 0–90: Foundation</w:t>
      </w:r>
    </w:p>
    <w:p>
      <w:pPr>
        <w:spacing w:after="0" w:before="40"/>
      </w:pPr>
    </w:p>
    <w:p>
      <w:pPr>
        <w:pStyle w:val="Heading3"/>
        <w:pBdr>
          <w:bottom w:val="single" w:color="2E5F8A" w:sz="6"/>
        </w:pBdr>
        <w:spacing w:after="80" w:before="160"/>
      </w:pPr>
      <w:r>
        <w:rPr>
          <w:rFonts w:ascii="Arial" w:cs="Arial" w:eastAsia="Arial" w:hAnsi="Arial"/>
          <w:b/>
          <w:bCs/>
          <w:color w:val="1F3864"/>
          <w:sz w:val="24"/>
          <w:szCs w:val="24"/>
        </w:rPr>
        <w:t xml:space="preserve">Goal: Establish the framework, identify the gap, and begin recognition.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AAAAAA" w:sz="4"/>
              <w:left w:val="single" w:color="AAAAAA" w:sz="4"/>
              <w:bottom w:val="single" w:color="AAAAAA" w:sz="4"/>
              <w:right w:val="single" w:color="AAAAAA" w:sz="4"/>
            </w:tcBorders>
            <w:shd w:fill="1F3864" w:val="clear"/>
            <w:tcMar>
              <w:top w:type="dxa" w:w="100"/>
              <w:left w:type="dxa" w:w="120"/>
              <w:bottom w:type="dxa" w:w="100"/>
              <w:right w:type="dxa" w:w="120"/>
            </w:tcMar>
            <w:vAlign w:val="center"/>
          </w:tcPr>
          <w:p>
            <w:pPr>
              <w:spacing w:after="40" w:before="40"/>
              <w:jc w:val="center"/>
            </w:pPr>
            <w:r>
              <w:rPr>
                <w:rFonts w:ascii="Arial" w:cs="Arial" w:eastAsia="Arial" w:hAnsi="Arial"/>
                <w:b/>
                <w:bCs/>
                <w:color w:val="FFFFFF"/>
                <w:sz w:val="20"/>
                <w:szCs w:val="20"/>
              </w:rPr>
              <w:t xml:space="preserve">Action</w:t>
            </w:r>
          </w:p>
        </w:tc>
        <w:tc>
          <w:tcPr>
            <w:tcW w:type="dxa" w:w="4680"/>
            <w:tcBorders>
              <w:top w:val="single" w:color="AAAAAA" w:sz="4"/>
              <w:left w:val="single" w:color="AAAAAA" w:sz="4"/>
              <w:bottom w:val="single" w:color="AAAAAA" w:sz="4"/>
              <w:right w:val="single" w:color="AAAAAA" w:sz="4"/>
            </w:tcBorders>
            <w:shd w:fill="1F3864" w:val="clear"/>
            <w:tcMar>
              <w:top w:type="dxa" w:w="100"/>
              <w:left w:type="dxa" w:w="120"/>
              <w:bottom w:type="dxa" w:w="100"/>
              <w:right w:type="dxa" w:w="120"/>
            </w:tcMar>
            <w:vAlign w:val="center"/>
          </w:tcPr>
          <w:p>
            <w:pPr>
              <w:spacing w:after="40" w:before="40"/>
              <w:jc w:val="center"/>
            </w:pPr>
            <w:r>
              <w:rPr>
                <w:rFonts w:ascii="Arial" w:cs="Arial" w:eastAsia="Arial" w:hAnsi="Arial"/>
                <w:b/>
                <w:bCs/>
                <w:color w:val="FFFFFF"/>
                <w:sz w:val="20"/>
                <w:szCs w:val="20"/>
              </w:rPr>
              <w:t xml:space="preserve">Owner</w:t>
            </w:r>
          </w:p>
        </w:tc>
      </w:tr>
      <w:tr>
        <w:tc>
          <w:tcPr>
            <w:tcW w:type="dxa" w:w="28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2E5F8A"/>
                <w:sz w:val="19"/>
                <w:szCs w:val="19"/>
              </w:rPr>
              <w:t xml:space="preserve">Approve and publish the four-tier CM workforce model as enterprise CM policy.</w:t>
            </w:r>
          </w:p>
        </w:tc>
        <w:tc>
          <w:tcPr>
            <w:tcW w:type="dxa" w:w="64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9"/>
                <w:szCs w:val="19"/>
              </w:rPr>
              <w:t xml:space="preserve">Executive Leadership + Senior CM Leadership</w:t>
            </w:r>
          </w:p>
        </w:tc>
      </w:tr>
      <w:tr>
        <w:tc>
          <w:tcPr>
            <w:tcW w:type="dxa" w:w="28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bCs/>
                <w:color w:val="2E5F8A"/>
                <w:sz w:val="19"/>
                <w:szCs w:val="19"/>
              </w:rPr>
              <w:t xml:space="preserve">Complete the Current State Gap Assessment: actual current headcount by tier; identify named holders for all critical roles.</w:t>
            </w:r>
          </w:p>
        </w:tc>
        <w:tc>
          <w:tcPr>
            <w:tcW w:type="dxa" w:w="64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9"/>
                <w:szCs w:val="19"/>
              </w:rPr>
              <w:t xml:space="preserve">Senior CM Leadership + HR</w:t>
            </w:r>
          </w:p>
        </w:tc>
      </w:tr>
      <w:tr>
        <w:tc>
          <w:tcPr>
            <w:tcW w:type="dxa" w:w="28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2E5F8A"/>
                <w:sz w:val="19"/>
                <w:szCs w:val="19"/>
              </w:rPr>
              <w:t xml:space="preserve">Update HR position descriptions for Tier 1 through Tier 4 roles. Include explicit equivalency language and the Two-Gate Equivalency Test.</w:t>
            </w:r>
          </w:p>
        </w:tc>
        <w:tc>
          <w:tcPr>
            <w:tcW w:type="dxa" w:w="64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9"/>
                <w:szCs w:val="19"/>
              </w:rPr>
              <w:t xml:space="preserve">HR + Senior CM Leadership</w:t>
            </w:r>
          </w:p>
        </w:tc>
      </w:tr>
      <w:tr>
        <w:tc>
          <w:tcPr>
            <w:tcW w:type="dxa" w:w="28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bCs/>
                <w:color w:val="2E5F8A"/>
                <w:sz w:val="19"/>
                <w:szCs w:val="19"/>
              </w:rPr>
              <w:t xml:space="preserve">Formally designate current Tier 4 SMEs (including equivalency-qualified personnel). Recognize the Ph.D. SME in nuclear weapons manufacturing history as the documented exemplar of the equivalency pathway.</w:t>
            </w:r>
          </w:p>
        </w:tc>
        <w:tc>
          <w:tcPr>
            <w:tcW w:type="dxa" w:w="64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9"/>
                <w:szCs w:val="19"/>
              </w:rPr>
              <w:t xml:space="preserve">Senior CM Leadership + HR</w:t>
            </w:r>
          </w:p>
        </w:tc>
      </w:tr>
      <w:tr>
        <w:tc>
          <w:tcPr>
            <w:tcW w:type="dxa" w:w="28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2E5F8A"/>
                <w:sz w:val="19"/>
                <w:szCs w:val="19"/>
              </w:rPr>
              <w:t xml:space="preserve">Initiate Configuration Status Accounting tool evaluation: define requirements, issue RFI to PLM/PDM vendors (Windchill, Teamcenter, ENOVIA, or equivalent).</w:t>
            </w:r>
          </w:p>
        </w:tc>
        <w:tc>
          <w:tcPr>
            <w:tcW w:type="dxa" w:w="64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9"/>
                <w:szCs w:val="19"/>
              </w:rPr>
              <w:t xml:space="preserve">CM Tool Evaluation Team</w:t>
            </w:r>
          </w:p>
        </w:tc>
      </w:tr>
      <w:tr>
        <w:tc>
          <w:tcPr>
            <w:tcW w:type="dxa" w:w="28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bCs/>
                <w:color w:val="2E5F8A"/>
                <w:sz w:val="19"/>
                <w:szCs w:val="19"/>
              </w:rPr>
              <w:t xml:space="preserve">Communicate the workforce model to the existing CM organization. Emphasize that Tier 1 personnel are retained, valued, and provided with a development pathway.</w:t>
            </w:r>
          </w:p>
        </w:tc>
        <w:tc>
          <w:tcPr>
            <w:tcW w:type="dxa" w:w="64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9"/>
                <w:szCs w:val="19"/>
              </w:rPr>
              <w:t xml:space="preserve">Senior CM Leadership</w:t>
            </w:r>
          </w:p>
        </w:tc>
      </w:tr>
    </w:tbl>
    <w:p>
      <w:pPr>
        <w:spacing w:after="0" w:before="120"/>
      </w:pPr>
    </w:p>
    <w:p>
      <w:pPr>
        <w:pStyle w:val="Heading2"/>
        <w:shd w:fill="2E5F8A" w:val="clear"/>
        <w:spacing w:after="80" w:before="200"/>
        <w:ind w:left="120"/>
      </w:pPr>
      <w:r>
        <w:rPr>
          <w:rFonts w:ascii="Arial" w:cs="Arial" w:eastAsia="Arial" w:hAnsi="Arial"/>
          <w:b/>
          <w:bCs/>
          <w:color w:val="FFFFFF"/>
          <w:sz w:val="28"/>
          <w:szCs w:val="28"/>
        </w:rPr>
        <w:t xml:space="preserve">Days 91–180: Activation</w:t>
      </w:r>
    </w:p>
    <w:p>
      <w:pPr>
        <w:spacing w:after="0" w:before="40"/>
      </w:pPr>
    </w:p>
    <w:p>
      <w:pPr>
        <w:pStyle w:val="Heading3"/>
        <w:pBdr>
          <w:bottom w:val="single" w:color="2E5F8A" w:sz="6"/>
        </w:pBdr>
        <w:spacing w:after="80" w:before="160"/>
      </w:pPr>
      <w:r>
        <w:rPr>
          <w:rFonts w:ascii="Arial" w:cs="Arial" w:eastAsia="Arial" w:hAnsi="Arial"/>
          <w:b/>
          <w:bCs/>
          <w:color w:val="1F3864"/>
          <w:sz w:val="24"/>
          <w:szCs w:val="24"/>
        </w:rPr>
        <w:t xml:space="preserve">Goal: Begin hiring, training, and tool acquisition.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AAAAAA" w:sz="4"/>
              <w:left w:val="single" w:color="AAAAAA" w:sz="4"/>
              <w:bottom w:val="single" w:color="AAAAAA" w:sz="4"/>
              <w:right w:val="single" w:color="AAAAAA" w:sz="4"/>
            </w:tcBorders>
            <w:shd w:fill="1F3864" w:val="clear"/>
            <w:tcMar>
              <w:top w:type="dxa" w:w="100"/>
              <w:left w:type="dxa" w:w="120"/>
              <w:bottom w:type="dxa" w:w="100"/>
              <w:right w:type="dxa" w:w="120"/>
            </w:tcMar>
            <w:vAlign w:val="center"/>
          </w:tcPr>
          <w:p>
            <w:pPr>
              <w:spacing w:after="40" w:before="40"/>
              <w:jc w:val="center"/>
            </w:pPr>
            <w:r>
              <w:rPr>
                <w:rFonts w:ascii="Arial" w:cs="Arial" w:eastAsia="Arial" w:hAnsi="Arial"/>
                <w:b/>
                <w:bCs/>
                <w:color w:val="FFFFFF"/>
                <w:sz w:val="20"/>
                <w:szCs w:val="20"/>
              </w:rPr>
              <w:t xml:space="preserve">Action</w:t>
            </w:r>
          </w:p>
        </w:tc>
        <w:tc>
          <w:tcPr>
            <w:tcW w:type="dxa" w:w="4680"/>
            <w:tcBorders>
              <w:top w:val="single" w:color="AAAAAA" w:sz="4"/>
              <w:left w:val="single" w:color="AAAAAA" w:sz="4"/>
              <w:bottom w:val="single" w:color="AAAAAA" w:sz="4"/>
              <w:right w:val="single" w:color="AAAAAA" w:sz="4"/>
            </w:tcBorders>
            <w:shd w:fill="1F3864" w:val="clear"/>
            <w:tcMar>
              <w:top w:type="dxa" w:w="100"/>
              <w:left w:type="dxa" w:w="120"/>
              <w:bottom w:type="dxa" w:w="100"/>
              <w:right w:type="dxa" w:w="120"/>
            </w:tcMar>
            <w:vAlign w:val="center"/>
          </w:tcPr>
          <w:p>
            <w:pPr>
              <w:spacing w:after="40" w:before="40"/>
              <w:jc w:val="center"/>
            </w:pPr>
            <w:r>
              <w:rPr>
                <w:rFonts w:ascii="Arial" w:cs="Arial" w:eastAsia="Arial" w:hAnsi="Arial"/>
                <w:b/>
                <w:bCs/>
                <w:color w:val="FFFFFF"/>
                <w:sz w:val="20"/>
                <w:szCs w:val="20"/>
              </w:rPr>
              <w:t xml:space="preserve">Owner</w:t>
            </w:r>
          </w:p>
        </w:tc>
      </w:tr>
      <w:tr>
        <w:tc>
          <w:tcPr>
            <w:tcW w:type="dxa" w:w="28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2E5F8A"/>
                <w:sz w:val="19"/>
                <w:szCs w:val="19"/>
              </w:rPr>
              <w:t xml:space="preserve">Begin external hiring against Tier 3 CM Engineer requisitions for critical roles identified as gaps in the assessment.</w:t>
            </w:r>
          </w:p>
        </w:tc>
        <w:tc>
          <w:tcPr>
            <w:tcW w:type="dxa" w:w="64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9"/>
                <w:szCs w:val="19"/>
              </w:rPr>
              <w:t xml:space="preserve">HR + Senior CM Leadership</w:t>
            </w:r>
          </w:p>
        </w:tc>
      </w:tr>
      <w:tr>
        <w:tc>
          <w:tcPr>
            <w:tcW w:type="dxa" w:w="28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bCs/>
                <w:color w:val="2E5F8A"/>
                <w:sz w:val="19"/>
                <w:szCs w:val="19"/>
              </w:rPr>
              <w:t xml:space="preserve">Launch tuition assistance program for Tier 1 personnel pursuing B.S.E.T. credentials. Identify candidates and approve enrollment.</w:t>
            </w:r>
          </w:p>
        </w:tc>
        <w:tc>
          <w:tcPr>
            <w:tcW w:type="dxa" w:w="64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9"/>
                <w:szCs w:val="19"/>
              </w:rPr>
              <w:t xml:space="preserve">HR + L&amp;D + Senior CM Leadership</w:t>
            </w:r>
          </w:p>
        </w:tc>
      </w:tr>
      <w:tr>
        <w:tc>
          <w:tcPr>
            <w:tcW w:type="dxa" w:w="28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2E5F8A"/>
                <w:sz w:val="19"/>
                <w:szCs w:val="19"/>
              </w:rPr>
              <w:t xml:space="preserve">Award CSA tool contract; begin implementation planning.</w:t>
            </w:r>
          </w:p>
        </w:tc>
        <w:tc>
          <w:tcPr>
            <w:tcW w:type="dxa" w:w="64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9"/>
                <w:szCs w:val="19"/>
              </w:rPr>
              <w:t xml:space="preserve">CM Tool Evaluation Team + IT</w:t>
            </w:r>
          </w:p>
        </w:tc>
      </w:tr>
      <w:tr>
        <w:tc>
          <w:tcPr>
            <w:tcW w:type="dxa" w:w="28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bCs/>
                <w:color w:val="2E5F8A"/>
                <w:sz w:val="19"/>
                <w:szCs w:val="19"/>
              </w:rPr>
              <w:t xml:space="preserve">Require all current CM personnel to begin EIA-649-1 training (CMII, DAU, or NCMA). Set completion target of 12 months for full workforce.</w:t>
            </w:r>
          </w:p>
        </w:tc>
        <w:tc>
          <w:tcPr>
            <w:tcW w:type="dxa" w:w="64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9"/>
                <w:szCs w:val="19"/>
              </w:rPr>
              <w:t xml:space="preserve">Senior CM Leadership + L&amp;D</w:t>
            </w:r>
          </w:p>
        </w:tc>
      </w:tr>
      <w:tr>
        <w:tc>
          <w:tcPr>
            <w:tcW w:type="dxa" w:w="28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2E5F8A"/>
                <w:sz w:val="19"/>
                <w:szCs w:val="19"/>
              </w:rPr>
              <w:t xml:space="preserve">Establish formal mentorship pairs: Tier 3/4 engineers paired with Tier 1/2 personnel pursuing development.</w:t>
            </w:r>
          </w:p>
        </w:tc>
        <w:tc>
          <w:tcPr>
            <w:tcW w:type="dxa" w:w="64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9"/>
                <w:szCs w:val="19"/>
              </w:rPr>
              <w:t xml:space="preserve">Senior CM Leadership</w:t>
            </w:r>
          </w:p>
        </w:tc>
      </w:tr>
      <w:tr>
        <w:tc>
          <w:tcPr>
            <w:tcW w:type="dxa" w:w="28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bCs/>
                <w:color w:val="2E5F8A"/>
                <w:sz w:val="19"/>
                <w:szCs w:val="19"/>
              </w:rPr>
              <w:t xml:space="preserve">Hold first quarterly CM workforce review: track hiring progress, training completion, and gap closure metrics.</w:t>
            </w:r>
          </w:p>
        </w:tc>
        <w:tc>
          <w:tcPr>
            <w:tcW w:type="dxa" w:w="64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9"/>
                <w:szCs w:val="19"/>
              </w:rPr>
              <w:t xml:space="preserve">Senior CM Leadership + HR</w:t>
            </w:r>
          </w:p>
        </w:tc>
      </w:tr>
    </w:tbl>
    <w:p>
      <w:pPr>
        <w:spacing w:after="0" w:before="120"/>
      </w:pPr>
    </w:p>
    <w:p>
      <w:pPr>
        <w:pStyle w:val="Heading2"/>
        <w:shd w:fill="2E5F8A" w:val="clear"/>
        <w:spacing w:after="80" w:before="200"/>
        <w:ind w:left="120"/>
      </w:pPr>
      <w:r>
        <w:rPr>
          <w:rFonts w:ascii="Arial" w:cs="Arial" w:eastAsia="Arial" w:hAnsi="Arial"/>
          <w:b/>
          <w:bCs/>
          <w:color w:val="FFFFFF"/>
          <w:sz w:val="28"/>
          <w:szCs w:val="28"/>
        </w:rPr>
        <w:t xml:space="preserve">Days 181–365: Institutionalization</w:t>
      </w:r>
    </w:p>
    <w:p>
      <w:pPr>
        <w:spacing w:after="0" w:before="40"/>
      </w:pPr>
    </w:p>
    <w:p>
      <w:pPr>
        <w:pStyle w:val="Heading3"/>
        <w:pBdr>
          <w:bottom w:val="single" w:color="2E5F8A" w:sz="6"/>
        </w:pBdr>
        <w:spacing w:after="80" w:before="160"/>
      </w:pPr>
      <w:r>
        <w:rPr>
          <w:rFonts w:ascii="Arial" w:cs="Arial" w:eastAsia="Arial" w:hAnsi="Arial"/>
          <w:b/>
          <w:bCs/>
          <w:color w:val="1F3864"/>
          <w:sz w:val="24"/>
          <w:szCs w:val="24"/>
        </w:rPr>
        <w:t xml:space="preserve">Goal: Embed the model into ongoing operations and demonstrate measurable improvement.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AAAAAA" w:sz="4"/>
              <w:left w:val="single" w:color="AAAAAA" w:sz="4"/>
              <w:bottom w:val="single" w:color="AAAAAA" w:sz="4"/>
              <w:right w:val="single" w:color="AAAAAA" w:sz="4"/>
            </w:tcBorders>
            <w:shd w:fill="1F3864" w:val="clear"/>
            <w:tcMar>
              <w:top w:type="dxa" w:w="100"/>
              <w:left w:type="dxa" w:w="120"/>
              <w:bottom w:type="dxa" w:w="100"/>
              <w:right w:type="dxa" w:w="120"/>
            </w:tcMar>
            <w:vAlign w:val="center"/>
          </w:tcPr>
          <w:p>
            <w:pPr>
              <w:spacing w:after="40" w:before="40"/>
              <w:jc w:val="center"/>
            </w:pPr>
            <w:r>
              <w:rPr>
                <w:rFonts w:ascii="Arial" w:cs="Arial" w:eastAsia="Arial" w:hAnsi="Arial"/>
                <w:b/>
                <w:bCs/>
                <w:color w:val="FFFFFF"/>
                <w:sz w:val="20"/>
                <w:szCs w:val="20"/>
              </w:rPr>
              <w:t xml:space="preserve">Action</w:t>
            </w:r>
          </w:p>
        </w:tc>
        <w:tc>
          <w:tcPr>
            <w:tcW w:type="dxa" w:w="4680"/>
            <w:tcBorders>
              <w:top w:val="single" w:color="AAAAAA" w:sz="4"/>
              <w:left w:val="single" w:color="AAAAAA" w:sz="4"/>
              <w:bottom w:val="single" w:color="AAAAAA" w:sz="4"/>
              <w:right w:val="single" w:color="AAAAAA" w:sz="4"/>
            </w:tcBorders>
            <w:shd w:fill="1F3864" w:val="clear"/>
            <w:tcMar>
              <w:top w:type="dxa" w:w="100"/>
              <w:left w:type="dxa" w:w="120"/>
              <w:bottom w:type="dxa" w:w="100"/>
              <w:right w:type="dxa" w:w="120"/>
            </w:tcMar>
            <w:vAlign w:val="center"/>
          </w:tcPr>
          <w:p>
            <w:pPr>
              <w:spacing w:after="40" w:before="40"/>
              <w:jc w:val="center"/>
            </w:pPr>
            <w:r>
              <w:rPr>
                <w:rFonts w:ascii="Arial" w:cs="Arial" w:eastAsia="Arial" w:hAnsi="Arial"/>
                <w:b/>
                <w:bCs/>
                <w:color w:val="FFFFFF"/>
                <w:sz w:val="20"/>
                <w:szCs w:val="20"/>
              </w:rPr>
              <w:t xml:space="preserve">Owner</w:t>
            </w:r>
          </w:p>
        </w:tc>
      </w:tr>
      <w:tr>
        <w:tc>
          <w:tcPr>
            <w:tcW w:type="dxa" w:w="28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2E5F8A"/>
                <w:sz w:val="19"/>
                <w:szCs w:val="19"/>
              </w:rPr>
              <w:t xml:space="preserve">Complete Tier 3 hiring for all critical-role gaps identified in the Current State Gap Assessment.</w:t>
            </w:r>
          </w:p>
        </w:tc>
        <w:tc>
          <w:tcPr>
            <w:tcW w:type="dxa" w:w="64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9"/>
                <w:szCs w:val="19"/>
              </w:rPr>
              <w:t xml:space="preserve">HR + Senior CM Leadership</w:t>
            </w:r>
          </w:p>
        </w:tc>
      </w:tr>
      <w:tr>
        <w:tc>
          <w:tcPr>
            <w:tcW w:type="dxa" w:w="28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bCs/>
                <w:color w:val="2E5F8A"/>
                <w:sz w:val="19"/>
                <w:szCs w:val="19"/>
              </w:rPr>
              <w:t xml:space="preserve">Complete CSA tool implementation; begin migration of legacy CSA data; validate Design-to-Procurement-to-Build traceability.</w:t>
            </w:r>
          </w:p>
        </w:tc>
        <w:tc>
          <w:tcPr>
            <w:tcW w:type="dxa" w:w="64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9"/>
                <w:szCs w:val="19"/>
              </w:rPr>
              <w:t xml:space="preserve">CM Tool Implementation Team</w:t>
            </w:r>
          </w:p>
        </w:tc>
      </w:tr>
      <w:tr>
        <w:tc>
          <w:tcPr>
            <w:tcW w:type="dxa" w:w="28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2E5F8A"/>
                <w:sz w:val="19"/>
                <w:szCs w:val="19"/>
              </w:rPr>
              <w:t xml:space="preserve">Conduct first internal CM compliance audit using the new workforce model. Identify residual gaps.</w:t>
            </w:r>
          </w:p>
        </w:tc>
        <w:tc>
          <w:tcPr>
            <w:tcW w:type="dxa" w:w="64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9"/>
                <w:szCs w:val="19"/>
              </w:rPr>
              <w:t xml:space="preserve">Internal Audit + Senior CM Leadership</w:t>
            </w:r>
          </w:p>
        </w:tc>
      </w:tr>
      <w:tr>
        <w:tc>
          <w:tcPr>
            <w:tcW w:type="dxa" w:w="28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bCs/>
                <w:color w:val="2E5F8A"/>
                <w:sz w:val="19"/>
                <w:szCs w:val="19"/>
              </w:rPr>
              <w:t xml:space="preserve">Achieve 100% EIA-649-1 training completion across the CM workforce.</w:t>
            </w:r>
          </w:p>
        </w:tc>
        <w:tc>
          <w:tcPr>
            <w:tcW w:type="dxa" w:w="64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9"/>
                <w:szCs w:val="19"/>
              </w:rPr>
              <w:t xml:space="preserve">L&amp;D + Senior CM Leadership</w:t>
            </w:r>
          </w:p>
        </w:tc>
      </w:tr>
      <w:tr>
        <w:tc>
          <w:tcPr>
            <w:tcW w:type="dxa" w:w="28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2E5F8A"/>
                <w:sz w:val="19"/>
                <w:szCs w:val="19"/>
              </w:rPr>
              <w:t xml:space="preserve">Publish first annual CM Workforce Report to executive leadership documenting hiring, development, attrition, performance metrics, and compliance posture.</w:t>
            </w:r>
          </w:p>
        </w:tc>
        <w:tc>
          <w:tcPr>
            <w:tcW w:type="dxa" w:w="64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9"/>
                <w:szCs w:val="19"/>
              </w:rPr>
              <w:t xml:space="preserve">Senior CM Leadership</w:t>
            </w:r>
          </w:p>
        </w:tc>
      </w:tr>
      <w:tr>
        <w:tc>
          <w:tcPr>
            <w:tcW w:type="dxa" w:w="28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bCs/>
                <w:color w:val="2E5F8A"/>
                <w:sz w:val="19"/>
                <w:szCs w:val="19"/>
              </w:rPr>
              <w:t xml:space="preserve">Benchmark against industry peers: update peer comparison data; assess company position relative to Lockheed Martin, Northrop Grumman, Boeing, and Raytheon.</w:t>
            </w:r>
          </w:p>
        </w:tc>
        <w:tc>
          <w:tcPr>
            <w:tcW w:type="dxa" w:w="64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9"/>
                <w:szCs w:val="19"/>
              </w:rPr>
              <w:t xml:space="preserve">Senior CM Leadership + HR</w:t>
            </w:r>
          </w:p>
        </w:tc>
      </w:tr>
      <w:tr>
        <w:tc>
          <w:tcPr>
            <w:tcW w:type="dxa" w:w="28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2E5F8A"/>
                <w:sz w:val="19"/>
                <w:szCs w:val="19"/>
              </w:rPr>
              <w:t xml:space="preserve">Recognize Tier 1 personnel completing B.S.E.T. credentials; promote into Tier 2 roles as appropriate.</w:t>
            </w:r>
          </w:p>
        </w:tc>
        <w:tc>
          <w:tcPr>
            <w:tcW w:type="dxa" w:w="64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9"/>
                <w:szCs w:val="19"/>
              </w:rPr>
              <w:t xml:space="preserve">HR + Senior CM Leadership</w:t>
            </w:r>
          </w:p>
        </w:tc>
      </w:tr>
    </w:tbl>
    <w:p>
      <w:pPr>
        <w:spacing w:after="0" w:before="120"/>
      </w:pPr>
    </w:p>
    <w:p>
      <w:pPr>
        <w:pStyle w:val="Heading3"/>
        <w:pBdr>
          <w:bottom w:val="single" w:color="2E5F8A" w:sz="6"/>
        </w:pBdr>
        <w:spacing w:after="80" w:before="160"/>
      </w:pPr>
      <w:r>
        <w:rPr>
          <w:rFonts w:ascii="Arial" w:cs="Arial" w:eastAsia="Arial" w:hAnsi="Arial"/>
          <w:b/>
          <w:bCs/>
          <w:color w:val="1F3864"/>
          <w:sz w:val="24"/>
          <w:szCs w:val="24"/>
        </w:rPr>
        <w:t xml:space="preserve">Key Success Metrics</w:t>
      </w:r>
    </w:p>
    <w:p>
      <w:pPr>
        <w:pStyle w:val="ListParagraph"/>
        <w:numPr>
          <w:ilvl w:val="0"/>
          <w:numId w:val="2"/>
        </w:numPr>
        <w:spacing w:after="40" w:before="40"/>
      </w:pPr>
      <w:r>
        <w:rPr>
          <w:rFonts w:ascii="Arial" w:cs="Arial" w:eastAsia="Arial" w:hAnsi="Arial"/>
          <w:color w:val="404040"/>
          <w:sz w:val="22"/>
          <w:szCs w:val="22"/>
        </w:rPr>
        <w:t xml:space="preserve">Tier 3 CM Engineer coverage of all critical roles (target: 100% by Day 365)</w:t>
      </w:r>
    </w:p>
    <w:p>
      <w:pPr>
        <w:pStyle w:val="ListParagraph"/>
        <w:numPr>
          <w:ilvl w:val="0"/>
          <w:numId w:val="2"/>
        </w:numPr>
        <w:spacing w:after="40" w:before="40"/>
      </w:pPr>
      <w:r>
        <w:rPr>
          <w:rFonts w:ascii="Arial" w:cs="Arial" w:eastAsia="Arial" w:hAnsi="Arial"/>
          <w:color w:val="404040"/>
          <w:sz w:val="22"/>
          <w:szCs w:val="22"/>
        </w:rPr>
        <w:t xml:space="preserve">EIA-649-1 training completion across the CM workforce (target: 100% by Day 365)</w:t>
      </w:r>
    </w:p>
    <w:p>
      <w:pPr>
        <w:pStyle w:val="ListParagraph"/>
        <w:numPr>
          <w:ilvl w:val="0"/>
          <w:numId w:val="2"/>
        </w:numPr>
        <w:spacing w:after="40" w:before="40"/>
      </w:pPr>
      <w:r>
        <w:rPr>
          <w:rFonts w:ascii="Arial" w:cs="Arial" w:eastAsia="Arial" w:hAnsi="Arial"/>
          <w:color w:val="404040"/>
          <w:sz w:val="22"/>
          <w:szCs w:val="22"/>
        </w:rPr>
        <w:t xml:space="preserve">CSA tool implementation and Design-to-Procurement-to-Build reconciliation operating (target: by Day 365)</w:t>
      </w:r>
    </w:p>
    <w:p>
      <w:pPr>
        <w:pStyle w:val="ListParagraph"/>
        <w:numPr>
          <w:ilvl w:val="0"/>
          <w:numId w:val="2"/>
        </w:numPr>
        <w:spacing w:after="40" w:before="40"/>
      </w:pPr>
      <w:r>
        <w:rPr>
          <w:rFonts w:ascii="Arial" w:cs="Arial" w:eastAsia="Arial" w:hAnsi="Arial"/>
          <w:color w:val="404040"/>
          <w:sz w:val="22"/>
          <w:szCs w:val="22"/>
        </w:rPr>
        <w:t xml:space="preserve">Tier 1 to Tier 2 internal promotion via tuition assistance (target: at least one per Day 365)</w:t>
      </w:r>
    </w:p>
    <w:p>
      <w:pPr>
        <w:pStyle w:val="ListParagraph"/>
        <w:numPr>
          <w:ilvl w:val="0"/>
          <w:numId w:val="2"/>
        </w:numPr>
        <w:spacing w:after="40" w:before="40"/>
      </w:pPr>
      <w:r>
        <w:rPr>
          <w:rFonts w:ascii="Arial" w:cs="Arial" w:eastAsia="Arial" w:hAnsi="Arial"/>
          <w:color w:val="404040"/>
          <w:sz w:val="22"/>
          <w:szCs w:val="22"/>
        </w:rPr>
        <w:t xml:space="preserve">Reduction in cycle time for ECP processing (baseline measurement at Day 0; target reduction at Day 365)</w:t>
      </w:r>
    </w:p>
    <w:p>
      <w:pPr>
        <w:pStyle w:val="ListParagraph"/>
        <w:numPr>
          <w:ilvl w:val="0"/>
          <w:numId w:val="2"/>
        </w:numPr>
        <w:spacing w:after="40" w:before="40"/>
      </w:pPr>
      <w:r>
        <w:rPr>
          <w:rFonts w:ascii="Arial" w:cs="Arial" w:eastAsia="Arial" w:hAnsi="Arial"/>
          <w:color w:val="404040"/>
          <w:sz w:val="22"/>
          <w:szCs w:val="22"/>
        </w:rPr>
        <w:t xml:space="preserve">Zero DCMA CAR findings against CM organization through Day 365</w:t>
      </w:r>
    </w:p>
    <w:p>
      <w:r>
        <w:br w:type="page"/>
      </w:r>
    </w:p>
    <w:p>
      <w:pPr>
        <w:spacing w:after="0" w:before="80"/>
      </w:pPr>
    </w:p>
    <w:p>
      <w:pPr>
        <w:spacing w:after="100" w:before="80"/>
        <w:jc w:val="left"/>
      </w:pPr>
      <w:r>
        <w:rPr>
          <w:rFonts w:ascii="Arial" w:cs="Arial" w:eastAsia="Arial" w:hAnsi="Arial"/>
          <w:i w:val="false"/>
          <w:iCs w:val="false"/>
          <w:color w:val="404040"/>
          <w:sz w:val="22"/>
          <w:szCs w:val="22"/>
        </w:rPr>
        <w:t xml:space="preserve">Based on the EIA-649-1 requirements analysis above, the following actions are recommended to close the workforce competency gap in the CM organization:</w:t>
      </w:r>
    </w:p>
    <w:p>
      <w:pPr>
        <w:pStyle w:val="Heading3"/>
        <w:pBdr>
          <w:bottom w:val="single" w:color="2E5F8A" w:sz="6"/>
        </w:pBdr>
        <w:spacing w:after="80" w:before="160"/>
      </w:pPr>
      <w:r>
        <w:rPr>
          <w:rFonts w:ascii="Arial" w:cs="Arial" w:eastAsia="Arial" w:hAnsi="Arial"/>
          <w:b/>
          <w:bCs/>
          <w:color w:val="1F3864"/>
          <w:sz w:val="24"/>
          <w:szCs w:val="24"/>
        </w:rPr>
        <w:t xml:space="preserve">1.  Revise Position Descriptions for Technical CM Roles</w:t>
      </w:r>
    </w:p>
    <w:p>
      <w:pPr>
        <w:spacing w:after="80" w:before="60"/>
        <w:jc w:val="left"/>
      </w:pPr>
      <w:r>
        <w:rPr>
          <w:rFonts w:ascii="Arial" w:cs="Arial" w:eastAsia="Arial" w:hAnsi="Arial"/>
          <w:i w:val="false"/>
          <w:iCs w:val="false"/>
          <w:color w:val="404040"/>
          <w:sz w:val="22"/>
          <w:szCs w:val="22"/>
        </w:rPr>
        <w:t xml:space="preserve">The following positions should be updated to require a B.S. in Engineering or Engineering Technology — or equivalent qualification per the Workforce Qualification Framework — as a minimum. These are not preferences; they are driven by specific contractual obligations that cannot be met without technical-knowledge-level competency:</w:t>
      </w:r>
    </w:p>
    <w:p>
      <w:pPr>
        <w:pStyle w:val="ListParagraph"/>
        <w:numPr>
          <w:ilvl w:val="0"/>
          <w:numId w:val="2"/>
        </w:numPr>
        <w:spacing w:after="40" w:before="40"/>
      </w:pPr>
      <w:r>
        <w:rPr>
          <w:rFonts w:ascii="Arial" w:cs="Arial" w:eastAsia="Arial" w:hAnsi="Arial"/>
          <w:color w:val="404040"/>
          <w:sz w:val="22"/>
          <w:szCs w:val="22"/>
        </w:rPr>
        <w:t xml:space="preserve">CI Selection Lead — Configuration Identification (§3.2.1)</w:t>
      </w:r>
    </w:p>
    <w:p>
      <w:pPr>
        <w:pStyle w:val="ListParagraph"/>
        <w:numPr>
          <w:ilvl w:val="0"/>
          <w:numId w:val="2"/>
        </w:numPr>
        <w:spacing w:after="40" w:before="40"/>
      </w:pPr>
      <w:r>
        <w:rPr>
          <w:rFonts w:ascii="Arial" w:cs="Arial" w:eastAsia="Arial" w:hAnsi="Arial"/>
          <w:color w:val="404040"/>
          <w:sz w:val="22"/>
          <w:szCs w:val="22"/>
        </w:rPr>
        <w:t xml:space="preserve">Baseline Manager / Documentation Lead — Configuration Identification (§3.2.2)</w:t>
      </w:r>
    </w:p>
    <w:p>
      <w:pPr>
        <w:pStyle w:val="ListParagraph"/>
        <w:numPr>
          <w:ilvl w:val="0"/>
          <w:numId w:val="2"/>
        </w:numPr>
        <w:spacing w:after="40" w:before="40"/>
      </w:pPr>
      <w:r>
        <w:rPr>
          <w:rFonts w:ascii="Arial" w:cs="Arial" w:eastAsia="Arial" w:hAnsi="Arial"/>
          <w:color w:val="404040"/>
          <w:sz w:val="22"/>
          <w:szCs w:val="22"/>
        </w:rPr>
        <w:t xml:space="preserve">ECP Lead / Change Classification Authority — Configuration Change Management (§3.3.1.2)</w:t>
      </w:r>
    </w:p>
    <w:p>
      <w:pPr>
        <w:pStyle w:val="ListParagraph"/>
        <w:numPr>
          <w:ilvl w:val="0"/>
          <w:numId w:val="2"/>
        </w:numPr>
        <w:spacing w:after="40" w:before="40"/>
      </w:pPr>
      <w:r>
        <w:rPr>
          <w:rFonts w:ascii="Arial" w:cs="Arial" w:eastAsia="Arial" w:hAnsi="Arial"/>
          <w:color w:val="404040"/>
          <w:sz w:val="22"/>
          <w:szCs w:val="22"/>
        </w:rPr>
        <w:t xml:space="preserve">FCA Lead — Configuration Verification and Audits (§3.5.2)</w:t>
      </w:r>
    </w:p>
    <w:p>
      <w:pPr>
        <w:pStyle w:val="ListParagraph"/>
        <w:numPr>
          <w:ilvl w:val="0"/>
          <w:numId w:val="2"/>
        </w:numPr>
        <w:spacing w:after="40" w:before="40"/>
      </w:pPr>
      <w:r>
        <w:rPr>
          <w:rFonts w:ascii="Arial" w:cs="Arial" w:eastAsia="Arial" w:hAnsi="Arial"/>
          <w:color w:val="404040"/>
          <w:sz w:val="22"/>
          <w:szCs w:val="22"/>
        </w:rPr>
        <w:t xml:space="preserve">PCA Lead — Configuration Verification and Audits (§3.5.3)</w:t>
      </w:r>
    </w:p>
    <w:p>
      <w:pPr>
        <w:spacing w:after="0" w:before="80"/>
      </w:pPr>
    </w:p>
    <w:p>
      <w:pPr>
        <w:pStyle w:val="Heading3"/>
        <w:pBdr>
          <w:bottom w:val="single" w:color="2E5F8A" w:sz="6"/>
        </w:pBdr>
        <w:spacing w:after="80" w:before="160"/>
      </w:pPr>
      <w:r>
        <w:rPr>
          <w:rFonts w:ascii="Arial" w:cs="Arial" w:eastAsia="Arial" w:hAnsi="Arial"/>
          <w:b/>
          <w:bCs/>
          <w:color w:val="1F3864"/>
          <w:sz w:val="24"/>
          <w:szCs w:val="24"/>
        </w:rPr>
        <w:t xml:space="preserve">2.  Retain A.A.S. Eligibility for Support Roles</w:t>
      </w:r>
    </w:p>
    <w:p>
      <w:pPr>
        <w:spacing w:after="80" w:before="60"/>
        <w:jc w:val="left"/>
      </w:pPr>
      <w:r>
        <w:rPr>
          <w:rFonts w:ascii="Arial" w:cs="Arial" w:eastAsia="Arial" w:hAnsi="Arial"/>
          <w:i w:val="false"/>
          <w:iCs w:val="false"/>
          <w:color w:val="404040"/>
          <w:sz w:val="22"/>
          <w:szCs w:val="22"/>
        </w:rPr>
        <w:t xml:space="preserve">Not all CM positions require a technical bachelor's degree. The following support roles remain appropriate for A.A.S. personnel working under direction of technically-degreed leads:</w:t>
      </w:r>
    </w:p>
    <w:p>
      <w:pPr>
        <w:pStyle w:val="ListParagraph"/>
        <w:numPr>
          <w:ilvl w:val="0"/>
          <w:numId w:val="2"/>
        </w:numPr>
        <w:spacing w:after="40" w:before="40"/>
      </w:pPr>
      <w:r>
        <w:rPr>
          <w:rFonts w:ascii="Arial" w:cs="Arial" w:eastAsia="Arial" w:hAnsi="Arial"/>
          <w:color w:val="404040"/>
          <w:sz w:val="22"/>
          <w:szCs w:val="22"/>
        </w:rPr>
        <w:t xml:space="preserve">CM Administrative Support (CMP distribution, CDRL tracking, meeting minutes)</w:t>
      </w:r>
    </w:p>
    <w:p>
      <w:pPr>
        <w:pStyle w:val="ListParagraph"/>
        <w:numPr>
          <w:ilvl w:val="0"/>
          <w:numId w:val="2"/>
        </w:numPr>
        <w:spacing w:after="40" w:before="40"/>
      </w:pPr>
      <w:r>
        <w:rPr>
          <w:rFonts w:ascii="Arial" w:cs="Arial" w:eastAsia="Arial" w:hAnsi="Arial"/>
          <w:color w:val="404040"/>
          <w:sz w:val="22"/>
          <w:szCs w:val="22"/>
        </w:rPr>
        <w:t xml:space="preserve">Change Processing Support (ECP/RFV routing, form population, log maintenance)</w:t>
      </w:r>
    </w:p>
    <w:p>
      <w:pPr>
        <w:pStyle w:val="ListParagraph"/>
        <w:numPr>
          <w:ilvl w:val="0"/>
          <w:numId w:val="2"/>
        </w:numPr>
        <w:spacing w:after="40" w:before="40"/>
      </w:pPr>
      <w:r>
        <w:rPr>
          <w:rFonts w:ascii="Arial" w:cs="Arial" w:eastAsia="Arial" w:hAnsi="Arial"/>
          <w:color w:val="404040"/>
          <w:sz w:val="22"/>
          <w:szCs w:val="22"/>
        </w:rPr>
        <w:t xml:space="preserve">CSA Data Entry / Status Reporting (under direction of technical CSA lead)</w:t>
      </w:r>
    </w:p>
    <w:p>
      <w:pPr>
        <w:pStyle w:val="ListParagraph"/>
        <w:numPr>
          <w:ilvl w:val="0"/>
          <w:numId w:val="2"/>
        </w:numPr>
        <w:spacing w:after="40" w:before="40"/>
      </w:pPr>
      <w:r>
        <w:rPr>
          <w:rFonts w:ascii="Arial" w:cs="Arial" w:eastAsia="Arial" w:hAnsi="Arial"/>
          <w:color w:val="404040"/>
          <w:sz w:val="22"/>
          <w:szCs w:val="22"/>
        </w:rPr>
        <w:t xml:space="preserve">Audit Coordination Support (scheduling, agenda preparation, action tracking)</w:t>
      </w:r>
    </w:p>
    <w:p>
      <w:pPr>
        <w:spacing w:after="0" w:before="80"/>
      </w:pPr>
    </w:p>
    <w:p>
      <w:pPr>
        <w:pStyle w:val="Heading3"/>
        <w:pBdr>
          <w:bottom w:val="single" w:color="2E5F8A" w:sz="6"/>
        </w:pBdr>
        <w:spacing w:after="80" w:before="160"/>
      </w:pPr>
      <w:r>
        <w:rPr>
          <w:rFonts w:ascii="Arial" w:cs="Arial" w:eastAsia="Arial" w:hAnsi="Arial"/>
          <w:b/>
          <w:bCs/>
          <w:color w:val="1F3864"/>
          <w:sz w:val="24"/>
          <w:szCs w:val="24"/>
        </w:rPr>
        <w:t xml:space="preserve">3.  Invest in CSA Tool Acquisition</w:t>
      </w:r>
    </w:p>
    <w:p>
      <w:pPr>
        <w:spacing w:after="100" w:before="60"/>
        <w:jc w:val="left"/>
      </w:pPr>
      <w:r>
        <w:rPr>
          <w:rFonts w:ascii="Arial" w:cs="Arial" w:eastAsia="Arial" w:hAnsi="Arial"/>
          <w:i w:val="false"/>
          <w:iCs w:val="false"/>
          <w:color w:val="404040"/>
          <w:sz w:val="22"/>
          <w:szCs w:val="22"/>
        </w:rPr>
        <w:t xml:space="preserve">The absence of a CSA automation tool artificially inflates the technical complexity of the Configuration Status Accounting function (§3.4). Acquiring a CM/PDM tool that automates Design-to-Procurement-to-Build reconciliation would (a) reduce the technical degree requirement for CSA from strongly recommended to minimum, (b) increase accuracy and audit-readiness, and (c) free technical personnel for higher-value work in CI Identification and Audits. The cost of a CSA tool is far lower than the cost of a contract non-compliance finding, failed audit, or safety incident traceable to inaccurate as-built records.</w:t>
      </w:r>
    </w:p>
    <w:p>
      <w:pPr>
        <w:pStyle w:val="Heading3"/>
        <w:pBdr>
          <w:bottom w:val="single" w:color="2E5F8A" w:sz="6"/>
        </w:pBdr>
        <w:spacing w:after="80" w:before="160"/>
      </w:pPr>
      <w:r>
        <w:rPr>
          <w:rFonts w:ascii="Arial" w:cs="Arial" w:eastAsia="Arial" w:hAnsi="Arial"/>
          <w:b/>
          <w:bCs/>
          <w:color w:val="1F3864"/>
          <w:sz w:val="24"/>
          <w:szCs w:val="24"/>
        </w:rPr>
        <w:t xml:space="preserve">4.  Formally Recognize the Equivalent Qualification Pathway</w:t>
      </w:r>
    </w:p>
    <w:p>
      <w:pPr>
        <w:spacing w:after="100" w:before="60"/>
        <w:jc w:val="left"/>
      </w:pPr>
      <w:r>
        <w:rPr>
          <w:rFonts w:ascii="Arial" w:cs="Arial" w:eastAsia="Arial" w:hAnsi="Arial"/>
          <w:i w:val="false"/>
          <w:iCs w:val="false"/>
          <w:color w:val="404040"/>
          <w:sz w:val="22"/>
          <w:szCs w:val="22"/>
        </w:rPr>
        <w:t xml:space="preserve">HR position descriptions and hiring panels should explicitly recognize the Two-Gate Equivalency Test defined in the Workforce Qualification Framework section of this document. Non-traditional advanced degrees with direct domain proximity to defense manufacturing, nuclear systems, logistics, and related fields should be evaluated on their merit against the equivalency criteria — not screened out by an engineering-degree filter. The company already has at least one example of a Tier 4 SME whose credential is a Ph.D. in History with a dissertation on nuclear weapons manufacturing. That practitioner should not be an undocumented exception; they should be the template for a formal equivalency pathway.</w:t>
      </w:r>
    </w:p>
    <w:p>
      <w:pPr>
        <w:pStyle w:val="Heading3"/>
        <w:pBdr>
          <w:bottom w:val="single" w:color="2E5F8A" w:sz="6"/>
        </w:pBdr>
        <w:spacing w:after="80" w:before="160"/>
      </w:pPr>
      <w:r>
        <w:rPr>
          <w:rFonts w:ascii="Arial" w:cs="Arial" w:eastAsia="Arial" w:hAnsi="Arial"/>
          <w:b/>
          <w:bCs/>
          <w:color w:val="1F3864"/>
          <w:sz w:val="24"/>
          <w:szCs w:val="24"/>
        </w:rPr>
        <w:t xml:space="preserve">5.  Establish a CM Career Path with Targeted Development</w:t>
      </w:r>
    </w:p>
    <w:p>
      <w:pPr>
        <w:spacing w:after="100" w:before="60"/>
        <w:jc w:val="left"/>
      </w:pPr>
      <w:r>
        <w:rPr>
          <w:rFonts w:ascii="Arial" w:cs="Arial" w:eastAsia="Arial" w:hAnsi="Arial"/>
          <w:i w:val="false"/>
          <w:iCs w:val="false"/>
          <w:color w:val="404040"/>
          <w:sz w:val="22"/>
          <w:szCs w:val="22"/>
        </w:rPr>
        <w:t xml:space="preserve">Create a formal CM career ladder aligned to the Four-Tier Model: CM Technician (A.A.S.), CM Specialist (B.S.E.T. or equivalent), CM Engineer (B.S.E. or equivalent), and Senior CM Engineer/SME (advanced degree or demonstrated competency). Align position descriptions, compensation bands, and development programs to this ladder. Fund education assistance for Tier 1 employees pursuing Tier 2 credentials.</w:t>
      </w:r>
    </w:p>
    <w:p>
      <w:pPr>
        <w:pStyle w:val="Heading3"/>
        <w:pBdr>
          <w:bottom w:val="single" w:color="2E5F8A" w:sz="6"/>
        </w:pBdr>
        <w:spacing w:after="80" w:before="160"/>
      </w:pPr>
      <w:r>
        <w:rPr>
          <w:rFonts w:ascii="Arial" w:cs="Arial" w:eastAsia="Arial" w:hAnsi="Arial"/>
          <w:b/>
          <w:bCs/>
          <w:color w:val="1F3864"/>
          <w:sz w:val="24"/>
          <w:szCs w:val="24"/>
        </w:rPr>
        <w:t xml:space="preserve">6.  Require EIA-649-1 Training for All CM Personnel</w:t>
      </w:r>
    </w:p>
    <w:p>
      <w:pPr>
        <w:spacing w:after="100" w:before="60"/>
        <w:jc w:val="left"/>
      </w:pPr>
      <w:r>
        <w:rPr>
          <w:rFonts w:ascii="Arial" w:cs="Arial" w:eastAsia="Arial" w:hAnsi="Arial"/>
          <w:i w:val="false"/>
          <w:iCs w:val="false"/>
          <w:color w:val="404040"/>
          <w:sz w:val="22"/>
          <w:szCs w:val="22"/>
        </w:rPr>
        <w:t xml:space="preserve">All CM personnel — regardless of education level — should complete formal EIA-649-1 training as a condition of employment in the CM organization. This training closes procedural knowledge gaps and ensures every team member understands the contractual framework in which they operate. CMII, DAU CM courses, and NCMA resources are available options.</w:t>
      </w:r>
    </w:p>
    <w:p>
      <w:pPr>
        <w:spacing w:after="0" w:before="80"/>
      </w:pPr>
    </w:p>
    <w:p>
      <w:pPr>
        <w:pStyle w:val="Heading2"/>
        <w:shd w:fill="2E5F8A" w:val="clear"/>
        <w:spacing w:after="80" w:before="200"/>
        <w:ind w:left="120"/>
      </w:pPr>
      <w:r>
        <w:rPr>
          <w:rFonts w:ascii="Arial" w:cs="Arial" w:eastAsia="Arial" w:hAnsi="Arial"/>
          <w:b/>
          <w:bCs/>
          <w:color w:val="FFFFFF"/>
          <w:sz w:val="28"/>
          <w:szCs w:val="28"/>
        </w:rPr>
        <w:t xml:space="preserve">Acknowledgment: This Framework Protects and Honors the Current Workforce</w:t>
      </w:r>
    </w:p>
    <w:p>
      <w:pPr>
        <w:spacing w:after="0" w:before="60"/>
      </w:pPr>
    </w:p>
    <w:p>
      <w:pPr>
        <w:spacing w:after="100" w:before="80"/>
        <w:jc w:val="left"/>
      </w:pPr>
      <w:r>
        <w:rPr>
          <w:rFonts w:ascii="Arial" w:cs="Arial" w:eastAsia="Arial" w:hAnsi="Arial"/>
          <w:i w:val="false"/>
          <w:iCs w:val="false"/>
          <w:color w:val="404040"/>
          <w:sz w:val="22"/>
          <w:szCs w:val="22"/>
        </w:rPr>
        <w:t xml:space="preserve">This document is, in part, a recommendation to change how the company hires for CM roles. It is important — for HR, for senior leadership, and for the current CM workforce themselves — that the intent of this change be clearly stated:</w:t>
      </w:r>
    </w:p>
    <w:p>
      <w:pPr>
        <w:spacing w:after="0" w:before="40"/>
      </w:pPr>
    </w:p>
    <w:p>
      <w:pPr>
        <w:pStyle w:val="ListParagraph"/>
        <w:numPr>
          <w:ilvl w:val="0"/>
          <w:numId w:val="2"/>
        </w:numPr>
        <w:spacing w:after="40" w:before="40"/>
      </w:pPr>
      <w:r>
        <w:rPr>
          <w:rFonts w:ascii="Arial" w:cs="Arial" w:eastAsia="Arial" w:hAnsi="Arial"/>
          <w:b/>
          <w:bCs/>
          <w:color w:val="404040"/>
          <w:sz w:val="22"/>
          <w:szCs w:val="22"/>
        </w:rPr>
        <w:t xml:space="preserve">This is not a layoff. </w:t>
      </w:r>
      <w:r>
        <w:rPr>
          <w:rFonts w:ascii="Arial" w:cs="Arial" w:eastAsia="Arial" w:hAnsi="Arial"/>
          <w:color w:val="404040"/>
          <w:sz w:val="22"/>
          <w:szCs w:val="22"/>
        </w:rPr>
        <w:t xml:space="preserve">The current CM workforce is retained. The four-tier model creates a defined and dignified role for every existing employee, with a development pathway to higher tiers if they choose.</w:t>
      </w:r>
    </w:p>
    <w:p>
      <w:pPr>
        <w:pStyle w:val="ListParagraph"/>
        <w:numPr>
          <w:ilvl w:val="0"/>
          <w:numId w:val="2"/>
        </w:numPr>
        <w:spacing w:after="40" w:before="40"/>
      </w:pPr>
      <w:r>
        <w:rPr>
          <w:rFonts w:ascii="Arial" w:cs="Arial" w:eastAsia="Arial" w:hAnsi="Arial"/>
          <w:b/>
          <w:bCs/>
          <w:color w:val="404040"/>
          <w:sz w:val="22"/>
          <w:szCs w:val="22"/>
        </w:rPr>
        <w:t xml:space="preserve">This is not a demotion. </w:t>
      </w:r>
      <w:r>
        <w:rPr>
          <w:rFonts w:ascii="Arial" w:cs="Arial" w:eastAsia="Arial" w:hAnsi="Arial"/>
          <w:color w:val="404040"/>
          <w:sz w:val="22"/>
          <w:szCs w:val="22"/>
        </w:rPr>
        <w:t xml:space="preserve">The reclassification of existing personnel into Tier 1 or Tier 2 reflects role specialization, not diminished status. Tier 1 personnel are not subordinate; they are specialists with distinct strengths.</w:t>
      </w:r>
    </w:p>
    <w:p>
      <w:pPr>
        <w:pStyle w:val="ListParagraph"/>
        <w:numPr>
          <w:ilvl w:val="0"/>
          <w:numId w:val="2"/>
        </w:numPr>
        <w:spacing w:after="40" w:before="40"/>
      </w:pPr>
      <w:r>
        <w:rPr>
          <w:rFonts w:ascii="Arial" w:cs="Arial" w:eastAsia="Arial" w:hAnsi="Arial"/>
          <w:b/>
          <w:bCs/>
          <w:color w:val="404040"/>
          <w:sz w:val="22"/>
          <w:szCs w:val="22"/>
        </w:rPr>
        <w:t xml:space="preserve">This is not an attack on the A.A.S. degree. </w:t>
      </w:r>
      <w:r>
        <w:rPr>
          <w:rFonts w:ascii="Arial" w:cs="Arial" w:eastAsia="Arial" w:hAnsi="Arial"/>
          <w:color w:val="404040"/>
          <w:sz w:val="22"/>
          <w:szCs w:val="22"/>
        </w:rPr>
        <w:t xml:space="preserve">The A.A.S. workforce is the procedural backbone of CM operations. The framework recognizes this explicitly and invests in their development.</w:t>
      </w:r>
    </w:p>
    <w:p>
      <w:pPr>
        <w:pStyle w:val="ListParagraph"/>
        <w:numPr>
          <w:ilvl w:val="0"/>
          <w:numId w:val="2"/>
        </w:numPr>
        <w:spacing w:after="40" w:before="40"/>
      </w:pPr>
      <w:r>
        <w:rPr>
          <w:rFonts w:ascii="Arial" w:cs="Arial" w:eastAsia="Arial" w:hAnsi="Arial"/>
          <w:b/>
          <w:bCs/>
          <w:color w:val="404040"/>
          <w:sz w:val="22"/>
          <w:szCs w:val="22"/>
        </w:rPr>
        <w:t xml:space="preserve">This is not an exclusion of unconventional credentials. </w:t>
      </w:r>
      <w:r>
        <w:rPr>
          <w:rFonts w:ascii="Arial" w:cs="Arial" w:eastAsia="Arial" w:hAnsi="Arial"/>
          <w:color w:val="404040"/>
          <w:sz w:val="22"/>
          <w:szCs w:val="22"/>
        </w:rPr>
        <w:t xml:space="preserve">The Equivalent Qualification Pathway specifically opens senior CM roles to non-traditional degrees with demonstrated domain proximity — including doctoral credentials in fields such as history of manufacturing, logistics, and policy. The company's existing Tier 4 SME with a Ph.D. in History (nuclear weapons manufacturing) is the documented exemplar of this pathway.</w:t>
      </w:r>
    </w:p>
    <w:p>
      <w:pPr>
        <w:pStyle w:val="ListParagraph"/>
        <w:numPr>
          <w:ilvl w:val="0"/>
          <w:numId w:val="2"/>
        </w:numPr>
        <w:spacing w:after="40" w:before="40"/>
      </w:pPr>
      <w:r>
        <w:rPr>
          <w:rFonts w:ascii="Arial" w:cs="Arial" w:eastAsia="Arial" w:hAnsi="Arial"/>
          <w:b/>
          <w:bCs/>
          <w:color w:val="404040"/>
          <w:sz w:val="22"/>
          <w:szCs w:val="22"/>
        </w:rPr>
        <w:t xml:space="preserve">This is an investment in compliance, safety, and competitive position. </w:t>
      </w:r>
      <w:r>
        <w:rPr>
          <w:rFonts w:ascii="Arial" w:cs="Arial" w:eastAsia="Arial" w:hAnsi="Arial"/>
          <w:color w:val="404040"/>
          <w:sz w:val="22"/>
          <w:szCs w:val="22"/>
        </w:rPr>
        <w:t xml:space="preserve">The company carries contractual obligations under EIA-649-1 that must be met. This framework is the path to meeting them while honoring the people who have been carrying the CM mission to date.</w:t>
      </w:r>
    </w:p>
    <w:p>
      <w:pPr>
        <w:spacing w:after="0" w:before="80"/>
      </w:pPr>
    </w:p>
    <w:tbl>
      <w:tblPr>
        <w:tblW w:type="dxa" w:w="9360"/>
        <w:tblBorders>
          <w:top w:val="single" w:color="2E5F8A" w:sz="8"/>
          <w:left w:val="single" w:color="2E5F8A" w:sz="8"/>
          <w:bottom w:val="single" w:color="2E5F8A" w:sz="8"/>
          <w:right w:val="single" w:color="2E5F8A" w:sz="8"/>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BDD7EE" w:val="clear"/>
            <w:tcMar>
              <w:top w:type="dxa" w:w="100"/>
              <w:left w:type="dxa" w:w="200"/>
              <w:bottom w:type="dxa" w:w="100"/>
              <w:right w:type="dxa" w:w="200"/>
            </w:tcMar>
          </w:tcPr>
          <w:p>
            <w:pPr>
              <w:spacing w:after="40" w:before="40"/>
            </w:pPr>
            <w:r>
              <w:rPr>
                <w:rFonts w:ascii="Arial" w:cs="Arial" w:eastAsia="Arial" w:hAnsi="Arial"/>
                <w:b/>
                <w:bCs/>
                <w:color w:val="1F3864"/>
                <w:sz w:val="22"/>
                <w:szCs w:val="22"/>
              </w:rPr>
              <w:t xml:space="preserve">Bottom Line for Leadership</w:t>
            </w:r>
          </w:p>
        </w:tc>
      </w:tr>
      <w:tr>
        <w:tc>
          <w:tcPr>
            <w:tcW w:type="dxa" w:w="9360"/>
            <w:tcBorders>
              <w:top w:val="none" w:color="FFFFFF" w:sz="0"/>
              <w:left w:val="none" w:color="FFFFFF" w:sz="0"/>
              <w:bottom w:val="none" w:color="FFFFFF" w:sz="0"/>
              <w:right w:val="none" w:color="FFFFFF" w:sz="0"/>
            </w:tcBorders>
            <w:shd w:fill="D5E8F0" w:val="clear"/>
            <w:tcMar>
              <w:top w:type="dxa" w:w="80"/>
              <w:left w:type="dxa" w:w="200"/>
              <w:bottom w:type="dxa" w:w="80"/>
              <w:right w:type="dxa" w:w="200"/>
            </w:tcMar>
          </w:tcPr>
          <w:p>
            <w:pPr>
              <w:spacing w:after="40" w:before="40"/>
            </w:pPr>
            <w:r>
              <w:rPr>
                <w:rFonts w:ascii="Arial" w:cs="Arial" w:eastAsia="Arial" w:hAnsi="Arial"/>
                <w:color w:val="404040"/>
                <w:sz w:val="20"/>
                <w:szCs w:val="20"/>
              </w:rPr>
              <w:t xml:space="preserve">EIA-649-1 is not an administrative standard — it is a technical compliance framework for defense contracts.</w:t>
            </w:r>
          </w:p>
        </w:tc>
      </w:tr>
      <w:tr>
        <w:tc>
          <w:tcPr>
            <w:tcW w:type="dxa" w:w="9360"/>
            <w:tcBorders>
              <w:top w:val="none" w:color="FFFFFF" w:sz="0"/>
              <w:left w:val="none" w:color="FFFFFF" w:sz="0"/>
              <w:bottom w:val="none" w:color="FFFFFF" w:sz="0"/>
              <w:right w:val="none" w:color="FFFFFF" w:sz="0"/>
            </w:tcBorders>
            <w:shd w:fill="D5E8F0" w:val="clear"/>
            <w:tcMar>
              <w:top w:type="dxa" w:w="80"/>
              <w:left w:type="dxa" w:w="200"/>
              <w:bottom w:type="dxa" w:w="80"/>
              <w:right w:type="dxa" w:w="200"/>
            </w:tcMar>
          </w:tcPr>
          <w:p>
            <w:pPr>
              <w:spacing w:after="40" w:before="40"/>
            </w:pPr>
            <w:r>
              <w:rPr>
                <w:rFonts w:ascii="Arial" w:cs="Arial" w:eastAsia="Arial" w:hAnsi="Arial"/>
                <w:color w:val="404040"/>
                <w:sz w:val="20"/>
                <w:szCs w:val="20"/>
              </w:rPr>
              <w:t xml:space="preserve">Three of its five functions contain requirements that are not executable by personnel without engineering-level education.</w:t>
            </w:r>
          </w:p>
        </w:tc>
      </w:tr>
      <w:tr>
        <w:tc>
          <w:tcPr>
            <w:tcW w:type="dxa" w:w="9360"/>
            <w:tcBorders>
              <w:top w:val="none" w:color="FFFFFF" w:sz="0"/>
              <w:left w:val="none" w:color="FFFFFF" w:sz="0"/>
              <w:bottom w:val="none" w:color="FFFFFF" w:sz="0"/>
              <w:right w:val="none" w:color="FFFFFF" w:sz="0"/>
            </w:tcBorders>
            <w:shd w:fill="D5E8F0" w:val="clear"/>
            <w:tcMar>
              <w:top w:type="dxa" w:w="80"/>
              <w:left w:type="dxa" w:w="200"/>
              <w:bottom w:type="dxa" w:w="80"/>
              <w:right w:type="dxa" w:w="200"/>
            </w:tcMar>
          </w:tcPr>
          <w:p>
            <w:pPr>
              <w:spacing w:after="40" w:before="40"/>
            </w:pPr>
            <w:r>
              <w:rPr>
                <w:rFonts w:ascii="Arial" w:cs="Arial" w:eastAsia="Arial" w:hAnsi="Arial"/>
                <w:color w:val="404040"/>
                <w:sz w:val="20"/>
                <w:szCs w:val="20"/>
              </w:rPr>
              <w:t xml:space="preserve">The current associate's-degree-only hiring model creates structural non-compliance risk in CI selection (§3.2.1),</w:t>
            </w:r>
          </w:p>
        </w:tc>
      </w:tr>
      <w:tr>
        <w:tc>
          <w:tcPr>
            <w:tcW w:type="dxa" w:w="9360"/>
            <w:tcBorders>
              <w:top w:val="none" w:color="FFFFFF" w:sz="0"/>
              <w:left w:val="none" w:color="FFFFFF" w:sz="0"/>
              <w:bottom w:val="none" w:color="FFFFFF" w:sz="0"/>
              <w:right w:val="none" w:color="FFFFFF" w:sz="0"/>
            </w:tcBorders>
            <w:shd w:fill="D5E8F0" w:val="clear"/>
            <w:tcMar>
              <w:top w:type="dxa" w:w="80"/>
              <w:left w:type="dxa" w:w="200"/>
              <w:bottom w:type="dxa" w:w="80"/>
              <w:right w:type="dxa" w:w="200"/>
            </w:tcMar>
          </w:tcPr>
          <w:p>
            <w:pPr>
              <w:spacing w:after="40" w:before="40"/>
            </w:pPr>
            <w:r>
              <w:rPr>
                <w:rFonts w:ascii="Arial" w:cs="Arial" w:eastAsia="Arial" w:hAnsi="Arial"/>
                <w:color w:val="404040"/>
                <w:sz w:val="20"/>
                <w:szCs w:val="20"/>
              </w:rPr>
              <w:t xml:space="preserve">change classification (§3.3.1.2), and configuration audit conduct (§3.5.2, §3.5.3).</w:t>
            </w:r>
          </w:p>
        </w:tc>
      </w:tr>
      <w:tr>
        <w:tc>
          <w:tcPr>
            <w:tcW w:type="dxa" w:w="9360"/>
            <w:tcBorders>
              <w:top w:val="none" w:color="FFFFFF" w:sz="0"/>
              <w:left w:val="none" w:color="FFFFFF" w:sz="0"/>
              <w:bottom w:val="none" w:color="FFFFFF" w:sz="0"/>
              <w:right w:val="none" w:color="FFFFFF" w:sz="0"/>
            </w:tcBorders>
            <w:shd w:fill="D5E8F0" w:val="clear"/>
            <w:tcMar>
              <w:top w:type="dxa" w:w="80"/>
              <w:left w:type="dxa" w:w="200"/>
              <w:bottom w:type="dxa" w:w="80"/>
              <w:right w:type="dxa" w:w="200"/>
            </w:tcMar>
          </w:tcPr>
          <w:p>
            <w:pPr>
              <w:spacing w:after="40" w:before="40"/>
            </w:pPr>
            <w:r>
              <w:rPr>
                <w:rFonts w:ascii="Arial" w:cs="Arial" w:eastAsia="Arial" w:hAnsi="Arial"/>
                <w:color w:val="404040"/>
                <w:sz w:val="20"/>
                <w:szCs w:val="20"/>
              </w:rPr>
              <w:t xml:space="preserve">The investment in technical talent is significantly less costly than a failed FCA, PCA, or DCMA audit finding.</w:t>
            </w:r>
          </w:p>
        </w:tc>
      </w:tr>
    </w:tbl>
    <w:p>
      <w:r>
        <w:br w:type="page"/>
      </w:r>
    </w:p>
    <w:p>
      <w:pPr>
        <w:spacing w:after="80" w:before="0"/>
        <w:jc w:val="center"/>
      </w:pPr>
      <w:r>
        <w:rPr>
          <w:rFonts w:ascii="Arial" w:cs="Arial" w:eastAsia="Arial" w:hAnsi="Arial"/>
          <w:b/>
          <w:bCs/>
          <w:color w:val="2E5F8A"/>
          <w:sz w:val="28"/>
          <w:szCs w:val="28"/>
        </w:rPr>
        <w:t xml:space="preserve">APPENDIX A</w:t>
      </w:r>
    </w:p>
    <w:p>
      <w:pPr>
        <w:pStyle w:val="Heading1"/>
        <w:shd w:fill="1F3864" w:val="clear"/>
        <w:spacing w:after="120" w:before="240"/>
        <w:ind w:left="120"/>
      </w:pPr>
      <w:r>
        <w:rPr>
          <w:rFonts w:ascii="Arial" w:cs="Arial" w:eastAsia="Arial" w:hAnsi="Arial"/>
          <w:b/>
          <w:bCs/>
          <w:color w:val="FFFFFF"/>
          <w:sz w:val="36"/>
          <w:szCs w:val="36"/>
        </w:rPr>
        <w:t xml:space="preserve">Requirements Allocation Matrix (RAM)</w:t>
      </w:r>
    </w:p>
    <w:p>
      <w:pPr>
        <w:spacing w:after="0" w:before="80"/>
      </w:pPr>
    </w:p>
    <w:p>
      <w:pPr>
        <w:spacing w:after="100" w:before="80"/>
        <w:jc w:val="left"/>
      </w:pPr>
      <w:r>
        <w:rPr>
          <w:rFonts w:ascii="Arial" w:cs="Arial" w:eastAsia="Arial" w:hAnsi="Arial"/>
          <w:i w:val="false"/>
          <w:iCs w:val="false"/>
          <w:color w:val="404040"/>
          <w:sz w:val="22"/>
          <w:szCs w:val="22"/>
        </w:rPr>
        <w:t xml:space="preserve">This appendix provides a Requirements Allocation Matrix tracing representative EIA-649-1 requirements to the workforce tier, technical skill, and soft skill required to execute each. The RAM is organized by the five CM functions defined in the standard.</w:t>
      </w:r>
    </w:p>
    <w:p>
      <w:pPr>
        <w:spacing w:after="100" w:before="80"/>
        <w:jc w:val="left"/>
      </w:pPr>
      <w:r>
        <w:rPr>
          <w:rFonts w:ascii="Arial" w:cs="Arial" w:eastAsia="Arial" w:hAnsi="Arial"/>
          <w:i w:val="false"/>
          <w:iCs w:val="false"/>
          <w:color w:val="404040"/>
          <w:sz w:val="22"/>
          <w:szCs w:val="22"/>
        </w:rPr>
        <w:t xml:space="preserve">This RAM is not exhaustive. EIA-649-1 contains hundreds of discrete shall-statements; the matrix below captures the most representative and consequential requirements within each function — sufficient to demonstrate the allocation logic and to support HR position description development. A full requirements allocation should be performed by the CM organization in conjunction with HR after this framework is adopted.</w:t>
      </w:r>
    </w:p>
    <w:p>
      <w:pPr>
        <w:spacing w:after="0" w:before="60"/>
      </w:pPr>
    </w:p>
    <w:p>
      <w:pPr>
        <w:pStyle w:val="Heading3"/>
        <w:pBdr>
          <w:bottom w:val="single" w:color="2E5F8A" w:sz="6"/>
        </w:pBdr>
        <w:spacing w:after="80" w:before="160"/>
      </w:pPr>
      <w:r>
        <w:rPr>
          <w:rFonts w:ascii="Arial" w:cs="Arial" w:eastAsia="Arial" w:hAnsi="Arial"/>
          <w:b/>
          <w:bCs/>
          <w:color w:val="1F3864"/>
          <w:sz w:val="24"/>
          <w:szCs w:val="24"/>
        </w:rPr>
        <w:t xml:space="preserve">How to Read This Matrix</w:t>
      </w:r>
    </w:p>
    <w:p>
      <w:pPr>
        <w:pStyle w:val="ListParagraph"/>
        <w:numPr>
          <w:ilvl w:val="0"/>
          <w:numId w:val="2"/>
        </w:numPr>
        <w:spacing w:after="40" w:before="40"/>
      </w:pPr>
      <w:r>
        <w:rPr>
          <w:rFonts w:ascii="Arial" w:cs="Arial" w:eastAsia="Arial" w:hAnsi="Arial"/>
          <w:color w:val="404040"/>
          <w:sz w:val="22"/>
          <w:szCs w:val="22"/>
        </w:rPr>
        <w:t xml:space="preserve">Req ID: The specific EIA-649-1 paragraph reference.</w:t>
      </w:r>
    </w:p>
    <w:p>
      <w:pPr>
        <w:pStyle w:val="ListParagraph"/>
        <w:numPr>
          <w:ilvl w:val="0"/>
          <w:numId w:val="2"/>
        </w:numPr>
        <w:spacing w:after="40" w:before="40"/>
      </w:pPr>
      <w:r>
        <w:rPr>
          <w:rFonts w:ascii="Arial" w:cs="Arial" w:eastAsia="Arial" w:hAnsi="Arial"/>
          <w:color w:val="404040"/>
          <w:sz w:val="22"/>
          <w:szCs w:val="22"/>
        </w:rPr>
        <w:t xml:space="preserve">Requirement (Paraphrased): A condensed restatement of the standard's shall-language. Not a substitute for reading the source text.</w:t>
      </w:r>
    </w:p>
    <w:p>
      <w:pPr>
        <w:pStyle w:val="ListParagraph"/>
        <w:numPr>
          <w:ilvl w:val="0"/>
          <w:numId w:val="2"/>
        </w:numPr>
        <w:spacing w:after="40" w:before="40"/>
      </w:pPr>
      <w:r>
        <w:rPr>
          <w:rFonts w:ascii="Arial" w:cs="Arial" w:eastAsia="Arial" w:hAnsi="Arial"/>
          <w:color w:val="404040"/>
          <w:sz w:val="22"/>
          <w:szCs w:val="22"/>
        </w:rPr>
        <w:t xml:space="preserve">Min Tier: The minimum workforce tier from the Four-Tier Model required to execute the requirement. Color-coded: Tier 1 (gray) = A.A.S.; Tier 2 (blue) = B.S.E.T. or equivalent; Tier 3 (red) = B.S.E. or equivalent — engineering-required; Tier 4 (navy) = advanced degree or equivalent.</w:t>
      </w:r>
    </w:p>
    <w:p>
      <w:pPr>
        <w:pStyle w:val="ListParagraph"/>
        <w:numPr>
          <w:ilvl w:val="0"/>
          <w:numId w:val="2"/>
        </w:numPr>
        <w:spacing w:after="40" w:before="40"/>
      </w:pPr>
      <w:r>
        <w:rPr>
          <w:rFonts w:ascii="Arial" w:cs="Arial" w:eastAsia="Arial" w:hAnsi="Arial"/>
          <w:color w:val="404040"/>
          <w:sz w:val="22"/>
          <w:szCs w:val="22"/>
        </w:rPr>
        <w:t xml:space="preserve">Key Technical Skill: The principal technical competency needed to perform the requirement.</w:t>
      </w:r>
    </w:p>
    <w:p>
      <w:pPr>
        <w:pStyle w:val="ListParagraph"/>
        <w:numPr>
          <w:ilvl w:val="0"/>
          <w:numId w:val="2"/>
        </w:numPr>
        <w:spacing w:after="40" w:before="40"/>
      </w:pPr>
      <w:r>
        <w:rPr>
          <w:rFonts w:ascii="Arial" w:cs="Arial" w:eastAsia="Arial" w:hAnsi="Arial"/>
          <w:color w:val="404040"/>
          <w:sz w:val="22"/>
          <w:szCs w:val="22"/>
        </w:rPr>
        <w:t xml:space="preserve">Key Soft Skill: The principal behavioral competency needed for effective execution.</w:t>
      </w:r>
    </w:p>
    <w:p>
      <w:pPr>
        <w:spacing w:after="0" w:before="100"/>
      </w:pPr>
    </w:p>
    <w:p>
      <w:pPr>
        <w:pStyle w:val="Heading2"/>
        <w:shd w:fill="2E5F8A" w:val="clear"/>
        <w:spacing w:after="80" w:before="200"/>
        <w:ind w:left="120"/>
      </w:pPr>
      <w:r>
        <w:rPr>
          <w:rFonts w:ascii="Arial" w:cs="Arial" w:eastAsia="Arial" w:hAnsi="Arial"/>
          <w:b/>
          <w:bCs/>
          <w:color w:val="FFFFFF"/>
          <w:sz w:val="28"/>
          <w:szCs w:val="28"/>
        </w:rPr>
        <w:t xml:space="preserve">A.1  Configuration Planning and Management (§3.1)</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2880"/>
        <w:gridCol w:w="900"/>
        <w:gridCol w:w="2250"/>
        <w:gridCol w:w="2250"/>
      </w:tblGrid>
      <w:tr>
        <w:trPr>
          <w:tblHeader/>
        </w:trPr>
        <w:tc>
          <w:tcPr>
            <w:tcW w:type="dxa" w:w="1080"/>
            <w:tcBorders>
              <w:top w:val="single" w:color="AAAAAA" w:sz="4"/>
              <w:left w:val="single" w:color="AAAAAA" w:sz="4"/>
              <w:bottom w:val="single" w:color="AAAAAA" w:sz="4"/>
              <w:right w:val="single" w:color="AAAAAA" w:sz="4"/>
            </w:tcBorders>
            <w:shd w:fill="1F3864" w:val="clear"/>
            <w:tcMar>
              <w:top w:type="dxa" w:w="100"/>
              <w:left w:type="dxa" w:w="120"/>
              <w:bottom w:type="dxa" w:w="100"/>
              <w:right w:type="dxa" w:w="120"/>
            </w:tcMar>
            <w:vAlign w:val="center"/>
          </w:tcPr>
          <w:p>
            <w:pPr>
              <w:spacing w:after="40" w:before="40"/>
              <w:jc w:val="center"/>
            </w:pPr>
            <w:r>
              <w:rPr>
                <w:rFonts w:ascii="Arial" w:cs="Arial" w:eastAsia="Arial" w:hAnsi="Arial"/>
                <w:b/>
                <w:bCs/>
                <w:color w:val="FFFFFF"/>
                <w:sz w:val="20"/>
                <w:szCs w:val="20"/>
              </w:rPr>
              <w:t xml:space="preserve">Req ID</w:t>
            </w:r>
          </w:p>
        </w:tc>
        <w:tc>
          <w:tcPr>
            <w:tcW w:type="dxa" w:w="2880"/>
            <w:tcBorders>
              <w:top w:val="single" w:color="AAAAAA" w:sz="4"/>
              <w:left w:val="single" w:color="AAAAAA" w:sz="4"/>
              <w:bottom w:val="single" w:color="AAAAAA" w:sz="4"/>
              <w:right w:val="single" w:color="AAAAAA" w:sz="4"/>
            </w:tcBorders>
            <w:shd w:fill="1F3864" w:val="clear"/>
            <w:tcMar>
              <w:top w:type="dxa" w:w="100"/>
              <w:left w:type="dxa" w:w="120"/>
              <w:bottom w:type="dxa" w:w="100"/>
              <w:right w:type="dxa" w:w="120"/>
            </w:tcMar>
            <w:vAlign w:val="center"/>
          </w:tcPr>
          <w:p>
            <w:pPr>
              <w:spacing w:after="40" w:before="40"/>
              <w:jc w:val="center"/>
            </w:pPr>
            <w:r>
              <w:rPr>
                <w:rFonts w:ascii="Arial" w:cs="Arial" w:eastAsia="Arial" w:hAnsi="Arial"/>
                <w:b/>
                <w:bCs/>
                <w:color w:val="FFFFFF"/>
                <w:sz w:val="20"/>
                <w:szCs w:val="20"/>
              </w:rPr>
              <w:t xml:space="preserve">Requirement (Paraphrased)</w:t>
            </w:r>
          </w:p>
        </w:tc>
        <w:tc>
          <w:tcPr>
            <w:tcW w:type="dxa" w:w="900"/>
            <w:tcBorders>
              <w:top w:val="single" w:color="AAAAAA" w:sz="4"/>
              <w:left w:val="single" w:color="AAAAAA" w:sz="4"/>
              <w:bottom w:val="single" w:color="AAAAAA" w:sz="4"/>
              <w:right w:val="single" w:color="AAAAAA" w:sz="4"/>
            </w:tcBorders>
            <w:shd w:fill="1F3864" w:val="clear"/>
            <w:tcMar>
              <w:top w:type="dxa" w:w="100"/>
              <w:left w:type="dxa" w:w="120"/>
              <w:bottom w:type="dxa" w:w="100"/>
              <w:right w:type="dxa" w:w="120"/>
            </w:tcMar>
            <w:vAlign w:val="center"/>
          </w:tcPr>
          <w:p>
            <w:pPr>
              <w:spacing w:after="40" w:before="40"/>
              <w:jc w:val="center"/>
            </w:pPr>
            <w:r>
              <w:rPr>
                <w:rFonts w:ascii="Arial" w:cs="Arial" w:eastAsia="Arial" w:hAnsi="Arial"/>
                <w:b/>
                <w:bCs/>
                <w:color w:val="FFFFFF"/>
                <w:sz w:val="20"/>
                <w:szCs w:val="20"/>
              </w:rPr>
              <w:t xml:space="preserve">Min Tier</w:t>
            </w:r>
          </w:p>
        </w:tc>
        <w:tc>
          <w:tcPr>
            <w:tcW w:type="dxa" w:w="2250"/>
            <w:tcBorders>
              <w:top w:val="single" w:color="AAAAAA" w:sz="4"/>
              <w:left w:val="single" w:color="AAAAAA" w:sz="4"/>
              <w:bottom w:val="single" w:color="AAAAAA" w:sz="4"/>
              <w:right w:val="single" w:color="AAAAAA" w:sz="4"/>
            </w:tcBorders>
            <w:shd w:fill="1F3864" w:val="clear"/>
            <w:tcMar>
              <w:top w:type="dxa" w:w="100"/>
              <w:left w:type="dxa" w:w="120"/>
              <w:bottom w:type="dxa" w:w="100"/>
              <w:right w:type="dxa" w:w="120"/>
            </w:tcMar>
            <w:vAlign w:val="center"/>
          </w:tcPr>
          <w:p>
            <w:pPr>
              <w:spacing w:after="40" w:before="40"/>
              <w:jc w:val="center"/>
            </w:pPr>
            <w:r>
              <w:rPr>
                <w:rFonts w:ascii="Arial" w:cs="Arial" w:eastAsia="Arial" w:hAnsi="Arial"/>
                <w:b/>
                <w:bCs/>
                <w:color w:val="FFFFFF"/>
                <w:sz w:val="20"/>
                <w:szCs w:val="20"/>
              </w:rPr>
              <w:t xml:space="preserve">Key Technical Skill</w:t>
            </w:r>
          </w:p>
        </w:tc>
        <w:tc>
          <w:tcPr>
            <w:tcW w:type="dxa" w:w="2250"/>
            <w:tcBorders>
              <w:top w:val="single" w:color="AAAAAA" w:sz="4"/>
              <w:left w:val="single" w:color="AAAAAA" w:sz="4"/>
              <w:bottom w:val="single" w:color="AAAAAA" w:sz="4"/>
              <w:right w:val="single" w:color="AAAAAA" w:sz="4"/>
            </w:tcBorders>
            <w:shd w:fill="1F3864" w:val="clear"/>
            <w:tcMar>
              <w:top w:type="dxa" w:w="100"/>
              <w:left w:type="dxa" w:w="120"/>
              <w:bottom w:type="dxa" w:w="100"/>
              <w:right w:type="dxa" w:w="120"/>
            </w:tcMar>
            <w:vAlign w:val="center"/>
          </w:tcPr>
          <w:p>
            <w:pPr>
              <w:spacing w:after="40" w:before="40"/>
              <w:jc w:val="center"/>
            </w:pPr>
            <w:r>
              <w:rPr>
                <w:rFonts w:ascii="Arial" w:cs="Arial" w:eastAsia="Arial" w:hAnsi="Arial"/>
                <w:b/>
                <w:bCs/>
                <w:color w:val="FFFFFF"/>
                <w:sz w:val="20"/>
                <w:szCs w:val="20"/>
              </w:rPr>
              <w:t xml:space="preserve">Key Soft Skill</w:t>
            </w:r>
          </w:p>
        </w:tc>
      </w:tr>
      <w:tr>
        <w:tc>
          <w:tcPr>
            <w:tcW w:type="dxa" w:w="10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2E5F8A"/>
                <w:sz w:val="17"/>
                <w:szCs w:val="17"/>
              </w:rPr>
              <w:t xml:space="preserve">§3.1(1)a</w:t>
            </w:r>
          </w:p>
        </w:tc>
        <w:tc>
          <w:tcPr>
            <w:tcW w:type="dxa" w:w="28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7"/>
                <w:szCs w:val="17"/>
              </w:rPr>
              <w:t xml:space="preserve">Define CM objectives for each applicable CM element across the product life cycle.</w:t>
            </w:r>
          </w:p>
        </w:tc>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C00000"/>
                <w:sz w:val="18"/>
                <w:szCs w:val="18"/>
              </w:rPr>
              <w:t xml:space="preserve">Tier 3</w:t>
            </w:r>
          </w:p>
        </w:tc>
        <w:tc>
          <w:tcPr>
            <w:tcW w:type="dxa" w:w="225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7"/>
                <w:szCs w:val="17"/>
              </w:rPr>
              <w:t xml:space="preserve">CM Planning; defense acquisition lifecycle knowledge</w:t>
            </w:r>
          </w:p>
        </w:tc>
        <w:tc>
          <w:tcPr>
            <w:tcW w:type="dxa" w:w="225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7"/>
                <w:szCs w:val="17"/>
              </w:rPr>
              <w:t xml:space="preserve">Strategic planning; written communication</w:t>
            </w:r>
          </w:p>
        </w:tc>
      </w:tr>
      <w:tr>
        <w:tc>
          <w:tcPr>
            <w:tcW w:type="dxa" w:w="10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bCs/>
                <w:color w:val="2E5F8A"/>
                <w:sz w:val="17"/>
                <w:szCs w:val="17"/>
              </w:rPr>
              <w:t xml:space="preserve">§3.1(1)d</w:t>
            </w:r>
          </w:p>
        </w:tc>
        <w:tc>
          <w:tcPr>
            <w:tcW w:type="dxa" w:w="28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7"/>
                <w:szCs w:val="17"/>
              </w:rPr>
              <w:t xml:space="preserve">Define responsibilities and authority of CM professionals.</w:t>
            </w:r>
          </w:p>
        </w:tc>
        <w:tc>
          <w:tcPr>
            <w:tcW w:type="dxa" w:w="9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bCs/>
                <w:color w:val="C00000"/>
                <w:sz w:val="18"/>
                <w:szCs w:val="18"/>
              </w:rPr>
              <w:t xml:space="preserve">Tier 3</w:t>
            </w:r>
          </w:p>
        </w:tc>
        <w:tc>
          <w:tcPr>
            <w:tcW w:type="dxa" w:w="225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7"/>
                <w:szCs w:val="17"/>
              </w:rPr>
              <w:t xml:space="preserve">Organizational design; CCB charter authoring</w:t>
            </w:r>
          </w:p>
        </w:tc>
        <w:tc>
          <w:tcPr>
            <w:tcW w:type="dxa" w:w="225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7"/>
                <w:szCs w:val="17"/>
              </w:rPr>
              <w:t xml:space="preserve">Leadership; stakeholder management</w:t>
            </w:r>
          </w:p>
        </w:tc>
      </w:tr>
      <w:tr>
        <w:tc>
          <w:tcPr>
            <w:tcW w:type="dxa" w:w="10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2E5F8A"/>
                <w:sz w:val="17"/>
                <w:szCs w:val="17"/>
              </w:rPr>
              <w:t xml:space="preserve">§3.1(1)i</w:t>
            </w:r>
          </w:p>
        </w:tc>
        <w:tc>
          <w:tcPr>
            <w:tcW w:type="dxa" w:w="28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7"/>
                <w:szCs w:val="17"/>
              </w:rPr>
              <w:t xml:space="preserve">Define methods to ensure effectiveness of sub-supplier/sub-vendor CM processes.</w:t>
            </w:r>
          </w:p>
        </w:tc>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C00000"/>
                <w:sz w:val="18"/>
                <w:szCs w:val="18"/>
              </w:rPr>
              <w:t xml:space="preserve">Tier 3</w:t>
            </w:r>
          </w:p>
        </w:tc>
        <w:tc>
          <w:tcPr>
            <w:tcW w:type="dxa" w:w="225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7"/>
                <w:szCs w:val="17"/>
              </w:rPr>
              <w:t xml:space="preserve">Sub-supplier CM flow-down; audit methodology</w:t>
            </w:r>
          </w:p>
        </w:tc>
        <w:tc>
          <w:tcPr>
            <w:tcW w:type="dxa" w:w="225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7"/>
                <w:szCs w:val="17"/>
              </w:rPr>
              <w:t xml:space="preserve">Negotiation; persistence</w:t>
            </w:r>
          </w:p>
        </w:tc>
      </w:tr>
      <w:tr>
        <w:tc>
          <w:tcPr>
            <w:tcW w:type="dxa" w:w="10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bCs/>
                <w:color w:val="2E5F8A"/>
                <w:sz w:val="17"/>
                <w:szCs w:val="17"/>
              </w:rPr>
              <w:t xml:space="preserve">§3.1.1(1)</w:t>
            </w:r>
          </w:p>
        </w:tc>
        <w:tc>
          <w:tcPr>
            <w:tcW w:type="dxa" w:w="28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7"/>
                <w:szCs w:val="17"/>
              </w:rPr>
              <w:t xml:space="preserve">Include in the CMP a methodology for generating, measuring, and reporting CM performance data.</w:t>
            </w:r>
          </w:p>
        </w:tc>
        <w:tc>
          <w:tcPr>
            <w:tcW w:type="dxa" w:w="9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bCs/>
                <w:color w:val="2E5F8A"/>
                <w:sz w:val="18"/>
                <w:szCs w:val="18"/>
              </w:rPr>
              <w:t xml:space="preserve">Tier 2</w:t>
            </w:r>
          </w:p>
        </w:tc>
        <w:tc>
          <w:tcPr>
            <w:tcW w:type="dxa" w:w="225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7"/>
                <w:szCs w:val="17"/>
              </w:rPr>
              <w:t xml:space="preserve">Metrics development; trend analysis</w:t>
            </w:r>
          </w:p>
        </w:tc>
        <w:tc>
          <w:tcPr>
            <w:tcW w:type="dxa" w:w="225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7"/>
                <w:szCs w:val="17"/>
              </w:rPr>
              <w:t xml:space="preserve">Analytical mindset; written communication</w:t>
            </w:r>
          </w:p>
        </w:tc>
      </w:tr>
      <w:tr>
        <w:tc>
          <w:tcPr>
            <w:tcW w:type="dxa" w:w="10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2E5F8A"/>
                <w:sz w:val="17"/>
                <w:szCs w:val="17"/>
              </w:rPr>
              <w:t xml:space="preserve">§3.1.2(1)</w:t>
            </w:r>
          </w:p>
        </w:tc>
        <w:tc>
          <w:tcPr>
            <w:tcW w:type="dxa" w:w="28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7"/>
                <w:szCs w:val="17"/>
              </w:rPr>
              <w:t xml:space="preserve">Submit a CMP to the Acquirer for review and approval describing processes for managing functional and physical characteristics of assigned CIs.</w:t>
            </w:r>
          </w:p>
        </w:tc>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C00000"/>
                <w:sz w:val="18"/>
                <w:szCs w:val="18"/>
              </w:rPr>
              <w:t xml:space="preserve">Tier 3</w:t>
            </w:r>
          </w:p>
        </w:tc>
        <w:tc>
          <w:tcPr>
            <w:tcW w:type="dxa" w:w="225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7"/>
                <w:szCs w:val="17"/>
              </w:rPr>
              <w:t xml:space="preserve">CMP authoring per DI-SESS-80858; EIA-649-1 mastery</w:t>
            </w:r>
          </w:p>
        </w:tc>
        <w:tc>
          <w:tcPr>
            <w:tcW w:type="dxa" w:w="225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7"/>
                <w:szCs w:val="17"/>
              </w:rPr>
              <w:t xml:space="preserve">Customer interface; written communication</w:t>
            </w:r>
          </w:p>
        </w:tc>
      </w:tr>
      <w:tr>
        <w:tc>
          <w:tcPr>
            <w:tcW w:type="dxa" w:w="10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bCs/>
                <w:color w:val="2E5F8A"/>
                <w:sz w:val="17"/>
                <w:szCs w:val="17"/>
              </w:rPr>
              <w:t xml:space="preserve">§3.1.3(1)</w:t>
            </w:r>
          </w:p>
        </w:tc>
        <w:tc>
          <w:tcPr>
            <w:tcW w:type="dxa" w:w="28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7"/>
                <w:szCs w:val="17"/>
              </w:rPr>
              <w:t xml:space="preserve">Provide configuration documentation to support each Technical Review (SRR, SFR, PDR, CDR, TRR, SVR, PRR).</w:t>
            </w:r>
          </w:p>
        </w:tc>
        <w:tc>
          <w:tcPr>
            <w:tcW w:type="dxa" w:w="9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bCs/>
                <w:color w:val="C00000"/>
                <w:sz w:val="18"/>
                <w:szCs w:val="18"/>
              </w:rPr>
              <w:t xml:space="preserve">Tier 3</w:t>
            </w:r>
          </w:p>
        </w:tc>
        <w:tc>
          <w:tcPr>
            <w:tcW w:type="dxa" w:w="225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7"/>
                <w:szCs w:val="17"/>
              </w:rPr>
              <w:t xml:space="preserve">Baseline package preparation; review milestone knowledge</w:t>
            </w:r>
          </w:p>
        </w:tc>
        <w:tc>
          <w:tcPr>
            <w:tcW w:type="dxa" w:w="225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7"/>
                <w:szCs w:val="17"/>
              </w:rPr>
              <w:t xml:space="preserve">Briefing skills; cross-disciplinary collaboration</w:t>
            </w:r>
          </w:p>
        </w:tc>
      </w:tr>
      <w:tr>
        <w:tc>
          <w:tcPr>
            <w:tcW w:type="dxa" w:w="10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2E5F8A"/>
                <w:sz w:val="17"/>
                <w:szCs w:val="17"/>
              </w:rPr>
              <w:t xml:space="preserve">§3.1.4(1)</w:t>
            </w:r>
          </w:p>
        </w:tc>
        <w:tc>
          <w:tcPr>
            <w:tcW w:type="dxa" w:w="28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7"/>
                <w:szCs w:val="17"/>
              </w:rPr>
              <w:t xml:space="preserve">Address contractually specified product configuration documentation requirements in CMP: data handling, processing, storage, integrity, transfer, releasability, security, maintenance.</w:t>
            </w:r>
          </w:p>
        </w:tc>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2E5F8A"/>
                <w:sz w:val="18"/>
                <w:szCs w:val="18"/>
              </w:rPr>
              <w:t xml:space="preserve">Tier 2</w:t>
            </w:r>
          </w:p>
        </w:tc>
        <w:tc>
          <w:tcPr>
            <w:tcW w:type="dxa" w:w="225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7"/>
                <w:szCs w:val="17"/>
              </w:rPr>
              <w:t xml:space="preserve">DoD data management; ITAR/CUI/cybersecurity literacy</w:t>
            </w:r>
          </w:p>
        </w:tc>
        <w:tc>
          <w:tcPr>
            <w:tcW w:type="dxa" w:w="225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7"/>
                <w:szCs w:val="17"/>
              </w:rPr>
              <w:t xml:space="preserve">Attention to detail; process discipline</w:t>
            </w:r>
          </w:p>
        </w:tc>
      </w:tr>
      <w:tr>
        <w:tc>
          <w:tcPr>
            <w:tcW w:type="dxa" w:w="10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bCs/>
                <w:color w:val="2E5F8A"/>
                <w:sz w:val="17"/>
                <w:szCs w:val="17"/>
              </w:rPr>
              <w:t xml:space="preserve">§3.1.4(2)</w:t>
            </w:r>
          </w:p>
        </w:tc>
        <w:tc>
          <w:tcPr>
            <w:tcW w:type="dxa" w:w="28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7"/>
                <w:szCs w:val="17"/>
              </w:rPr>
              <w:t xml:space="preserve">Inform Acquirer of any requirements imposed on the Acquirer to maintain security and integrity of shared data.</w:t>
            </w:r>
          </w:p>
        </w:tc>
        <w:tc>
          <w:tcPr>
            <w:tcW w:type="dxa" w:w="9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bCs/>
                <w:color w:val="C00000"/>
                <w:sz w:val="18"/>
                <w:szCs w:val="18"/>
              </w:rPr>
              <w:t xml:space="preserve">Tier 3</w:t>
            </w:r>
          </w:p>
        </w:tc>
        <w:tc>
          <w:tcPr>
            <w:tcW w:type="dxa" w:w="225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7"/>
                <w:szCs w:val="17"/>
              </w:rPr>
              <w:t xml:space="preserve">Data architecture; security/integrity frameworks</w:t>
            </w:r>
          </w:p>
        </w:tc>
        <w:tc>
          <w:tcPr>
            <w:tcW w:type="dxa" w:w="225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7"/>
                <w:szCs w:val="17"/>
              </w:rPr>
              <w:t xml:space="preserve">Customer interface; assertiveness</w:t>
            </w:r>
          </w:p>
        </w:tc>
      </w:tr>
    </w:tbl>
    <w:p>
      <w:pPr>
        <w:spacing w:after="0" w:before="120"/>
      </w:pPr>
    </w:p>
    <w:p>
      <w:pPr>
        <w:pStyle w:val="Heading2"/>
        <w:shd w:fill="2E5F8A" w:val="clear"/>
        <w:spacing w:after="80" w:before="200"/>
        <w:ind w:left="120"/>
      </w:pPr>
      <w:r>
        <w:rPr>
          <w:rFonts w:ascii="Arial" w:cs="Arial" w:eastAsia="Arial" w:hAnsi="Arial"/>
          <w:b/>
          <w:bCs/>
          <w:color w:val="FFFFFF"/>
          <w:sz w:val="28"/>
          <w:szCs w:val="28"/>
        </w:rPr>
        <w:t xml:space="preserve">A.2  Configuration Identification (§3.2)</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2880"/>
        <w:gridCol w:w="900"/>
        <w:gridCol w:w="2250"/>
        <w:gridCol w:w="2250"/>
      </w:tblGrid>
      <w:tr>
        <w:trPr>
          <w:tblHeader/>
        </w:trPr>
        <w:tc>
          <w:tcPr>
            <w:tcW w:type="dxa" w:w="1080"/>
            <w:tcBorders>
              <w:top w:val="single" w:color="AAAAAA" w:sz="4"/>
              <w:left w:val="single" w:color="AAAAAA" w:sz="4"/>
              <w:bottom w:val="single" w:color="AAAAAA" w:sz="4"/>
              <w:right w:val="single" w:color="AAAAAA" w:sz="4"/>
            </w:tcBorders>
            <w:shd w:fill="1F3864" w:val="clear"/>
            <w:tcMar>
              <w:top w:type="dxa" w:w="100"/>
              <w:left w:type="dxa" w:w="120"/>
              <w:bottom w:type="dxa" w:w="100"/>
              <w:right w:type="dxa" w:w="120"/>
            </w:tcMar>
            <w:vAlign w:val="center"/>
          </w:tcPr>
          <w:p>
            <w:pPr>
              <w:spacing w:after="40" w:before="40"/>
              <w:jc w:val="center"/>
            </w:pPr>
            <w:r>
              <w:rPr>
                <w:rFonts w:ascii="Arial" w:cs="Arial" w:eastAsia="Arial" w:hAnsi="Arial"/>
                <w:b/>
                <w:bCs/>
                <w:color w:val="FFFFFF"/>
                <w:sz w:val="20"/>
                <w:szCs w:val="20"/>
              </w:rPr>
              <w:t xml:space="preserve">Req ID</w:t>
            </w:r>
          </w:p>
        </w:tc>
        <w:tc>
          <w:tcPr>
            <w:tcW w:type="dxa" w:w="2880"/>
            <w:tcBorders>
              <w:top w:val="single" w:color="AAAAAA" w:sz="4"/>
              <w:left w:val="single" w:color="AAAAAA" w:sz="4"/>
              <w:bottom w:val="single" w:color="AAAAAA" w:sz="4"/>
              <w:right w:val="single" w:color="AAAAAA" w:sz="4"/>
            </w:tcBorders>
            <w:shd w:fill="1F3864" w:val="clear"/>
            <w:tcMar>
              <w:top w:type="dxa" w:w="100"/>
              <w:left w:type="dxa" w:w="120"/>
              <w:bottom w:type="dxa" w:w="100"/>
              <w:right w:type="dxa" w:w="120"/>
            </w:tcMar>
            <w:vAlign w:val="center"/>
          </w:tcPr>
          <w:p>
            <w:pPr>
              <w:spacing w:after="40" w:before="40"/>
              <w:jc w:val="center"/>
            </w:pPr>
            <w:r>
              <w:rPr>
                <w:rFonts w:ascii="Arial" w:cs="Arial" w:eastAsia="Arial" w:hAnsi="Arial"/>
                <w:b/>
                <w:bCs/>
                <w:color w:val="FFFFFF"/>
                <w:sz w:val="20"/>
                <w:szCs w:val="20"/>
              </w:rPr>
              <w:t xml:space="preserve">Requirement (Paraphrased)</w:t>
            </w:r>
          </w:p>
        </w:tc>
        <w:tc>
          <w:tcPr>
            <w:tcW w:type="dxa" w:w="900"/>
            <w:tcBorders>
              <w:top w:val="single" w:color="AAAAAA" w:sz="4"/>
              <w:left w:val="single" w:color="AAAAAA" w:sz="4"/>
              <w:bottom w:val="single" w:color="AAAAAA" w:sz="4"/>
              <w:right w:val="single" w:color="AAAAAA" w:sz="4"/>
            </w:tcBorders>
            <w:shd w:fill="1F3864" w:val="clear"/>
            <w:tcMar>
              <w:top w:type="dxa" w:w="100"/>
              <w:left w:type="dxa" w:w="120"/>
              <w:bottom w:type="dxa" w:w="100"/>
              <w:right w:type="dxa" w:w="120"/>
            </w:tcMar>
            <w:vAlign w:val="center"/>
          </w:tcPr>
          <w:p>
            <w:pPr>
              <w:spacing w:after="40" w:before="40"/>
              <w:jc w:val="center"/>
            </w:pPr>
            <w:r>
              <w:rPr>
                <w:rFonts w:ascii="Arial" w:cs="Arial" w:eastAsia="Arial" w:hAnsi="Arial"/>
                <w:b/>
                <w:bCs/>
                <w:color w:val="FFFFFF"/>
                <w:sz w:val="20"/>
                <w:szCs w:val="20"/>
              </w:rPr>
              <w:t xml:space="preserve">Min Tier</w:t>
            </w:r>
          </w:p>
        </w:tc>
        <w:tc>
          <w:tcPr>
            <w:tcW w:type="dxa" w:w="2250"/>
            <w:tcBorders>
              <w:top w:val="single" w:color="AAAAAA" w:sz="4"/>
              <w:left w:val="single" w:color="AAAAAA" w:sz="4"/>
              <w:bottom w:val="single" w:color="AAAAAA" w:sz="4"/>
              <w:right w:val="single" w:color="AAAAAA" w:sz="4"/>
            </w:tcBorders>
            <w:shd w:fill="1F3864" w:val="clear"/>
            <w:tcMar>
              <w:top w:type="dxa" w:w="100"/>
              <w:left w:type="dxa" w:w="120"/>
              <w:bottom w:type="dxa" w:w="100"/>
              <w:right w:type="dxa" w:w="120"/>
            </w:tcMar>
            <w:vAlign w:val="center"/>
          </w:tcPr>
          <w:p>
            <w:pPr>
              <w:spacing w:after="40" w:before="40"/>
              <w:jc w:val="center"/>
            </w:pPr>
            <w:r>
              <w:rPr>
                <w:rFonts w:ascii="Arial" w:cs="Arial" w:eastAsia="Arial" w:hAnsi="Arial"/>
                <w:b/>
                <w:bCs/>
                <w:color w:val="FFFFFF"/>
                <w:sz w:val="20"/>
                <w:szCs w:val="20"/>
              </w:rPr>
              <w:t xml:space="preserve">Key Technical Skill</w:t>
            </w:r>
          </w:p>
        </w:tc>
        <w:tc>
          <w:tcPr>
            <w:tcW w:type="dxa" w:w="2250"/>
            <w:tcBorders>
              <w:top w:val="single" w:color="AAAAAA" w:sz="4"/>
              <w:left w:val="single" w:color="AAAAAA" w:sz="4"/>
              <w:bottom w:val="single" w:color="AAAAAA" w:sz="4"/>
              <w:right w:val="single" w:color="AAAAAA" w:sz="4"/>
            </w:tcBorders>
            <w:shd w:fill="1F3864" w:val="clear"/>
            <w:tcMar>
              <w:top w:type="dxa" w:w="100"/>
              <w:left w:type="dxa" w:w="120"/>
              <w:bottom w:type="dxa" w:w="100"/>
              <w:right w:type="dxa" w:w="120"/>
            </w:tcMar>
            <w:vAlign w:val="center"/>
          </w:tcPr>
          <w:p>
            <w:pPr>
              <w:spacing w:after="40" w:before="40"/>
              <w:jc w:val="center"/>
            </w:pPr>
            <w:r>
              <w:rPr>
                <w:rFonts w:ascii="Arial" w:cs="Arial" w:eastAsia="Arial" w:hAnsi="Arial"/>
                <w:b/>
                <w:bCs/>
                <w:color w:val="FFFFFF"/>
                <w:sz w:val="20"/>
                <w:szCs w:val="20"/>
              </w:rPr>
              <w:t xml:space="preserve">Key Soft Skill</w:t>
            </w:r>
          </w:p>
        </w:tc>
      </w:tr>
      <w:tr>
        <w:tc>
          <w:tcPr>
            <w:tcW w:type="dxa" w:w="10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2E5F8A"/>
                <w:sz w:val="17"/>
                <w:szCs w:val="17"/>
              </w:rPr>
              <w:t xml:space="preserve">§3.2(2)</w:t>
            </w:r>
          </w:p>
        </w:tc>
        <w:tc>
          <w:tcPr>
            <w:tcW w:type="dxa" w:w="28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7"/>
                <w:szCs w:val="17"/>
              </w:rPr>
              <w:t xml:space="preserve">Identify and track critical program information (CPI) per Program Protection Plan to ensure CPI is not inadvertently included in exportable configurations.</w:t>
            </w:r>
          </w:p>
        </w:tc>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C00000"/>
                <w:sz w:val="18"/>
                <w:szCs w:val="18"/>
              </w:rPr>
              <w:t xml:space="preserve">Tier 3</w:t>
            </w:r>
          </w:p>
        </w:tc>
        <w:tc>
          <w:tcPr>
            <w:tcW w:type="dxa" w:w="225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7"/>
                <w:szCs w:val="17"/>
              </w:rPr>
              <w:t xml:space="preserve">CPI assessment; export control literacy</w:t>
            </w:r>
          </w:p>
        </w:tc>
        <w:tc>
          <w:tcPr>
            <w:tcW w:type="dxa" w:w="225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7"/>
                <w:szCs w:val="17"/>
              </w:rPr>
              <w:t xml:space="preserve">Attention to detail; analytical rigor</w:t>
            </w:r>
          </w:p>
        </w:tc>
      </w:tr>
      <w:tr>
        <w:tc>
          <w:tcPr>
            <w:tcW w:type="dxa" w:w="10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bCs/>
                <w:color w:val="2E5F8A"/>
                <w:sz w:val="17"/>
                <w:szCs w:val="17"/>
              </w:rPr>
              <w:t xml:space="preserve">§3.2.1(2)a</w:t>
            </w:r>
          </w:p>
        </w:tc>
        <w:tc>
          <w:tcPr>
            <w:tcW w:type="dxa" w:w="28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7"/>
                <w:szCs w:val="17"/>
              </w:rPr>
              <w:t xml:space="preserve">Identify as a CI any item critical to the functioning of the system.</w:t>
            </w:r>
          </w:p>
        </w:tc>
        <w:tc>
          <w:tcPr>
            <w:tcW w:type="dxa" w:w="9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bCs/>
                <w:color w:val="C00000"/>
                <w:sz w:val="18"/>
                <w:szCs w:val="18"/>
              </w:rPr>
              <w:t xml:space="preserve">Tier 3</w:t>
            </w:r>
          </w:p>
        </w:tc>
        <w:tc>
          <w:tcPr>
            <w:tcW w:type="dxa" w:w="225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7"/>
                <w:szCs w:val="17"/>
              </w:rPr>
              <w:t xml:space="preserve">Systems engineering judgment; CI architecture</w:t>
            </w:r>
          </w:p>
        </w:tc>
        <w:tc>
          <w:tcPr>
            <w:tcW w:type="dxa" w:w="225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7"/>
                <w:szCs w:val="17"/>
              </w:rPr>
              <w:t xml:space="preserve">Analytical rigor; technical assertiveness</w:t>
            </w:r>
          </w:p>
        </w:tc>
      </w:tr>
      <w:tr>
        <w:tc>
          <w:tcPr>
            <w:tcW w:type="dxa" w:w="10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2E5F8A"/>
                <w:sz w:val="17"/>
                <w:szCs w:val="17"/>
              </w:rPr>
              <w:t xml:space="preserve">§3.2.1(2)b</w:t>
            </w:r>
          </w:p>
        </w:tc>
        <w:tc>
          <w:tcPr>
            <w:tcW w:type="dxa" w:w="28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7"/>
                <w:szCs w:val="17"/>
              </w:rPr>
              <w:t xml:space="preserve">Identify as a CI any item whose failure might result in serious injury, loss of life, or loss of primary system capability.</w:t>
            </w:r>
          </w:p>
        </w:tc>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C00000"/>
                <w:sz w:val="18"/>
                <w:szCs w:val="18"/>
              </w:rPr>
              <w:t xml:space="preserve">Tier 3</w:t>
            </w:r>
          </w:p>
        </w:tc>
        <w:tc>
          <w:tcPr>
            <w:tcW w:type="dxa" w:w="225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7"/>
                <w:szCs w:val="17"/>
              </w:rPr>
              <w:t xml:space="preserve">Safety-criticality assessment (MIL-STD-882)</w:t>
            </w:r>
          </w:p>
        </w:tc>
        <w:tc>
          <w:tcPr>
            <w:tcW w:type="dxa" w:w="225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7"/>
                <w:szCs w:val="17"/>
              </w:rPr>
              <w:t xml:space="preserve">Conscientiousness; objectivity</w:t>
            </w:r>
          </w:p>
        </w:tc>
      </w:tr>
      <w:tr>
        <w:tc>
          <w:tcPr>
            <w:tcW w:type="dxa" w:w="10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bCs/>
                <w:color w:val="2E5F8A"/>
                <w:sz w:val="17"/>
                <w:szCs w:val="17"/>
              </w:rPr>
              <w:t xml:space="preserve">§3.2.1(2)c</w:t>
            </w:r>
          </w:p>
        </w:tc>
        <w:tc>
          <w:tcPr>
            <w:tcW w:type="dxa" w:w="28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7"/>
                <w:szCs w:val="17"/>
              </w:rPr>
              <w:t xml:space="preserve">Identify as a CI any item whose technology is complex, not well known, and critical to acquisition, operational, or supportability goals.</w:t>
            </w:r>
          </w:p>
        </w:tc>
        <w:tc>
          <w:tcPr>
            <w:tcW w:type="dxa" w:w="9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bCs/>
                <w:color w:val="C00000"/>
                <w:sz w:val="18"/>
                <w:szCs w:val="18"/>
              </w:rPr>
              <w:t xml:space="preserve">Tier 3</w:t>
            </w:r>
          </w:p>
        </w:tc>
        <w:tc>
          <w:tcPr>
            <w:tcW w:type="dxa" w:w="225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7"/>
                <w:szCs w:val="17"/>
              </w:rPr>
              <w:t xml:space="preserve">Technology maturity assessment (TRLs); risk literacy</w:t>
            </w:r>
          </w:p>
        </w:tc>
        <w:tc>
          <w:tcPr>
            <w:tcW w:type="dxa" w:w="225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7"/>
                <w:szCs w:val="17"/>
              </w:rPr>
              <w:t xml:space="preserve">Analytical judgment; strategic thinking</w:t>
            </w:r>
          </w:p>
        </w:tc>
      </w:tr>
      <w:tr>
        <w:tc>
          <w:tcPr>
            <w:tcW w:type="dxa" w:w="10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2E5F8A"/>
                <w:sz w:val="17"/>
                <w:szCs w:val="17"/>
              </w:rPr>
              <w:t xml:space="preserve">§3.2.2.2(1)</w:t>
            </w:r>
          </w:p>
        </w:tc>
        <w:tc>
          <w:tcPr>
            <w:tcW w:type="dxa" w:w="28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7"/>
                <w:szCs w:val="17"/>
              </w:rPr>
              <w:t xml:space="preserve">Document the FBL of a CI: functional, performance, interoperability, and interface requirements plus verifications.</w:t>
            </w:r>
          </w:p>
        </w:tc>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C00000"/>
                <w:sz w:val="18"/>
                <w:szCs w:val="18"/>
              </w:rPr>
              <w:t xml:space="preserve">Tier 3</w:t>
            </w:r>
          </w:p>
        </w:tc>
        <w:tc>
          <w:tcPr>
            <w:tcW w:type="dxa" w:w="225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7"/>
                <w:szCs w:val="17"/>
              </w:rPr>
              <w:t xml:space="preserve">Requirements engineering; verification methodology</w:t>
            </w:r>
          </w:p>
        </w:tc>
        <w:tc>
          <w:tcPr>
            <w:tcW w:type="dxa" w:w="225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7"/>
                <w:szCs w:val="17"/>
              </w:rPr>
              <w:t xml:space="preserve">Written precision; cross-disciplinary collaboration</w:t>
            </w:r>
          </w:p>
        </w:tc>
      </w:tr>
      <w:tr>
        <w:tc>
          <w:tcPr>
            <w:tcW w:type="dxa" w:w="10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bCs/>
                <w:color w:val="2E5F8A"/>
                <w:sz w:val="17"/>
                <w:szCs w:val="17"/>
              </w:rPr>
              <w:t xml:space="preserve">§3.2.2.2.2(1)</w:t>
            </w:r>
          </w:p>
        </w:tc>
        <w:tc>
          <w:tcPr>
            <w:tcW w:type="dxa" w:w="28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7"/>
                <w:szCs w:val="17"/>
              </w:rPr>
              <w:t xml:space="preserve">Document the PBL of a CI: detailed design including form/fit/function characteristics; acceptance test requirements.</w:t>
            </w:r>
          </w:p>
        </w:tc>
        <w:tc>
          <w:tcPr>
            <w:tcW w:type="dxa" w:w="9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bCs/>
                <w:color w:val="C00000"/>
                <w:sz w:val="18"/>
                <w:szCs w:val="18"/>
              </w:rPr>
              <w:t xml:space="preserve">Tier 3</w:t>
            </w:r>
          </w:p>
        </w:tc>
        <w:tc>
          <w:tcPr>
            <w:tcW w:type="dxa" w:w="225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7"/>
                <w:szCs w:val="17"/>
              </w:rPr>
              <w:t xml:space="preserve">Engineering drawing/CAD interpretation; ASME Y14 literacy</w:t>
            </w:r>
          </w:p>
        </w:tc>
        <w:tc>
          <w:tcPr>
            <w:tcW w:type="dxa" w:w="225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7"/>
                <w:szCs w:val="17"/>
              </w:rPr>
              <w:t xml:space="preserve">Attention to detail; technical assertiveness</w:t>
            </w:r>
          </w:p>
        </w:tc>
      </w:tr>
      <w:tr>
        <w:tc>
          <w:tcPr>
            <w:tcW w:type="dxa" w:w="10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2E5F8A"/>
                <w:sz w:val="17"/>
                <w:szCs w:val="17"/>
              </w:rPr>
              <w:t xml:space="preserve">§3.2.2.3(1)</w:t>
            </w:r>
          </w:p>
        </w:tc>
        <w:tc>
          <w:tcPr>
            <w:tcW w:type="dxa" w:w="28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7"/>
                <w:szCs w:val="17"/>
              </w:rPr>
              <w:t xml:space="preserve">Maintain current approved configuration documentation by creating new revisions within 90 days of approved changes.</w:t>
            </w:r>
          </w:p>
        </w:tc>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2E5F8A"/>
                <w:sz w:val="18"/>
                <w:szCs w:val="18"/>
              </w:rPr>
              <w:t xml:space="preserve">Tier 2</w:t>
            </w:r>
          </w:p>
        </w:tc>
        <w:tc>
          <w:tcPr>
            <w:tcW w:type="dxa" w:w="225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7"/>
                <w:szCs w:val="17"/>
              </w:rPr>
              <w:t xml:space="preserve">Revision control; ASME Y14.35 application</w:t>
            </w:r>
          </w:p>
        </w:tc>
        <w:tc>
          <w:tcPr>
            <w:tcW w:type="dxa" w:w="225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7"/>
                <w:szCs w:val="17"/>
              </w:rPr>
              <w:t xml:space="preserve">Process discipline; timeliness</w:t>
            </w:r>
          </w:p>
        </w:tc>
      </w:tr>
      <w:tr>
        <w:tc>
          <w:tcPr>
            <w:tcW w:type="dxa" w:w="10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bCs/>
                <w:color w:val="2E5F8A"/>
                <w:sz w:val="17"/>
                <w:szCs w:val="17"/>
              </w:rPr>
              <w:t xml:space="preserve">§3.2.3(1)</w:t>
            </w:r>
          </w:p>
        </w:tc>
        <w:tc>
          <w:tcPr>
            <w:tcW w:type="dxa" w:w="28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7"/>
                <w:szCs w:val="17"/>
              </w:rPr>
              <w:t xml:space="preserve">Use an Engineering Release process which employs formal release records to authorize new or revised configuration documentation.</w:t>
            </w:r>
          </w:p>
        </w:tc>
        <w:tc>
          <w:tcPr>
            <w:tcW w:type="dxa" w:w="9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bCs/>
                <w:color w:val="2E5F8A"/>
                <w:sz w:val="18"/>
                <w:szCs w:val="18"/>
              </w:rPr>
              <w:t xml:space="preserve">Tier 2</w:t>
            </w:r>
          </w:p>
        </w:tc>
        <w:tc>
          <w:tcPr>
            <w:tcW w:type="dxa" w:w="225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7"/>
                <w:szCs w:val="17"/>
              </w:rPr>
              <w:t xml:space="preserve">ERR processing (DI-SESS-80463); PLM/PDM tool use</w:t>
            </w:r>
          </w:p>
        </w:tc>
        <w:tc>
          <w:tcPr>
            <w:tcW w:type="dxa" w:w="225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7"/>
                <w:szCs w:val="17"/>
              </w:rPr>
              <w:t xml:space="preserve">Process discipline; attention to detail</w:t>
            </w:r>
          </w:p>
        </w:tc>
      </w:tr>
      <w:tr>
        <w:tc>
          <w:tcPr>
            <w:tcW w:type="dxa" w:w="10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2E5F8A"/>
                <w:sz w:val="17"/>
                <w:szCs w:val="17"/>
              </w:rPr>
              <w:t xml:space="preserve">§3.2.4(4)</w:t>
            </w:r>
          </w:p>
        </w:tc>
        <w:tc>
          <w:tcPr>
            <w:tcW w:type="dxa" w:w="28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7"/>
                <w:szCs w:val="17"/>
              </w:rPr>
              <w:t xml:space="preserve">Design document identifier (CAD model, engineering drawing) shall be the same as, or included within, the part number.</w:t>
            </w:r>
          </w:p>
        </w:tc>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2E5F8A"/>
                <w:sz w:val="18"/>
                <w:szCs w:val="18"/>
              </w:rPr>
              <w:t xml:space="preserve">Tier 2</w:t>
            </w:r>
          </w:p>
        </w:tc>
        <w:tc>
          <w:tcPr>
            <w:tcW w:type="dxa" w:w="225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7"/>
                <w:szCs w:val="17"/>
              </w:rPr>
              <w:t xml:space="preserve">Engineering drawing/part number relationship</w:t>
            </w:r>
          </w:p>
        </w:tc>
        <w:tc>
          <w:tcPr>
            <w:tcW w:type="dxa" w:w="225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7"/>
                <w:szCs w:val="17"/>
              </w:rPr>
              <w:t xml:space="preserve">Attention to detail; consistency</w:t>
            </w:r>
          </w:p>
        </w:tc>
      </w:tr>
      <w:tr>
        <w:tc>
          <w:tcPr>
            <w:tcW w:type="dxa" w:w="10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bCs/>
                <w:color w:val="2E5F8A"/>
                <w:sz w:val="17"/>
                <w:szCs w:val="17"/>
              </w:rPr>
              <w:t xml:space="preserve">§3.2.4.1(2)</w:t>
            </w:r>
          </w:p>
        </w:tc>
        <w:tc>
          <w:tcPr>
            <w:tcW w:type="dxa" w:w="28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7"/>
                <w:szCs w:val="17"/>
              </w:rPr>
              <w:t xml:space="preserve">Adhere to DoD Item Unique Identification (IUID) directives, instructions, and standards as tailored in the contract.</w:t>
            </w:r>
          </w:p>
        </w:tc>
        <w:tc>
          <w:tcPr>
            <w:tcW w:type="dxa" w:w="9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bCs/>
                <w:color w:val="2E5F8A"/>
                <w:sz w:val="18"/>
                <w:szCs w:val="18"/>
              </w:rPr>
              <w:t xml:space="preserve">Tier 2</w:t>
            </w:r>
          </w:p>
        </w:tc>
        <w:tc>
          <w:tcPr>
            <w:tcW w:type="dxa" w:w="225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7"/>
                <w:szCs w:val="17"/>
              </w:rPr>
              <w:t xml:space="preserve">MIL-STD-130 application; IUID Registry use</w:t>
            </w:r>
          </w:p>
        </w:tc>
        <w:tc>
          <w:tcPr>
            <w:tcW w:type="dxa" w:w="225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7"/>
                <w:szCs w:val="17"/>
              </w:rPr>
              <w:t xml:space="preserve">Process discipline; accuracy</w:t>
            </w:r>
          </w:p>
        </w:tc>
      </w:tr>
      <w:tr>
        <w:tc>
          <w:tcPr>
            <w:tcW w:type="dxa" w:w="10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2E5F8A"/>
                <w:sz w:val="17"/>
                <w:szCs w:val="17"/>
              </w:rPr>
              <w:t xml:space="preserve">§3.2.5.1(1)</w:t>
            </w:r>
          </w:p>
        </w:tc>
        <w:tc>
          <w:tcPr>
            <w:tcW w:type="dxa" w:w="28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7"/>
                <w:szCs w:val="17"/>
              </w:rPr>
              <w:t xml:space="preserve">Identify internal and external interface requirements for the system and its CIs.</w:t>
            </w:r>
          </w:p>
        </w:tc>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C00000"/>
                <w:sz w:val="18"/>
                <w:szCs w:val="18"/>
              </w:rPr>
              <w:t xml:space="preserve">Tier 3</w:t>
            </w:r>
          </w:p>
        </w:tc>
        <w:tc>
          <w:tcPr>
            <w:tcW w:type="dxa" w:w="225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7"/>
                <w:szCs w:val="17"/>
              </w:rPr>
              <w:t xml:space="preserve">System architecture; interface engineering</w:t>
            </w:r>
          </w:p>
        </w:tc>
        <w:tc>
          <w:tcPr>
            <w:tcW w:type="dxa" w:w="225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7"/>
                <w:szCs w:val="17"/>
              </w:rPr>
              <w:t xml:space="preserve">Cross-disciplinary collaboration; negotiation</w:t>
            </w:r>
          </w:p>
        </w:tc>
      </w:tr>
      <w:tr>
        <w:tc>
          <w:tcPr>
            <w:tcW w:type="dxa" w:w="10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bCs/>
                <w:color w:val="2E5F8A"/>
                <w:sz w:val="17"/>
                <w:szCs w:val="17"/>
              </w:rPr>
              <w:t xml:space="preserve">§3.2.5.2(2)a</w:t>
            </w:r>
          </w:p>
        </w:tc>
        <w:tc>
          <w:tcPr>
            <w:tcW w:type="dxa" w:w="28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7"/>
                <w:szCs w:val="17"/>
              </w:rPr>
              <w:t xml:space="preserve">ICWG Supplier representative shall be empowered to commit the interfacing sub-supplier to specific interface actions and agreements.</w:t>
            </w:r>
          </w:p>
        </w:tc>
        <w:tc>
          <w:tcPr>
            <w:tcW w:type="dxa" w:w="9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bCs/>
                <w:color w:val="C00000"/>
                <w:sz w:val="18"/>
                <w:szCs w:val="18"/>
              </w:rPr>
              <w:t xml:space="preserve">Tier 3</w:t>
            </w:r>
          </w:p>
        </w:tc>
        <w:tc>
          <w:tcPr>
            <w:tcW w:type="dxa" w:w="225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7"/>
                <w:szCs w:val="17"/>
              </w:rPr>
              <w:t xml:space="preserve">Interface management; ICWG protocols</w:t>
            </w:r>
          </w:p>
        </w:tc>
        <w:tc>
          <w:tcPr>
            <w:tcW w:type="dxa" w:w="225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7"/>
                <w:szCs w:val="17"/>
              </w:rPr>
              <w:t xml:space="preserve">Negotiation; technical credibility; assertiveness</w:t>
            </w:r>
          </w:p>
        </w:tc>
      </w:tr>
    </w:tbl>
    <w:p>
      <w:pPr>
        <w:spacing w:after="0" w:before="120"/>
      </w:pPr>
    </w:p>
    <w:p>
      <w:pPr>
        <w:pStyle w:val="Heading2"/>
        <w:shd w:fill="2E5F8A" w:val="clear"/>
        <w:spacing w:after="80" w:before="200"/>
        <w:ind w:left="120"/>
      </w:pPr>
      <w:r>
        <w:rPr>
          <w:rFonts w:ascii="Arial" w:cs="Arial" w:eastAsia="Arial" w:hAnsi="Arial"/>
          <w:b/>
          <w:bCs/>
          <w:color w:val="FFFFFF"/>
          <w:sz w:val="28"/>
          <w:szCs w:val="28"/>
        </w:rPr>
        <w:t xml:space="preserve">A.3  Configuration Change Management (§3.3)</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2880"/>
        <w:gridCol w:w="900"/>
        <w:gridCol w:w="2250"/>
        <w:gridCol w:w="2250"/>
      </w:tblGrid>
      <w:tr>
        <w:trPr>
          <w:tblHeader/>
        </w:trPr>
        <w:tc>
          <w:tcPr>
            <w:tcW w:type="dxa" w:w="1080"/>
            <w:tcBorders>
              <w:top w:val="single" w:color="AAAAAA" w:sz="4"/>
              <w:left w:val="single" w:color="AAAAAA" w:sz="4"/>
              <w:bottom w:val="single" w:color="AAAAAA" w:sz="4"/>
              <w:right w:val="single" w:color="AAAAAA" w:sz="4"/>
            </w:tcBorders>
            <w:shd w:fill="1F3864" w:val="clear"/>
            <w:tcMar>
              <w:top w:type="dxa" w:w="100"/>
              <w:left w:type="dxa" w:w="120"/>
              <w:bottom w:type="dxa" w:w="100"/>
              <w:right w:type="dxa" w:w="120"/>
            </w:tcMar>
            <w:vAlign w:val="center"/>
          </w:tcPr>
          <w:p>
            <w:pPr>
              <w:spacing w:after="40" w:before="40"/>
              <w:jc w:val="center"/>
            </w:pPr>
            <w:r>
              <w:rPr>
                <w:rFonts w:ascii="Arial" w:cs="Arial" w:eastAsia="Arial" w:hAnsi="Arial"/>
                <w:b/>
                <w:bCs/>
                <w:color w:val="FFFFFF"/>
                <w:sz w:val="20"/>
                <w:szCs w:val="20"/>
              </w:rPr>
              <w:t xml:space="preserve">Req ID</w:t>
            </w:r>
          </w:p>
        </w:tc>
        <w:tc>
          <w:tcPr>
            <w:tcW w:type="dxa" w:w="2880"/>
            <w:tcBorders>
              <w:top w:val="single" w:color="AAAAAA" w:sz="4"/>
              <w:left w:val="single" w:color="AAAAAA" w:sz="4"/>
              <w:bottom w:val="single" w:color="AAAAAA" w:sz="4"/>
              <w:right w:val="single" w:color="AAAAAA" w:sz="4"/>
            </w:tcBorders>
            <w:shd w:fill="1F3864" w:val="clear"/>
            <w:tcMar>
              <w:top w:type="dxa" w:w="100"/>
              <w:left w:type="dxa" w:w="120"/>
              <w:bottom w:type="dxa" w:w="100"/>
              <w:right w:type="dxa" w:w="120"/>
            </w:tcMar>
            <w:vAlign w:val="center"/>
          </w:tcPr>
          <w:p>
            <w:pPr>
              <w:spacing w:after="40" w:before="40"/>
              <w:jc w:val="center"/>
            </w:pPr>
            <w:r>
              <w:rPr>
                <w:rFonts w:ascii="Arial" w:cs="Arial" w:eastAsia="Arial" w:hAnsi="Arial"/>
                <w:b/>
                <w:bCs/>
                <w:color w:val="FFFFFF"/>
                <w:sz w:val="20"/>
                <w:szCs w:val="20"/>
              </w:rPr>
              <w:t xml:space="preserve">Requirement (Paraphrased)</w:t>
            </w:r>
          </w:p>
        </w:tc>
        <w:tc>
          <w:tcPr>
            <w:tcW w:type="dxa" w:w="900"/>
            <w:tcBorders>
              <w:top w:val="single" w:color="AAAAAA" w:sz="4"/>
              <w:left w:val="single" w:color="AAAAAA" w:sz="4"/>
              <w:bottom w:val="single" w:color="AAAAAA" w:sz="4"/>
              <w:right w:val="single" w:color="AAAAAA" w:sz="4"/>
            </w:tcBorders>
            <w:shd w:fill="1F3864" w:val="clear"/>
            <w:tcMar>
              <w:top w:type="dxa" w:w="100"/>
              <w:left w:type="dxa" w:w="120"/>
              <w:bottom w:type="dxa" w:w="100"/>
              <w:right w:type="dxa" w:w="120"/>
            </w:tcMar>
            <w:vAlign w:val="center"/>
          </w:tcPr>
          <w:p>
            <w:pPr>
              <w:spacing w:after="40" w:before="40"/>
              <w:jc w:val="center"/>
            </w:pPr>
            <w:r>
              <w:rPr>
                <w:rFonts w:ascii="Arial" w:cs="Arial" w:eastAsia="Arial" w:hAnsi="Arial"/>
                <w:b/>
                <w:bCs/>
                <w:color w:val="FFFFFF"/>
                <w:sz w:val="20"/>
                <w:szCs w:val="20"/>
              </w:rPr>
              <w:t xml:space="preserve">Min Tier</w:t>
            </w:r>
          </w:p>
        </w:tc>
        <w:tc>
          <w:tcPr>
            <w:tcW w:type="dxa" w:w="2250"/>
            <w:tcBorders>
              <w:top w:val="single" w:color="AAAAAA" w:sz="4"/>
              <w:left w:val="single" w:color="AAAAAA" w:sz="4"/>
              <w:bottom w:val="single" w:color="AAAAAA" w:sz="4"/>
              <w:right w:val="single" w:color="AAAAAA" w:sz="4"/>
            </w:tcBorders>
            <w:shd w:fill="1F3864" w:val="clear"/>
            <w:tcMar>
              <w:top w:type="dxa" w:w="100"/>
              <w:left w:type="dxa" w:w="120"/>
              <w:bottom w:type="dxa" w:w="100"/>
              <w:right w:type="dxa" w:w="120"/>
            </w:tcMar>
            <w:vAlign w:val="center"/>
          </w:tcPr>
          <w:p>
            <w:pPr>
              <w:spacing w:after="40" w:before="40"/>
              <w:jc w:val="center"/>
            </w:pPr>
            <w:r>
              <w:rPr>
                <w:rFonts w:ascii="Arial" w:cs="Arial" w:eastAsia="Arial" w:hAnsi="Arial"/>
                <w:b/>
                <w:bCs/>
                <w:color w:val="FFFFFF"/>
                <w:sz w:val="20"/>
                <w:szCs w:val="20"/>
              </w:rPr>
              <w:t xml:space="preserve">Key Technical Skill</w:t>
            </w:r>
          </w:p>
        </w:tc>
        <w:tc>
          <w:tcPr>
            <w:tcW w:type="dxa" w:w="2250"/>
            <w:tcBorders>
              <w:top w:val="single" w:color="AAAAAA" w:sz="4"/>
              <w:left w:val="single" w:color="AAAAAA" w:sz="4"/>
              <w:bottom w:val="single" w:color="AAAAAA" w:sz="4"/>
              <w:right w:val="single" w:color="AAAAAA" w:sz="4"/>
            </w:tcBorders>
            <w:shd w:fill="1F3864" w:val="clear"/>
            <w:tcMar>
              <w:top w:type="dxa" w:w="100"/>
              <w:left w:type="dxa" w:w="120"/>
              <w:bottom w:type="dxa" w:w="100"/>
              <w:right w:type="dxa" w:w="120"/>
            </w:tcMar>
            <w:vAlign w:val="center"/>
          </w:tcPr>
          <w:p>
            <w:pPr>
              <w:spacing w:after="40" w:before="40"/>
              <w:jc w:val="center"/>
            </w:pPr>
            <w:r>
              <w:rPr>
                <w:rFonts w:ascii="Arial" w:cs="Arial" w:eastAsia="Arial" w:hAnsi="Arial"/>
                <w:b/>
                <w:bCs/>
                <w:color w:val="FFFFFF"/>
                <w:sz w:val="20"/>
                <w:szCs w:val="20"/>
              </w:rPr>
              <w:t xml:space="preserve">Key Soft Skill</w:t>
            </w:r>
          </w:p>
        </w:tc>
      </w:tr>
      <w:tr>
        <w:tc>
          <w:tcPr>
            <w:tcW w:type="dxa" w:w="10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2E5F8A"/>
                <w:sz w:val="17"/>
                <w:szCs w:val="17"/>
              </w:rPr>
              <w:t xml:space="preserve">§3.3(2)b</w:t>
            </w:r>
          </w:p>
        </w:tc>
        <w:tc>
          <w:tcPr>
            <w:tcW w:type="dxa" w:w="28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7"/>
                <w:szCs w:val="17"/>
              </w:rPr>
              <w:t xml:space="preserve">Maintain configuration identification control of all CIs and their associated configuration documentation.</w:t>
            </w:r>
          </w:p>
        </w:tc>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2E5F8A"/>
                <w:sz w:val="18"/>
                <w:szCs w:val="18"/>
              </w:rPr>
              <w:t xml:space="preserve">Tier 2</w:t>
            </w:r>
          </w:p>
        </w:tc>
        <w:tc>
          <w:tcPr>
            <w:tcW w:type="dxa" w:w="225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7"/>
                <w:szCs w:val="17"/>
              </w:rPr>
              <w:t xml:space="preserve">PLM/PDM administration; revision tracking</w:t>
            </w:r>
          </w:p>
        </w:tc>
        <w:tc>
          <w:tcPr>
            <w:tcW w:type="dxa" w:w="225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7"/>
                <w:szCs w:val="17"/>
              </w:rPr>
              <w:t xml:space="preserve">Process discipline; attention to detail</w:t>
            </w:r>
          </w:p>
        </w:tc>
      </w:tr>
      <w:tr>
        <w:tc>
          <w:tcPr>
            <w:tcW w:type="dxa" w:w="10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bCs/>
                <w:color w:val="2E5F8A"/>
                <w:sz w:val="17"/>
                <w:szCs w:val="17"/>
              </w:rPr>
              <w:t xml:space="preserve">§3.3(2)d</w:t>
            </w:r>
          </w:p>
        </w:tc>
        <w:tc>
          <w:tcPr>
            <w:tcW w:type="dxa" w:w="28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7"/>
                <w:szCs w:val="17"/>
              </w:rPr>
              <w:t xml:space="preserve">Requested configuration changes and variances address all areas of impact: cost, operational, sustainment, implementation actions (tooling, manufacturing planning, interface, support equipment, software, retrofit).</w:t>
            </w:r>
          </w:p>
        </w:tc>
        <w:tc>
          <w:tcPr>
            <w:tcW w:type="dxa" w:w="9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bCs/>
                <w:color w:val="C00000"/>
                <w:sz w:val="18"/>
                <w:szCs w:val="18"/>
              </w:rPr>
              <w:t xml:space="preserve">Tier 3</w:t>
            </w:r>
          </w:p>
        </w:tc>
        <w:tc>
          <w:tcPr>
            <w:tcW w:type="dxa" w:w="225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7"/>
                <w:szCs w:val="17"/>
              </w:rPr>
              <w:t xml:space="preserve">Multi-domain impact assessment; cost/schedule analysis</w:t>
            </w:r>
          </w:p>
        </w:tc>
        <w:tc>
          <w:tcPr>
            <w:tcW w:type="dxa" w:w="225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7"/>
                <w:szCs w:val="17"/>
              </w:rPr>
              <w:t xml:space="preserve">Analytical judgment; written communication</w:t>
            </w:r>
          </w:p>
        </w:tc>
      </w:tr>
      <w:tr>
        <w:tc>
          <w:tcPr>
            <w:tcW w:type="dxa" w:w="10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2E5F8A"/>
                <w:sz w:val="17"/>
                <w:szCs w:val="17"/>
              </w:rPr>
              <w:t xml:space="preserve">§3.3(2)e</w:t>
            </w:r>
          </w:p>
        </w:tc>
        <w:tc>
          <w:tcPr>
            <w:tcW w:type="dxa" w:w="28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7"/>
                <w:szCs w:val="17"/>
              </w:rPr>
              <w:t xml:space="preserve">Released/approved configuration changes are incorporated into all product configuration information and implemented into each impacted CI in a timely manner.</w:t>
            </w:r>
          </w:p>
        </w:tc>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2E5F8A"/>
                <w:sz w:val="18"/>
                <w:szCs w:val="18"/>
              </w:rPr>
              <w:t xml:space="preserve">Tier 2</w:t>
            </w:r>
          </w:p>
        </w:tc>
        <w:tc>
          <w:tcPr>
            <w:tcW w:type="dxa" w:w="225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7"/>
                <w:szCs w:val="17"/>
              </w:rPr>
              <w:t xml:space="preserve">Change incorporation; CSA system update</w:t>
            </w:r>
          </w:p>
        </w:tc>
        <w:tc>
          <w:tcPr>
            <w:tcW w:type="dxa" w:w="225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7"/>
                <w:szCs w:val="17"/>
              </w:rPr>
              <w:t xml:space="preserve">Persistence; follow-through</w:t>
            </w:r>
          </w:p>
        </w:tc>
      </w:tr>
      <w:tr>
        <w:tc>
          <w:tcPr>
            <w:tcW w:type="dxa" w:w="10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bCs/>
                <w:color w:val="2E5F8A"/>
                <w:sz w:val="17"/>
                <w:szCs w:val="17"/>
              </w:rPr>
              <w:t xml:space="preserve">§3.3.1(1)</w:t>
            </w:r>
          </w:p>
        </w:tc>
        <w:tc>
          <w:tcPr>
            <w:tcW w:type="dxa" w:w="28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7"/>
                <w:szCs w:val="17"/>
              </w:rPr>
              <w:t xml:space="preserve">Use an ECP to document changes to Acquirer-approved configuration documentation.</w:t>
            </w:r>
          </w:p>
        </w:tc>
        <w:tc>
          <w:tcPr>
            <w:tcW w:type="dxa" w:w="9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bCs/>
                <w:color w:val="2E5F8A"/>
                <w:sz w:val="18"/>
                <w:szCs w:val="18"/>
              </w:rPr>
              <w:t xml:space="preserve">Tier 2</w:t>
            </w:r>
          </w:p>
        </w:tc>
        <w:tc>
          <w:tcPr>
            <w:tcW w:type="dxa" w:w="225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7"/>
                <w:szCs w:val="17"/>
              </w:rPr>
              <w:t xml:space="preserve">ECP preparation per DI-SESS-80639; DD Form 1692</w:t>
            </w:r>
          </w:p>
        </w:tc>
        <w:tc>
          <w:tcPr>
            <w:tcW w:type="dxa" w:w="225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7"/>
                <w:szCs w:val="17"/>
              </w:rPr>
              <w:t xml:space="preserve">Written communication; process discipline</w:t>
            </w:r>
          </w:p>
        </w:tc>
      </w:tr>
      <w:tr>
        <w:tc>
          <w:tcPr>
            <w:tcW w:type="dxa" w:w="10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2E5F8A"/>
                <w:sz w:val="17"/>
                <w:szCs w:val="17"/>
              </w:rPr>
              <w:t xml:space="preserve">§3.3.1.1(1)b</w:t>
            </w:r>
          </w:p>
        </w:tc>
        <w:tc>
          <w:tcPr>
            <w:tcW w:type="dxa" w:w="28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7"/>
                <w:szCs w:val="17"/>
              </w:rPr>
              <w:t xml:space="preserve">Review product model and other technical data to determine what specific changes will need to be made.</w:t>
            </w:r>
          </w:p>
        </w:tc>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C00000"/>
                <w:sz w:val="18"/>
                <w:szCs w:val="18"/>
              </w:rPr>
              <w:t xml:space="preserve">Tier 3</w:t>
            </w:r>
          </w:p>
        </w:tc>
        <w:tc>
          <w:tcPr>
            <w:tcW w:type="dxa" w:w="225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7"/>
                <w:szCs w:val="17"/>
              </w:rPr>
              <w:t xml:space="preserve">Engineering drawing/CAD/specification review</w:t>
            </w:r>
          </w:p>
        </w:tc>
        <w:tc>
          <w:tcPr>
            <w:tcW w:type="dxa" w:w="225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7"/>
                <w:szCs w:val="17"/>
              </w:rPr>
              <w:t xml:space="preserve">Analytical rigor; attention to detail</w:t>
            </w:r>
          </w:p>
        </w:tc>
      </w:tr>
      <w:tr>
        <w:tc>
          <w:tcPr>
            <w:tcW w:type="dxa" w:w="10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bCs/>
                <w:color w:val="2E5F8A"/>
                <w:sz w:val="17"/>
                <w:szCs w:val="17"/>
              </w:rPr>
              <w:t xml:space="preserve">§3.3.1.1(1)d</w:t>
            </w:r>
          </w:p>
        </w:tc>
        <w:tc>
          <w:tcPr>
            <w:tcW w:type="dxa" w:w="28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7"/>
                <w:szCs w:val="17"/>
              </w:rPr>
              <w:t xml:space="preserve">Prepare a separate ECP for each engineering change that has its own distinct objective.</w:t>
            </w:r>
          </w:p>
        </w:tc>
        <w:tc>
          <w:tcPr>
            <w:tcW w:type="dxa" w:w="9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bCs/>
                <w:color w:val="C00000"/>
                <w:sz w:val="18"/>
                <w:szCs w:val="18"/>
              </w:rPr>
              <w:t xml:space="preserve">Tier 3</w:t>
            </w:r>
          </w:p>
        </w:tc>
        <w:tc>
          <w:tcPr>
            <w:tcW w:type="dxa" w:w="225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7"/>
                <w:szCs w:val="17"/>
              </w:rPr>
              <w:t xml:space="preserve">Change scope definition; documentation discipline</w:t>
            </w:r>
          </w:p>
        </w:tc>
        <w:tc>
          <w:tcPr>
            <w:tcW w:type="dxa" w:w="225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7"/>
                <w:szCs w:val="17"/>
              </w:rPr>
              <w:t xml:space="preserve">Process discipline; organizational skills</w:t>
            </w:r>
          </w:p>
        </w:tc>
      </w:tr>
      <w:tr>
        <w:tc>
          <w:tcPr>
            <w:tcW w:type="dxa" w:w="10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2E5F8A"/>
                <w:sz w:val="17"/>
                <w:szCs w:val="17"/>
              </w:rPr>
              <w:t xml:space="preserve">§3.3.1.2(1)</w:t>
            </w:r>
          </w:p>
        </w:tc>
        <w:tc>
          <w:tcPr>
            <w:tcW w:type="dxa" w:w="28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7"/>
                <w:szCs w:val="17"/>
              </w:rPr>
              <w:t xml:space="preserve">Use DD Form 1692 content to assign a Major (Class I) or Minor (Class II) classification to an ECP.</w:t>
            </w:r>
          </w:p>
        </w:tc>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C00000"/>
                <w:sz w:val="18"/>
                <w:szCs w:val="18"/>
              </w:rPr>
              <w:t xml:space="preserve">Tier 3</w:t>
            </w:r>
          </w:p>
        </w:tc>
        <w:tc>
          <w:tcPr>
            <w:tcW w:type="dxa" w:w="225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7"/>
                <w:szCs w:val="17"/>
              </w:rPr>
              <w:t xml:space="preserve">Class I/II criteria application; safety/performance threshold judgment</w:t>
            </w:r>
          </w:p>
        </w:tc>
        <w:tc>
          <w:tcPr>
            <w:tcW w:type="dxa" w:w="225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7"/>
                <w:szCs w:val="17"/>
              </w:rPr>
              <w:t xml:space="preserve">Analytical judgment; technical assertiveness</w:t>
            </w:r>
          </w:p>
        </w:tc>
      </w:tr>
      <w:tr>
        <w:tc>
          <w:tcPr>
            <w:tcW w:type="dxa" w:w="10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bCs/>
                <w:color w:val="2E5F8A"/>
                <w:sz w:val="17"/>
                <w:szCs w:val="17"/>
              </w:rPr>
              <w:t xml:space="preserve">§3.3.1.4(1)</w:t>
            </w:r>
          </w:p>
        </w:tc>
        <w:tc>
          <w:tcPr>
            <w:tcW w:type="dxa" w:w="28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7"/>
                <w:szCs w:val="17"/>
              </w:rPr>
              <w:t xml:space="preserve">Support ECPs with drawings and data (LSA, detailed cost, test data and analyses, quality, packaging, interchangeability factors) to evaluate change impact.</w:t>
            </w:r>
          </w:p>
        </w:tc>
        <w:tc>
          <w:tcPr>
            <w:tcW w:type="dxa" w:w="9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bCs/>
                <w:color w:val="C00000"/>
                <w:sz w:val="18"/>
                <w:szCs w:val="18"/>
              </w:rPr>
              <w:t xml:space="preserve">Tier 3</w:t>
            </w:r>
          </w:p>
        </w:tc>
        <w:tc>
          <w:tcPr>
            <w:tcW w:type="dxa" w:w="225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7"/>
                <w:szCs w:val="17"/>
              </w:rPr>
              <w:t xml:space="preserve">LSA interpretation; test data evaluation; interchangeability assessment</w:t>
            </w:r>
          </w:p>
        </w:tc>
        <w:tc>
          <w:tcPr>
            <w:tcW w:type="dxa" w:w="225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7"/>
                <w:szCs w:val="17"/>
              </w:rPr>
              <w:t xml:space="preserve">Analytical rigor; written communication</w:t>
            </w:r>
          </w:p>
        </w:tc>
      </w:tr>
      <w:tr>
        <w:tc>
          <w:tcPr>
            <w:tcW w:type="dxa" w:w="10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2E5F8A"/>
                <w:sz w:val="17"/>
                <w:szCs w:val="17"/>
              </w:rPr>
              <w:t xml:space="preserve">§3.3.1.4(3)</w:t>
            </w:r>
          </w:p>
        </w:tc>
        <w:tc>
          <w:tcPr>
            <w:tcW w:type="dxa" w:w="28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7"/>
                <w:szCs w:val="17"/>
              </w:rPr>
              <w:t xml:space="preserve">Include a summary of testing done by the Supplier to validate concepts or new technology employed in the proposed change.</w:t>
            </w:r>
          </w:p>
        </w:tc>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C00000"/>
                <w:sz w:val="18"/>
                <w:szCs w:val="18"/>
              </w:rPr>
              <w:t xml:space="preserve">Tier 3</w:t>
            </w:r>
          </w:p>
        </w:tc>
        <w:tc>
          <w:tcPr>
            <w:tcW w:type="dxa" w:w="225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7"/>
                <w:szCs w:val="17"/>
              </w:rPr>
              <w:t xml:space="preserve">Test methodology evaluation; verification literacy</w:t>
            </w:r>
          </w:p>
        </w:tc>
        <w:tc>
          <w:tcPr>
            <w:tcW w:type="dxa" w:w="225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7"/>
                <w:szCs w:val="17"/>
              </w:rPr>
              <w:t xml:space="preserve">Analytical judgment; written communication</w:t>
            </w:r>
          </w:p>
        </w:tc>
      </w:tr>
      <w:tr>
        <w:tc>
          <w:tcPr>
            <w:tcW w:type="dxa" w:w="10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bCs/>
                <w:color w:val="2E5F8A"/>
                <w:sz w:val="17"/>
                <w:szCs w:val="17"/>
              </w:rPr>
              <w:t xml:space="preserve">§3.3.1.6(1)</w:t>
            </w:r>
          </w:p>
        </w:tc>
        <w:tc>
          <w:tcPr>
            <w:tcW w:type="dxa" w:w="28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7"/>
                <w:szCs w:val="17"/>
              </w:rPr>
              <w:t xml:space="preserve">Shall not assign an Emergency or Urgent Engineering Change Priority to a Minor (Class II) ECP.</w:t>
            </w:r>
          </w:p>
        </w:tc>
        <w:tc>
          <w:tcPr>
            <w:tcW w:type="dxa" w:w="9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bCs/>
                <w:color w:val="2E5F8A"/>
                <w:sz w:val="18"/>
                <w:szCs w:val="18"/>
              </w:rPr>
              <w:t xml:space="preserve">Tier 2</w:t>
            </w:r>
          </w:p>
        </w:tc>
        <w:tc>
          <w:tcPr>
            <w:tcW w:type="dxa" w:w="225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7"/>
                <w:szCs w:val="17"/>
              </w:rPr>
              <w:t xml:space="preserve">Priority/classification rule application</w:t>
            </w:r>
          </w:p>
        </w:tc>
        <w:tc>
          <w:tcPr>
            <w:tcW w:type="dxa" w:w="225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7"/>
                <w:szCs w:val="17"/>
              </w:rPr>
              <w:t xml:space="preserve">Process discipline; rule consistency</w:t>
            </w:r>
          </w:p>
        </w:tc>
      </w:tr>
      <w:tr>
        <w:tc>
          <w:tcPr>
            <w:tcW w:type="dxa" w:w="10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2E5F8A"/>
                <w:sz w:val="17"/>
                <w:szCs w:val="17"/>
              </w:rPr>
              <w:t xml:space="preserve">§3.3.2(1)</w:t>
            </w:r>
          </w:p>
        </w:tc>
        <w:tc>
          <w:tcPr>
            <w:tcW w:type="dxa" w:w="28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7"/>
                <w:szCs w:val="17"/>
              </w:rPr>
              <w:t xml:space="preserve">Obtain Acquirer's approval on any product produced as defective or nonconforming (pre-production RFV) before delivery.</w:t>
            </w:r>
          </w:p>
        </w:tc>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C00000"/>
                <w:sz w:val="18"/>
                <w:szCs w:val="18"/>
              </w:rPr>
              <w:t xml:space="preserve">Tier 3</w:t>
            </w:r>
          </w:p>
        </w:tc>
        <w:tc>
          <w:tcPr>
            <w:tcW w:type="dxa" w:w="225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7"/>
                <w:szCs w:val="17"/>
              </w:rPr>
              <w:t xml:space="preserve">Nonconformance assessment; RFV processing (DI-SESS-80640)</w:t>
            </w:r>
          </w:p>
        </w:tc>
        <w:tc>
          <w:tcPr>
            <w:tcW w:type="dxa" w:w="225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7"/>
                <w:szCs w:val="17"/>
              </w:rPr>
              <w:t xml:space="preserve">Customer interface; negotiation</w:t>
            </w:r>
          </w:p>
        </w:tc>
      </w:tr>
      <w:tr>
        <w:tc>
          <w:tcPr>
            <w:tcW w:type="dxa" w:w="10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bCs/>
                <w:color w:val="2E5F8A"/>
                <w:sz w:val="17"/>
                <w:szCs w:val="17"/>
              </w:rPr>
              <w:t xml:space="preserve">§3.3.2.2(1)</w:t>
            </w:r>
          </w:p>
        </w:tc>
        <w:tc>
          <w:tcPr>
            <w:tcW w:type="dxa" w:w="28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7"/>
                <w:szCs w:val="17"/>
              </w:rPr>
              <w:t xml:space="preserve">Use DD Form 1694 content to assign Critical/Major or Minor classification to an RFV.</w:t>
            </w:r>
          </w:p>
        </w:tc>
        <w:tc>
          <w:tcPr>
            <w:tcW w:type="dxa" w:w="9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bCs/>
                <w:color w:val="C00000"/>
                <w:sz w:val="18"/>
                <w:szCs w:val="18"/>
              </w:rPr>
              <w:t xml:space="preserve">Tier 3</w:t>
            </w:r>
          </w:p>
        </w:tc>
        <w:tc>
          <w:tcPr>
            <w:tcW w:type="dxa" w:w="225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7"/>
                <w:szCs w:val="17"/>
              </w:rPr>
              <w:t xml:space="preserve">RFV classification criteria; consequence assessment</w:t>
            </w:r>
          </w:p>
        </w:tc>
        <w:tc>
          <w:tcPr>
            <w:tcW w:type="dxa" w:w="225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7"/>
                <w:szCs w:val="17"/>
              </w:rPr>
              <w:t xml:space="preserve">Analytical judgment; technical assertiveness</w:t>
            </w:r>
          </w:p>
        </w:tc>
      </w:tr>
      <w:tr>
        <w:tc>
          <w:tcPr>
            <w:tcW w:type="dxa" w:w="10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2E5F8A"/>
                <w:sz w:val="17"/>
                <w:szCs w:val="17"/>
              </w:rPr>
              <w:t xml:space="preserve">§3.3.4(1)</w:t>
            </w:r>
          </w:p>
        </w:tc>
        <w:tc>
          <w:tcPr>
            <w:tcW w:type="dxa" w:w="28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7"/>
                <w:szCs w:val="17"/>
              </w:rPr>
              <w:t xml:space="preserve">Submit a NOR for each document affected by an ECP.</w:t>
            </w:r>
          </w:p>
        </w:tc>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2E5F8A"/>
                <w:sz w:val="18"/>
                <w:szCs w:val="18"/>
              </w:rPr>
              <w:t xml:space="preserve">Tier 2</w:t>
            </w:r>
          </w:p>
        </w:tc>
        <w:tc>
          <w:tcPr>
            <w:tcW w:type="dxa" w:w="225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7"/>
                <w:szCs w:val="17"/>
              </w:rPr>
              <w:t xml:space="preserve">NOR preparation per DI-SESS-80642</w:t>
            </w:r>
          </w:p>
        </w:tc>
        <w:tc>
          <w:tcPr>
            <w:tcW w:type="dxa" w:w="225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7"/>
                <w:szCs w:val="17"/>
              </w:rPr>
              <w:t xml:space="preserve">Process discipline; attention to detail</w:t>
            </w:r>
          </w:p>
        </w:tc>
      </w:tr>
    </w:tbl>
    <w:p>
      <w:pPr>
        <w:spacing w:after="0" w:before="120"/>
      </w:pPr>
    </w:p>
    <w:p>
      <w:pPr>
        <w:pStyle w:val="Heading2"/>
        <w:shd w:fill="2E5F8A" w:val="clear"/>
        <w:spacing w:after="80" w:before="200"/>
        <w:ind w:left="120"/>
      </w:pPr>
      <w:r>
        <w:rPr>
          <w:rFonts w:ascii="Arial" w:cs="Arial" w:eastAsia="Arial" w:hAnsi="Arial"/>
          <w:b/>
          <w:bCs/>
          <w:color w:val="FFFFFF"/>
          <w:sz w:val="28"/>
          <w:szCs w:val="28"/>
        </w:rPr>
        <w:t xml:space="preserve">A.4  Configuration Status Accounting (§3.4)</w:t>
      </w:r>
    </w:p>
    <w:p>
      <w:pPr>
        <w:spacing w:after="0" w:before="40"/>
      </w:pPr>
    </w:p>
    <w:p>
      <w:pPr>
        <w:spacing w:after="80" w:before="60"/>
        <w:jc w:val="left"/>
      </w:pPr>
      <w:r>
        <w:rPr>
          <w:rFonts w:ascii="Arial" w:cs="Arial" w:eastAsia="Arial" w:hAnsi="Arial"/>
          <w:i w:val="false"/>
          <w:iCs w:val="false"/>
          <w:color w:val="404040"/>
          <w:sz w:val="22"/>
          <w:szCs w:val="22"/>
        </w:rPr>
        <w:t xml:space="preserve">Note: Tier allocations in this section assume the absence of a CSA automation tool — the documented current state of the company. Implementation of a CSA tool would reduce several allocations from Tier 3 to Tier 2.</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2880"/>
        <w:gridCol w:w="900"/>
        <w:gridCol w:w="2250"/>
        <w:gridCol w:w="2250"/>
      </w:tblGrid>
      <w:tr>
        <w:trPr>
          <w:tblHeader/>
        </w:trPr>
        <w:tc>
          <w:tcPr>
            <w:tcW w:type="dxa" w:w="1080"/>
            <w:tcBorders>
              <w:top w:val="single" w:color="AAAAAA" w:sz="4"/>
              <w:left w:val="single" w:color="AAAAAA" w:sz="4"/>
              <w:bottom w:val="single" w:color="AAAAAA" w:sz="4"/>
              <w:right w:val="single" w:color="AAAAAA" w:sz="4"/>
            </w:tcBorders>
            <w:shd w:fill="1F3864" w:val="clear"/>
            <w:tcMar>
              <w:top w:type="dxa" w:w="100"/>
              <w:left w:type="dxa" w:w="120"/>
              <w:bottom w:type="dxa" w:w="100"/>
              <w:right w:type="dxa" w:w="120"/>
            </w:tcMar>
            <w:vAlign w:val="center"/>
          </w:tcPr>
          <w:p>
            <w:pPr>
              <w:spacing w:after="40" w:before="40"/>
              <w:jc w:val="center"/>
            </w:pPr>
            <w:r>
              <w:rPr>
                <w:rFonts w:ascii="Arial" w:cs="Arial" w:eastAsia="Arial" w:hAnsi="Arial"/>
                <w:b/>
                <w:bCs/>
                <w:color w:val="FFFFFF"/>
                <w:sz w:val="20"/>
                <w:szCs w:val="20"/>
              </w:rPr>
              <w:t xml:space="preserve">Req ID</w:t>
            </w:r>
          </w:p>
        </w:tc>
        <w:tc>
          <w:tcPr>
            <w:tcW w:type="dxa" w:w="2880"/>
            <w:tcBorders>
              <w:top w:val="single" w:color="AAAAAA" w:sz="4"/>
              <w:left w:val="single" w:color="AAAAAA" w:sz="4"/>
              <w:bottom w:val="single" w:color="AAAAAA" w:sz="4"/>
              <w:right w:val="single" w:color="AAAAAA" w:sz="4"/>
            </w:tcBorders>
            <w:shd w:fill="1F3864" w:val="clear"/>
            <w:tcMar>
              <w:top w:type="dxa" w:w="100"/>
              <w:left w:type="dxa" w:w="120"/>
              <w:bottom w:type="dxa" w:w="100"/>
              <w:right w:type="dxa" w:w="120"/>
            </w:tcMar>
            <w:vAlign w:val="center"/>
          </w:tcPr>
          <w:p>
            <w:pPr>
              <w:spacing w:after="40" w:before="40"/>
              <w:jc w:val="center"/>
            </w:pPr>
            <w:r>
              <w:rPr>
                <w:rFonts w:ascii="Arial" w:cs="Arial" w:eastAsia="Arial" w:hAnsi="Arial"/>
                <w:b/>
                <w:bCs/>
                <w:color w:val="FFFFFF"/>
                <w:sz w:val="20"/>
                <w:szCs w:val="20"/>
              </w:rPr>
              <w:t xml:space="preserve">Requirement (Paraphrased)</w:t>
            </w:r>
          </w:p>
        </w:tc>
        <w:tc>
          <w:tcPr>
            <w:tcW w:type="dxa" w:w="900"/>
            <w:tcBorders>
              <w:top w:val="single" w:color="AAAAAA" w:sz="4"/>
              <w:left w:val="single" w:color="AAAAAA" w:sz="4"/>
              <w:bottom w:val="single" w:color="AAAAAA" w:sz="4"/>
              <w:right w:val="single" w:color="AAAAAA" w:sz="4"/>
            </w:tcBorders>
            <w:shd w:fill="1F3864" w:val="clear"/>
            <w:tcMar>
              <w:top w:type="dxa" w:w="100"/>
              <w:left w:type="dxa" w:w="120"/>
              <w:bottom w:type="dxa" w:w="100"/>
              <w:right w:type="dxa" w:w="120"/>
            </w:tcMar>
            <w:vAlign w:val="center"/>
          </w:tcPr>
          <w:p>
            <w:pPr>
              <w:spacing w:after="40" w:before="40"/>
              <w:jc w:val="center"/>
            </w:pPr>
            <w:r>
              <w:rPr>
                <w:rFonts w:ascii="Arial" w:cs="Arial" w:eastAsia="Arial" w:hAnsi="Arial"/>
                <w:b/>
                <w:bCs/>
                <w:color w:val="FFFFFF"/>
                <w:sz w:val="20"/>
                <w:szCs w:val="20"/>
              </w:rPr>
              <w:t xml:space="preserve">Min Tier</w:t>
            </w:r>
          </w:p>
        </w:tc>
        <w:tc>
          <w:tcPr>
            <w:tcW w:type="dxa" w:w="2250"/>
            <w:tcBorders>
              <w:top w:val="single" w:color="AAAAAA" w:sz="4"/>
              <w:left w:val="single" w:color="AAAAAA" w:sz="4"/>
              <w:bottom w:val="single" w:color="AAAAAA" w:sz="4"/>
              <w:right w:val="single" w:color="AAAAAA" w:sz="4"/>
            </w:tcBorders>
            <w:shd w:fill="1F3864" w:val="clear"/>
            <w:tcMar>
              <w:top w:type="dxa" w:w="100"/>
              <w:left w:type="dxa" w:w="120"/>
              <w:bottom w:type="dxa" w:w="100"/>
              <w:right w:type="dxa" w:w="120"/>
            </w:tcMar>
            <w:vAlign w:val="center"/>
          </w:tcPr>
          <w:p>
            <w:pPr>
              <w:spacing w:after="40" w:before="40"/>
              <w:jc w:val="center"/>
            </w:pPr>
            <w:r>
              <w:rPr>
                <w:rFonts w:ascii="Arial" w:cs="Arial" w:eastAsia="Arial" w:hAnsi="Arial"/>
                <w:b/>
                <w:bCs/>
                <w:color w:val="FFFFFF"/>
                <w:sz w:val="20"/>
                <w:szCs w:val="20"/>
              </w:rPr>
              <w:t xml:space="preserve">Key Technical Skill</w:t>
            </w:r>
          </w:p>
        </w:tc>
        <w:tc>
          <w:tcPr>
            <w:tcW w:type="dxa" w:w="2250"/>
            <w:tcBorders>
              <w:top w:val="single" w:color="AAAAAA" w:sz="4"/>
              <w:left w:val="single" w:color="AAAAAA" w:sz="4"/>
              <w:bottom w:val="single" w:color="AAAAAA" w:sz="4"/>
              <w:right w:val="single" w:color="AAAAAA" w:sz="4"/>
            </w:tcBorders>
            <w:shd w:fill="1F3864" w:val="clear"/>
            <w:tcMar>
              <w:top w:type="dxa" w:w="100"/>
              <w:left w:type="dxa" w:w="120"/>
              <w:bottom w:type="dxa" w:w="100"/>
              <w:right w:type="dxa" w:w="120"/>
            </w:tcMar>
            <w:vAlign w:val="center"/>
          </w:tcPr>
          <w:p>
            <w:pPr>
              <w:spacing w:after="40" w:before="40"/>
              <w:jc w:val="center"/>
            </w:pPr>
            <w:r>
              <w:rPr>
                <w:rFonts w:ascii="Arial" w:cs="Arial" w:eastAsia="Arial" w:hAnsi="Arial"/>
                <w:b/>
                <w:bCs/>
                <w:color w:val="FFFFFF"/>
                <w:sz w:val="20"/>
                <w:szCs w:val="20"/>
              </w:rPr>
              <w:t xml:space="preserve">Key Soft Skill</w:t>
            </w:r>
          </w:p>
        </w:tc>
      </w:tr>
      <w:tr>
        <w:tc>
          <w:tcPr>
            <w:tcW w:type="dxa" w:w="10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2E5F8A"/>
                <w:sz w:val="17"/>
                <w:szCs w:val="17"/>
              </w:rPr>
              <w:t xml:space="preserve">§3.4(1)</w:t>
            </w:r>
          </w:p>
        </w:tc>
        <w:tc>
          <w:tcPr>
            <w:tcW w:type="dxa" w:w="28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7"/>
                <w:szCs w:val="17"/>
              </w:rPr>
              <w:t xml:space="preserve">Maintain the validity of CSA by storing valid data in the CSA system.</w:t>
            </w:r>
          </w:p>
        </w:tc>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595959"/>
                <w:sz w:val="18"/>
                <w:szCs w:val="18"/>
              </w:rPr>
              <w:t xml:space="preserve">Tier 1</w:t>
            </w:r>
          </w:p>
        </w:tc>
        <w:tc>
          <w:tcPr>
            <w:tcW w:type="dxa" w:w="225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7"/>
                <w:szCs w:val="17"/>
              </w:rPr>
              <w:t xml:space="preserve">Data entry discipline; CSA system operation</w:t>
            </w:r>
          </w:p>
        </w:tc>
        <w:tc>
          <w:tcPr>
            <w:tcW w:type="dxa" w:w="225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7"/>
                <w:szCs w:val="17"/>
              </w:rPr>
              <w:t xml:space="preserve">Attention to detail; data integrity mindset</w:t>
            </w:r>
          </w:p>
        </w:tc>
      </w:tr>
      <w:tr>
        <w:tc>
          <w:tcPr>
            <w:tcW w:type="dxa" w:w="10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bCs/>
                <w:color w:val="2E5F8A"/>
                <w:sz w:val="17"/>
                <w:szCs w:val="17"/>
              </w:rPr>
              <w:t xml:space="preserve">§3.4(2)</w:t>
            </w:r>
          </w:p>
        </w:tc>
        <w:tc>
          <w:tcPr>
            <w:tcW w:type="dxa" w:w="28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7"/>
                <w:szCs w:val="17"/>
              </w:rPr>
              <w:t xml:space="preserve">Perform CSA analysis to detect and identify trends and report problems.</w:t>
            </w:r>
          </w:p>
        </w:tc>
        <w:tc>
          <w:tcPr>
            <w:tcW w:type="dxa" w:w="9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bCs/>
                <w:color w:val="C00000"/>
                <w:sz w:val="18"/>
                <w:szCs w:val="18"/>
              </w:rPr>
              <w:t xml:space="preserve">Tier 3</w:t>
            </w:r>
          </w:p>
        </w:tc>
        <w:tc>
          <w:tcPr>
            <w:tcW w:type="dxa" w:w="225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7"/>
                <w:szCs w:val="17"/>
              </w:rPr>
              <w:t xml:space="preserve">Trend analysis; metrics interpretation; root-cause judgment</w:t>
            </w:r>
          </w:p>
        </w:tc>
        <w:tc>
          <w:tcPr>
            <w:tcW w:type="dxa" w:w="225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7"/>
                <w:szCs w:val="17"/>
              </w:rPr>
              <w:t xml:space="preserve">Analytical thinking; persistence</w:t>
            </w:r>
          </w:p>
        </w:tc>
      </w:tr>
      <w:tr>
        <w:tc>
          <w:tcPr>
            <w:tcW w:type="dxa" w:w="10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2E5F8A"/>
                <w:sz w:val="17"/>
                <w:szCs w:val="17"/>
              </w:rPr>
              <w:t xml:space="preserve">§3.4.1(3)a</w:t>
            </w:r>
          </w:p>
        </w:tc>
        <w:tc>
          <w:tcPr>
            <w:tcW w:type="dxa" w:w="28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7"/>
                <w:szCs w:val="17"/>
              </w:rPr>
              <w:t xml:space="preserve">Capture and maintain currently approved product configuration information by the identification number assigned to each CI.</w:t>
            </w:r>
          </w:p>
        </w:tc>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2E5F8A"/>
                <w:sz w:val="18"/>
                <w:szCs w:val="18"/>
              </w:rPr>
              <w:t xml:space="preserve">Tier 2</w:t>
            </w:r>
          </w:p>
        </w:tc>
        <w:tc>
          <w:tcPr>
            <w:tcW w:type="dxa" w:w="225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7"/>
                <w:szCs w:val="17"/>
              </w:rPr>
              <w:t xml:space="preserve">Multi-document synthesis (drawings, ERRs, ECPs); CSA system management</w:t>
            </w:r>
          </w:p>
        </w:tc>
        <w:tc>
          <w:tcPr>
            <w:tcW w:type="dxa" w:w="225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7"/>
                <w:szCs w:val="17"/>
              </w:rPr>
              <w:t xml:space="preserve">Attention to detail; process discipline</w:t>
            </w:r>
          </w:p>
        </w:tc>
      </w:tr>
      <w:tr>
        <w:tc>
          <w:tcPr>
            <w:tcW w:type="dxa" w:w="10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bCs/>
                <w:color w:val="2E5F8A"/>
                <w:sz w:val="17"/>
                <w:szCs w:val="17"/>
              </w:rPr>
              <w:t xml:space="preserve">§3.4.1(3)b</w:t>
            </w:r>
          </w:p>
        </w:tc>
        <w:tc>
          <w:tcPr>
            <w:tcW w:type="dxa" w:w="28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7"/>
                <w:szCs w:val="17"/>
              </w:rPr>
              <w:t xml:space="preserve">Capture and maintain all historical product configuration information with traceability from contract award to present.</w:t>
            </w:r>
          </w:p>
        </w:tc>
        <w:tc>
          <w:tcPr>
            <w:tcW w:type="dxa" w:w="9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bCs/>
                <w:color w:val="2E5F8A"/>
                <w:sz w:val="18"/>
                <w:szCs w:val="18"/>
              </w:rPr>
              <w:t xml:space="preserve">Tier 2</w:t>
            </w:r>
          </w:p>
        </w:tc>
        <w:tc>
          <w:tcPr>
            <w:tcW w:type="dxa" w:w="225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7"/>
                <w:szCs w:val="17"/>
              </w:rPr>
              <w:t xml:space="preserve">Lifecycle change history reconstruction; revision-letter discipline</w:t>
            </w:r>
          </w:p>
        </w:tc>
        <w:tc>
          <w:tcPr>
            <w:tcW w:type="dxa" w:w="225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7"/>
                <w:szCs w:val="17"/>
              </w:rPr>
              <w:t xml:space="preserve">Persistence; meticulous attention to detail</w:t>
            </w:r>
          </w:p>
        </w:tc>
      </w:tr>
      <w:tr>
        <w:tc>
          <w:tcPr>
            <w:tcW w:type="dxa" w:w="10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2E5F8A"/>
                <w:sz w:val="17"/>
                <w:szCs w:val="17"/>
              </w:rPr>
              <w:t xml:space="preserve">§3.4.1(3)d</w:t>
            </w:r>
          </w:p>
        </w:tc>
        <w:tc>
          <w:tcPr>
            <w:tcW w:type="dxa" w:w="28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7"/>
                <w:szCs w:val="17"/>
              </w:rPr>
              <w:t xml:space="preserve">Identify dependencies among CIs.</w:t>
            </w:r>
          </w:p>
        </w:tc>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C00000"/>
                <w:sz w:val="18"/>
                <w:szCs w:val="18"/>
              </w:rPr>
              <w:t xml:space="preserve">Tier 3</w:t>
            </w:r>
          </w:p>
        </w:tc>
        <w:tc>
          <w:tcPr>
            <w:tcW w:type="dxa" w:w="225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7"/>
                <w:szCs w:val="17"/>
              </w:rPr>
              <w:t xml:space="preserve">Product architecture knowledge; interface mapping</w:t>
            </w:r>
          </w:p>
        </w:tc>
        <w:tc>
          <w:tcPr>
            <w:tcW w:type="dxa" w:w="225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7"/>
                <w:szCs w:val="17"/>
              </w:rPr>
              <w:t xml:space="preserve">Analytical thinking; cross-disciplinary collaboration</w:t>
            </w:r>
          </w:p>
        </w:tc>
      </w:tr>
      <w:tr>
        <w:tc>
          <w:tcPr>
            <w:tcW w:type="dxa" w:w="10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bCs/>
                <w:color w:val="2E5F8A"/>
                <w:sz w:val="17"/>
                <w:szCs w:val="17"/>
              </w:rPr>
              <w:t xml:space="preserve">§3.4.1(3)e</w:t>
            </w:r>
          </w:p>
        </w:tc>
        <w:tc>
          <w:tcPr>
            <w:tcW w:type="dxa" w:w="28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7"/>
                <w:szCs w:val="17"/>
              </w:rPr>
              <w:t xml:space="preserve">Report the status of both proposed and approved configuration changes and variances to all CIs.</w:t>
            </w:r>
          </w:p>
        </w:tc>
        <w:tc>
          <w:tcPr>
            <w:tcW w:type="dxa" w:w="9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bCs/>
                <w:color w:val="2E5F8A"/>
                <w:sz w:val="18"/>
                <w:szCs w:val="18"/>
              </w:rPr>
              <w:t xml:space="preserve">Tier 2</w:t>
            </w:r>
          </w:p>
        </w:tc>
        <w:tc>
          <w:tcPr>
            <w:tcW w:type="dxa" w:w="225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7"/>
                <w:szCs w:val="17"/>
              </w:rPr>
              <w:t xml:space="preserve">Change status tracking; report generation</w:t>
            </w:r>
          </w:p>
        </w:tc>
        <w:tc>
          <w:tcPr>
            <w:tcW w:type="dxa" w:w="225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7"/>
                <w:szCs w:val="17"/>
              </w:rPr>
              <w:t xml:space="preserve">Process discipline; timeliness</w:t>
            </w:r>
          </w:p>
        </w:tc>
      </w:tr>
      <w:tr>
        <w:tc>
          <w:tcPr>
            <w:tcW w:type="dxa" w:w="10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2E5F8A"/>
                <w:sz w:val="17"/>
                <w:szCs w:val="17"/>
              </w:rPr>
              <w:t xml:space="preserve">§3.4.1(3)g</w:t>
            </w:r>
          </w:p>
        </w:tc>
        <w:tc>
          <w:tcPr>
            <w:tcW w:type="dxa" w:w="28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7"/>
                <w:szCs w:val="17"/>
              </w:rPr>
              <w:t xml:space="preserve">Record, track, and report the status of corrective actions (repairs, use-as-is, scrap) for nonconforming materiel addressed by RFVs.</w:t>
            </w:r>
          </w:p>
        </w:tc>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2E5F8A"/>
                <w:sz w:val="18"/>
                <w:szCs w:val="18"/>
              </w:rPr>
              <w:t xml:space="preserve">Tier 2</w:t>
            </w:r>
          </w:p>
        </w:tc>
        <w:tc>
          <w:tcPr>
            <w:tcW w:type="dxa" w:w="225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7"/>
                <w:szCs w:val="17"/>
              </w:rPr>
              <w:t xml:space="preserve">Nonconformance disposition tracking</w:t>
            </w:r>
          </w:p>
        </w:tc>
        <w:tc>
          <w:tcPr>
            <w:tcW w:type="dxa" w:w="225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7"/>
                <w:szCs w:val="17"/>
              </w:rPr>
              <w:t xml:space="preserve">Persistence; data integrity</w:t>
            </w:r>
          </w:p>
        </w:tc>
      </w:tr>
      <w:tr>
        <w:tc>
          <w:tcPr>
            <w:tcW w:type="dxa" w:w="10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bCs/>
                <w:color w:val="2E5F8A"/>
                <w:sz w:val="17"/>
                <w:szCs w:val="17"/>
              </w:rPr>
              <w:t xml:space="preserve">§3.4.1(3)h</w:t>
            </w:r>
          </w:p>
        </w:tc>
        <w:tc>
          <w:tcPr>
            <w:tcW w:type="dxa" w:w="28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7"/>
                <w:szCs w:val="17"/>
              </w:rPr>
              <w:t xml:space="preserve">Record and report the planning and results of configuration audits including the status and final disposition of identified discrepancies.</w:t>
            </w:r>
          </w:p>
        </w:tc>
        <w:tc>
          <w:tcPr>
            <w:tcW w:type="dxa" w:w="9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bCs/>
                <w:color w:val="2E5F8A"/>
                <w:sz w:val="18"/>
                <w:szCs w:val="18"/>
              </w:rPr>
              <w:t xml:space="preserve">Tier 2</w:t>
            </w:r>
          </w:p>
        </w:tc>
        <w:tc>
          <w:tcPr>
            <w:tcW w:type="dxa" w:w="225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7"/>
                <w:szCs w:val="17"/>
              </w:rPr>
              <w:t xml:space="preserve">Audit data management; discrepancy tracking</w:t>
            </w:r>
          </w:p>
        </w:tc>
        <w:tc>
          <w:tcPr>
            <w:tcW w:type="dxa" w:w="225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7"/>
                <w:szCs w:val="17"/>
              </w:rPr>
              <w:t xml:space="preserve">Process discipline; persistence</w:t>
            </w:r>
          </w:p>
        </w:tc>
      </w:tr>
      <w:tr>
        <w:tc>
          <w:tcPr>
            <w:tcW w:type="dxa" w:w="10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2E5F8A"/>
                <w:sz w:val="17"/>
                <w:szCs w:val="17"/>
              </w:rPr>
              <w:t xml:space="preserve">§3.4.1(3)j</w:t>
            </w:r>
          </w:p>
        </w:tc>
        <w:tc>
          <w:tcPr>
            <w:tcW w:type="dxa" w:w="28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7"/>
                <w:szCs w:val="17"/>
              </w:rPr>
              <w:t xml:space="preserve">Record and report all product data inherited from sub-tier suppliers, including vendor part numbers and serial numbers, with clear traceability to next higher assemblies.</w:t>
            </w:r>
          </w:p>
        </w:tc>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2E5F8A"/>
                <w:sz w:val="18"/>
                <w:szCs w:val="18"/>
              </w:rPr>
              <w:t xml:space="preserve">Tier 2</w:t>
            </w:r>
          </w:p>
        </w:tc>
        <w:tc>
          <w:tcPr>
            <w:tcW w:type="dxa" w:w="225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7"/>
                <w:szCs w:val="17"/>
              </w:rPr>
              <w:t xml:space="preserve">BOM hierarchy management; vendor data validation</w:t>
            </w:r>
          </w:p>
        </w:tc>
        <w:tc>
          <w:tcPr>
            <w:tcW w:type="dxa" w:w="225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7"/>
                <w:szCs w:val="17"/>
              </w:rPr>
              <w:t xml:space="preserve">Meticulous attention to detail; cross-organizational coordination</w:t>
            </w:r>
          </w:p>
        </w:tc>
      </w:tr>
      <w:tr>
        <w:tc>
          <w:tcPr>
            <w:tcW w:type="dxa" w:w="10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bCs/>
                <w:color w:val="2E5F8A"/>
                <w:sz w:val="17"/>
                <w:szCs w:val="17"/>
              </w:rPr>
              <w:t xml:space="preserve">§3.4.1(4)b</w:t>
            </w:r>
          </w:p>
        </w:tc>
        <w:tc>
          <w:tcPr>
            <w:tcW w:type="dxa" w:w="28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7"/>
                <w:szCs w:val="17"/>
              </w:rPr>
              <w:t xml:space="preserve">Be in compliance with DoD Cyber Security requirements for interoperating with the Acquirer's integrated digital environment.</w:t>
            </w:r>
          </w:p>
        </w:tc>
        <w:tc>
          <w:tcPr>
            <w:tcW w:type="dxa" w:w="9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bCs/>
                <w:color w:val="2E5F8A"/>
                <w:sz w:val="18"/>
                <w:szCs w:val="18"/>
              </w:rPr>
              <w:t xml:space="preserve">Tier 2</w:t>
            </w:r>
          </w:p>
        </w:tc>
        <w:tc>
          <w:tcPr>
            <w:tcW w:type="dxa" w:w="225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7"/>
                <w:szCs w:val="17"/>
              </w:rPr>
              <w:t xml:space="preserve">DoD cybersecurity standards; data system administration</w:t>
            </w:r>
          </w:p>
        </w:tc>
        <w:tc>
          <w:tcPr>
            <w:tcW w:type="dxa" w:w="225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7"/>
                <w:szCs w:val="17"/>
              </w:rPr>
              <w:t xml:space="preserve">Process discipline; security mindset</w:t>
            </w:r>
          </w:p>
        </w:tc>
      </w:tr>
      <w:tr>
        <w:tc>
          <w:tcPr>
            <w:tcW w:type="dxa" w:w="10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2E5F8A"/>
                <w:sz w:val="17"/>
                <w:szCs w:val="17"/>
              </w:rPr>
              <w:t xml:space="preserve">§3.4.2(1)</w:t>
            </w:r>
          </w:p>
        </w:tc>
        <w:tc>
          <w:tcPr>
            <w:tcW w:type="dxa" w:w="28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7"/>
                <w:szCs w:val="17"/>
              </w:rPr>
              <w:t xml:space="preserve">Evaluate CSA corrective actions to verify problems have been resolved, adverse trends reversed, and changes correctly implemented.</w:t>
            </w:r>
          </w:p>
        </w:tc>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C00000"/>
                <w:sz w:val="18"/>
                <w:szCs w:val="18"/>
              </w:rPr>
              <w:t xml:space="preserve">Tier 3</w:t>
            </w:r>
          </w:p>
        </w:tc>
        <w:tc>
          <w:tcPr>
            <w:tcW w:type="dxa" w:w="225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7"/>
                <w:szCs w:val="17"/>
              </w:rPr>
              <w:t xml:space="preserve">Corrective action analysis; root-cause evaluation</w:t>
            </w:r>
          </w:p>
        </w:tc>
        <w:tc>
          <w:tcPr>
            <w:tcW w:type="dxa" w:w="225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7"/>
                <w:szCs w:val="17"/>
              </w:rPr>
              <w:t xml:space="preserve">Analytical thinking; persistence; objectivity</w:t>
            </w:r>
          </w:p>
        </w:tc>
      </w:tr>
    </w:tbl>
    <w:p>
      <w:pPr>
        <w:spacing w:after="0" w:before="120"/>
      </w:pPr>
    </w:p>
    <w:p>
      <w:pPr>
        <w:pStyle w:val="Heading2"/>
        <w:shd w:fill="2E5F8A" w:val="clear"/>
        <w:spacing w:after="80" w:before="200"/>
        <w:ind w:left="120"/>
      </w:pPr>
      <w:r>
        <w:rPr>
          <w:rFonts w:ascii="Arial" w:cs="Arial" w:eastAsia="Arial" w:hAnsi="Arial"/>
          <w:b/>
          <w:bCs/>
          <w:color w:val="FFFFFF"/>
          <w:sz w:val="28"/>
          <w:szCs w:val="28"/>
        </w:rPr>
        <w:t xml:space="preserve">A.5  Configuration Verification and Audits (§3.5)</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2880"/>
        <w:gridCol w:w="900"/>
        <w:gridCol w:w="2250"/>
        <w:gridCol w:w="2250"/>
      </w:tblGrid>
      <w:tr>
        <w:trPr>
          <w:tblHeader/>
        </w:trPr>
        <w:tc>
          <w:tcPr>
            <w:tcW w:type="dxa" w:w="1080"/>
            <w:tcBorders>
              <w:top w:val="single" w:color="AAAAAA" w:sz="4"/>
              <w:left w:val="single" w:color="AAAAAA" w:sz="4"/>
              <w:bottom w:val="single" w:color="AAAAAA" w:sz="4"/>
              <w:right w:val="single" w:color="AAAAAA" w:sz="4"/>
            </w:tcBorders>
            <w:shd w:fill="1F3864" w:val="clear"/>
            <w:tcMar>
              <w:top w:type="dxa" w:w="100"/>
              <w:left w:type="dxa" w:w="120"/>
              <w:bottom w:type="dxa" w:w="100"/>
              <w:right w:type="dxa" w:w="120"/>
            </w:tcMar>
            <w:vAlign w:val="center"/>
          </w:tcPr>
          <w:p>
            <w:pPr>
              <w:spacing w:after="40" w:before="40"/>
              <w:jc w:val="center"/>
            </w:pPr>
            <w:r>
              <w:rPr>
                <w:rFonts w:ascii="Arial" w:cs="Arial" w:eastAsia="Arial" w:hAnsi="Arial"/>
                <w:b/>
                <w:bCs/>
                <w:color w:val="FFFFFF"/>
                <w:sz w:val="20"/>
                <w:szCs w:val="20"/>
              </w:rPr>
              <w:t xml:space="preserve">Req ID</w:t>
            </w:r>
          </w:p>
        </w:tc>
        <w:tc>
          <w:tcPr>
            <w:tcW w:type="dxa" w:w="2880"/>
            <w:tcBorders>
              <w:top w:val="single" w:color="AAAAAA" w:sz="4"/>
              <w:left w:val="single" w:color="AAAAAA" w:sz="4"/>
              <w:bottom w:val="single" w:color="AAAAAA" w:sz="4"/>
              <w:right w:val="single" w:color="AAAAAA" w:sz="4"/>
            </w:tcBorders>
            <w:shd w:fill="1F3864" w:val="clear"/>
            <w:tcMar>
              <w:top w:type="dxa" w:w="100"/>
              <w:left w:type="dxa" w:w="120"/>
              <w:bottom w:type="dxa" w:w="100"/>
              <w:right w:type="dxa" w:w="120"/>
            </w:tcMar>
            <w:vAlign w:val="center"/>
          </w:tcPr>
          <w:p>
            <w:pPr>
              <w:spacing w:after="40" w:before="40"/>
              <w:jc w:val="center"/>
            </w:pPr>
            <w:r>
              <w:rPr>
                <w:rFonts w:ascii="Arial" w:cs="Arial" w:eastAsia="Arial" w:hAnsi="Arial"/>
                <w:b/>
                <w:bCs/>
                <w:color w:val="FFFFFF"/>
                <w:sz w:val="20"/>
                <w:szCs w:val="20"/>
              </w:rPr>
              <w:t xml:space="preserve">Requirement (Paraphrased)</w:t>
            </w:r>
          </w:p>
        </w:tc>
        <w:tc>
          <w:tcPr>
            <w:tcW w:type="dxa" w:w="900"/>
            <w:tcBorders>
              <w:top w:val="single" w:color="AAAAAA" w:sz="4"/>
              <w:left w:val="single" w:color="AAAAAA" w:sz="4"/>
              <w:bottom w:val="single" w:color="AAAAAA" w:sz="4"/>
              <w:right w:val="single" w:color="AAAAAA" w:sz="4"/>
            </w:tcBorders>
            <w:shd w:fill="1F3864" w:val="clear"/>
            <w:tcMar>
              <w:top w:type="dxa" w:w="100"/>
              <w:left w:type="dxa" w:w="120"/>
              <w:bottom w:type="dxa" w:w="100"/>
              <w:right w:type="dxa" w:w="120"/>
            </w:tcMar>
            <w:vAlign w:val="center"/>
          </w:tcPr>
          <w:p>
            <w:pPr>
              <w:spacing w:after="40" w:before="40"/>
              <w:jc w:val="center"/>
            </w:pPr>
            <w:r>
              <w:rPr>
                <w:rFonts w:ascii="Arial" w:cs="Arial" w:eastAsia="Arial" w:hAnsi="Arial"/>
                <w:b/>
                <w:bCs/>
                <w:color w:val="FFFFFF"/>
                <w:sz w:val="20"/>
                <w:szCs w:val="20"/>
              </w:rPr>
              <w:t xml:space="preserve">Min Tier</w:t>
            </w:r>
          </w:p>
        </w:tc>
        <w:tc>
          <w:tcPr>
            <w:tcW w:type="dxa" w:w="2250"/>
            <w:tcBorders>
              <w:top w:val="single" w:color="AAAAAA" w:sz="4"/>
              <w:left w:val="single" w:color="AAAAAA" w:sz="4"/>
              <w:bottom w:val="single" w:color="AAAAAA" w:sz="4"/>
              <w:right w:val="single" w:color="AAAAAA" w:sz="4"/>
            </w:tcBorders>
            <w:shd w:fill="1F3864" w:val="clear"/>
            <w:tcMar>
              <w:top w:type="dxa" w:w="100"/>
              <w:left w:type="dxa" w:w="120"/>
              <w:bottom w:type="dxa" w:w="100"/>
              <w:right w:type="dxa" w:w="120"/>
            </w:tcMar>
            <w:vAlign w:val="center"/>
          </w:tcPr>
          <w:p>
            <w:pPr>
              <w:spacing w:after="40" w:before="40"/>
              <w:jc w:val="center"/>
            </w:pPr>
            <w:r>
              <w:rPr>
                <w:rFonts w:ascii="Arial" w:cs="Arial" w:eastAsia="Arial" w:hAnsi="Arial"/>
                <w:b/>
                <w:bCs/>
                <w:color w:val="FFFFFF"/>
                <w:sz w:val="20"/>
                <w:szCs w:val="20"/>
              </w:rPr>
              <w:t xml:space="preserve">Key Technical Skill</w:t>
            </w:r>
          </w:p>
        </w:tc>
        <w:tc>
          <w:tcPr>
            <w:tcW w:type="dxa" w:w="2250"/>
            <w:tcBorders>
              <w:top w:val="single" w:color="AAAAAA" w:sz="4"/>
              <w:left w:val="single" w:color="AAAAAA" w:sz="4"/>
              <w:bottom w:val="single" w:color="AAAAAA" w:sz="4"/>
              <w:right w:val="single" w:color="AAAAAA" w:sz="4"/>
            </w:tcBorders>
            <w:shd w:fill="1F3864" w:val="clear"/>
            <w:tcMar>
              <w:top w:type="dxa" w:w="100"/>
              <w:left w:type="dxa" w:w="120"/>
              <w:bottom w:type="dxa" w:w="100"/>
              <w:right w:type="dxa" w:w="120"/>
            </w:tcMar>
            <w:vAlign w:val="center"/>
          </w:tcPr>
          <w:p>
            <w:pPr>
              <w:spacing w:after="40" w:before="40"/>
              <w:jc w:val="center"/>
            </w:pPr>
            <w:r>
              <w:rPr>
                <w:rFonts w:ascii="Arial" w:cs="Arial" w:eastAsia="Arial" w:hAnsi="Arial"/>
                <w:b/>
                <w:bCs/>
                <w:color w:val="FFFFFF"/>
                <w:sz w:val="20"/>
                <w:szCs w:val="20"/>
              </w:rPr>
              <w:t xml:space="preserve">Key Soft Skill</w:t>
            </w:r>
          </w:p>
        </w:tc>
      </w:tr>
      <w:tr>
        <w:tc>
          <w:tcPr>
            <w:tcW w:type="dxa" w:w="10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2E5F8A"/>
                <w:sz w:val="17"/>
                <w:szCs w:val="17"/>
              </w:rPr>
              <w:t xml:space="preserve">§3.5.1(1)a</w:t>
            </w:r>
          </w:p>
        </w:tc>
        <w:tc>
          <w:tcPr>
            <w:tcW w:type="dxa" w:w="28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7"/>
                <w:szCs w:val="17"/>
              </w:rPr>
              <w:t xml:space="preserve">Conduct the FCAs and PCAs for designated CIs to verify the system allocated and product configuration baselines.</w:t>
            </w:r>
          </w:p>
        </w:tc>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C00000"/>
                <w:sz w:val="18"/>
                <w:szCs w:val="18"/>
              </w:rPr>
              <w:t xml:space="preserve">Tier 3</w:t>
            </w:r>
          </w:p>
        </w:tc>
        <w:tc>
          <w:tcPr>
            <w:tcW w:type="dxa" w:w="225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7"/>
                <w:szCs w:val="17"/>
              </w:rPr>
              <w:t xml:space="preserve">FCA/PCA conduct; FCD/ACD/PCD literacy</w:t>
            </w:r>
          </w:p>
        </w:tc>
        <w:tc>
          <w:tcPr>
            <w:tcW w:type="dxa" w:w="225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7"/>
                <w:szCs w:val="17"/>
              </w:rPr>
              <w:t xml:space="preserve">Audit objectivity; technical assertiveness</w:t>
            </w:r>
          </w:p>
        </w:tc>
      </w:tr>
      <w:tr>
        <w:tc>
          <w:tcPr>
            <w:tcW w:type="dxa" w:w="10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bCs/>
                <w:color w:val="2E5F8A"/>
                <w:sz w:val="17"/>
                <w:szCs w:val="17"/>
              </w:rPr>
              <w:t xml:space="preserve">§3.5.1(1)d</w:t>
            </w:r>
          </w:p>
        </w:tc>
        <w:tc>
          <w:tcPr>
            <w:tcW w:type="dxa" w:w="28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7"/>
                <w:szCs w:val="17"/>
              </w:rPr>
              <w:t xml:space="preserve">Establish the schedule for audits to be conducted at Supplier or Sub-Supplier facilities including the agenda for each audit in consonance with the IMS.</w:t>
            </w:r>
          </w:p>
        </w:tc>
        <w:tc>
          <w:tcPr>
            <w:tcW w:type="dxa" w:w="9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bCs/>
                <w:color w:val="2E5F8A"/>
                <w:sz w:val="18"/>
                <w:szCs w:val="18"/>
              </w:rPr>
              <w:t xml:space="preserve">Tier 2</w:t>
            </w:r>
          </w:p>
        </w:tc>
        <w:tc>
          <w:tcPr>
            <w:tcW w:type="dxa" w:w="225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7"/>
                <w:szCs w:val="17"/>
              </w:rPr>
              <w:t xml:space="preserve">Audit planning per DI-SESS-81646; IMS coordination</w:t>
            </w:r>
          </w:p>
        </w:tc>
        <w:tc>
          <w:tcPr>
            <w:tcW w:type="dxa" w:w="225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7"/>
                <w:szCs w:val="17"/>
              </w:rPr>
              <w:t xml:space="preserve">Scheduling discipline; cross-organizational coordination</w:t>
            </w:r>
          </w:p>
        </w:tc>
      </w:tr>
      <w:tr>
        <w:tc>
          <w:tcPr>
            <w:tcW w:type="dxa" w:w="10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2E5F8A"/>
                <w:sz w:val="17"/>
                <w:szCs w:val="17"/>
              </w:rPr>
              <w:t xml:space="preserve">§3.5.1(1)h</w:t>
            </w:r>
          </w:p>
        </w:tc>
        <w:tc>
          <w:tcPr>
            <w:tcW w:type="dxa" w:w="28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7"/>
                <w:szCs w:val="17"/>
              </w:rPr>
              <w:t xml:space="preserve">Provide a current listing of all RFVs, SCNs, and ECPs against the CI either requested or approved.</w:t>
            </w:r>
          </w:p>
        </w:tc>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2E5F8A"/>
                <w:sz w:val="18"/>
                <w:szCs w:val="18"/>
              </w:rPr>
              <w:t xml:space="preserve">Tier 2</w:t>
            </w:r>
          </w:p>
        </w:tc>
        <w:tc>
          <w:tcPr>
            <w:tcW w:type="dxa" w:w="225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7"/>
                <w:szCs w:val="17"/>
              </w:rPr>
              <w:t xml:space="preserve">Change documentation roll-up; CSA query</w:t>
            </w:r>
          </w:p>
        </w:tc>
        <w:tc>
          <w:tcPr>
            <w:tcW w:type="dxa" w:w="225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7"/>
                <w:szCs w:val="17"/>
              </w:rPr>
              <w:t xml:space="preserve">Attention to detail; organizational skills</w:t>
            </w:r>
          </w:p>
        </w:tc>
      </w:tr>
      <w:tr>
        <w:tc>
          <w:tcPr>
            <w:tcW w:type="dxa" w:w="10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bCs/>
                <w:color w:val="2E5F8A"/>
                <w:sz w:val="17"/>
                <w:szCs w:val="17"/>
              </w:rPr>
              <w:t xml:space="preserve">§3.5.1(1)j</w:t>
            </w:r>
          </w:p>
        </w:tc>
        <w:tc>
          <w:tcPr>
            <w:tcW w:type="dxa" w:w="28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7"/>
                <w:szCs w:val="17"/>
              </w:rPr>
              <w:t xml:space="preserve">Participate in the resolution of discrepancies identified during the FCA/PCA.</w:t>
            </w:r>
          </w:p>
        </w:tc>
        <w:tc>
          <w:tcPr>
            <w:tcW w:type="dxa" w:w="9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bCs/>
                <w:color w:val="C00000"/>
                <w:sz w:val="18"/>
                <w:szCs w:val="18"/>
              </w:rPr>
              <w:t xml:space="preserve">Tier 3</w:t>
            </w:r>
          </w:p>
        </w:tc>
        <w:tc>
          <w:tcPr>
            <w:tcW w:type="dxa" w:w="225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7"/>
                <w:szCs w:val="17"/>
              </w:rPr>
              <w:t xml:space="preserve">Technical discrepancy analysis; resolution evaluation</w:t>
            </w:r>
          </w:p>
        </w:tc>
        <w:tc>
          <w:tcPr>
            <w:tcW w:type="dxa" w:w="225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7"/>
                <w:szCs w:val="17"/>
              </w:rPr>
              <w:t xml:space="preserve">Negotiation; technical credibility; assertiveness</w:t>
            </w:r>
          </w:p>
        </w:tc>
      </w:tr>
      <w:tr>
        <w:tc>
          <w:tcPr>
            <w:tcW w:type="dxa" w:w="10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2E5F8A"/>
                <w:sz w:val="17"/>
                <w:szCs w:val="17"/>
              </w:rPr>
              <w:t xml:space="preserve">§3.5.1(1)n</w:t>
            </w:r>
          </w:p>
        </w:tc>
        <w:tc>
          <w:tcPr>
            <w:tcW w:type="dxa" w:w="28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7"/>
                <w:szCs w:val="17"/>
              </w:rPr>
              <w:t xml:space="preserve">Verify the implementation of engineering changes and variance corrective actions to confirm consistency is maintained between the product and its product configuration information.</w:t>
            </w:r>
          </w:p>
        </w:tc>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C00000"/>
                <w:sz w:val="18"/>
                <w:szCs w:val="18"/>
              </w:rPr>
              <w:t xml:space="preserve">Tier 3</w:t>
            </w:r>
          </w:p>
        </w:tc>
        <w:tc>
          <w:tcPr>
            <w:tcW w:type="dxa" w:w="225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7"/>
                <w:szCs w:val="17"/>
              </w:rPr>
              <w:t xml:space="preserve">Change incorporation verification; configuration consistency check</w:t>
            </w:r>
          </w:p>
        </w:tc>
        <w:tc>
          <w:tcPr>
            <w:tcW w:type="dxa" w:w="225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7"/>
                <w:szCs w:val="17"/>
              </w:rPr>
              <w:t xml:space="preserve">Analytical rigor; objectivity</w:t>
            </w:r>
          </w:p>
        </w:tc>
      </w:tr>
      <w:tr>
        <w:tc>
          <w:tcPr>
            <w:tcW w:type="dxa" w:w="10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bCs/>
                <w:color w:val="2E5F8A"/>
                <w:sz w:val="17"/>
                <w:szCs w:val="17"/>
              </w:rPr>
              <w:t xml:space="preserve">§3.5.2(1)</w:t>
            </w:r>
          </w:p>
        </w:tc>
        <w:tc>
          <w:tcPr>
            <w:tcW w:type="dxa" w:w="28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7"/>
                <w:szCs w:val="17"/>
              </w:rPr>
              <w:t xml:space="preserve">Conduct the FCA to verify the CI meets its performance requirements as documented in the approved FCD and ACD.</w:t>
            </w:r>
          </w:p>
        </w:tc>
        <w:tc>
          <w:tcPr>
            <w:tcW w:type="dxa" w:w="9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bCs/>
                <w:color w:val="C00000"/>
                <w:sz w:val="18"/>
                <w:szCs w:val="18"/>
              </w:rPr>
              <w:t xml:space="preserve">Tier 3</w:t>
            </w:r>
          </w:p>
        </w:tc>
        <w:tc>
          <w:tcPr>
            <w:tcW w:type="dxa" w:w="225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7"/>
                <w:szCs w:val="17"/>
              </w:rPr>
              <w:t xml:space="preserve">Performance specification interpretation; test evidence evaluation</w:t>
            </w:r>
          </w:p>
        </w:tc>
        <w:tc>
          <w:tcPr>
            <w:tcW w:type="dxa" w:w="225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7"/>
                <w:szCs w:val="17"/>
              </w:rPr>
              <w:t xml:space="preserve">Audit objectivity; analytical rigor</w:t>
            </w:r>
          </w:p>
        </w:tc>
      </w:tr>
      <w:tr>
        <w:tc>
          <w:tcPr>
            <w:tcW w:type="dxa" w:w="10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2E5F8A"/>
                <w:sz w:val="17"/>
                <w:szCs w:val="17"/>
              </w:rPr>
              <w:t xml:space="preserve">§3.5.2.1(1)c</w:t>
            </w:r>
          </w:p>
        </w:tc>
        <w:tc>
          <w:tcPr>
            <w:tcW w:type="dxa" w:w="28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7"/>
                <w:szCs w:val="17"/>
              </w:rPr>
              <w:t xml:space="preserve">Provide a matrix that identifies and provides traceability for all requirements; cross-reference to test plans, test procedures, test programs, test reports, and known deficiencies.</w:t>
            </w:r>
          </w:p>
        </w:tc>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C00000"/>
                <w:sz w:val="18"/>
                <w:szCs w:val="18"/>
              </w:rPr>
              <w:t xml:space="preserve">Tier 3</w:t>
            </w:r>
          </w:p>
        </w:tc>
        <w:tc>
          <w:tcPr>
            <w:tcW w:type="dxa" w:w="225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7"/>
                <w:szCs w:val="17"/>
              </w:rPr>
              <w:t xml:space="preserve">Requirements Traceability Matrix (RTM) development</w:t>
            </w:r>
          </w:p>
        </w:tc>
        <w:tc>
          <w:tcPr>
            <w:tcW w:type="dxa" w:w="225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7"/>
                <w:szCs w:val="17"/>
              </w:rPr>
              <w:t xml:space="preserve">Analytical rigor; written precision</w:t>
            </w:r>
          </w:p>
        </w:tc>
      </w:tr>
      <w:tr>
        <w:tc>
          <w:tcPr>
            <w:tcW w:type="dxa" w:w="10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bCs/>
                <w:color w:val="2E5F8A"/>
                <w:sz w:val="17"/>
                <w:szCs w:val="17"/>
              </w:rPr>
              <w:t xml:space="preserve">§3.5.2.1(2)h</w:t>
            </w:r>
          </w:p>
        </w:tc>
        <w:tc>
          <w:tcPr>
            <w:tcW w:type="dxa" w:w="28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7"/>
                <w:szCs w:val="17"/>
              </w:rPr>
              <w:t xml:space="preserve">Provide analyses or simulations for those requirements which cannot be completely verified through testing.</w:t>
            </w:r>
          </w:p>
        </w:tc>
        <w:tc>
          <w:tcPr>
            <w:tcW w:type="dxa" w:w="9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bCs/>
                <w:color w:val="C00000"/>
                <w:sz w:val="18"/>
                <w:szCs w:val="18"/>
              </w:rPr>
              <w:t xml:space="preserve">Tier 3</w:t>
            </w:r>
          </w:p>
        </w:tc>
        <w:tc>
          <w:tcPr>
            <w:tcW w:type="dxa" w:w="225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7"/>
                <w:szCs w:val="17"/>
              </w:rPr>
              <w:t xml:space="preserve">Verification methodology; analysis/simulation evaluation</w:t>
            </w:r>
          </w:p>
        </w:tc>
        <w:tc>
          <w:tcPr>
            <w:tcW w:type="dxa" w:w="225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7"/>
                <w:szCs w:val="17"/>
              </w:rPr>
              <w:t xml:space="preserve">Analytical judgment; technical credibility</w:t>
            </w:r>
          </w:p>
        </w:tc>
      </w:tr>
      <w:tr>
        <w:tc>
          <w:tcPr>
            <w:tcW w:type="dxa" w:w="10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2E5F8A"/>
                <w:sz w:val="17"/>
                <w:szCs w:val="17"/>
              </w:rPr>
              <w:t xml:space="preserve">§3.5.2.1(2)i</w:t>
            </w:r>
          </w:p>
        </w:tc>
        <w:tc>
          <w:tcPr>
            <w:tcW w:type="dxa" w:w="28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7"/>
                <w:szCs w:val="17"/>
              </w:rPr>
              <w:t xml:space="preserve">For CSCIs: provide database characteristics, SPS, User's Manual, SVD, software library version listings, internal CM and QA audit findings.</w:t>
            </w:r>
          </w:p>
        </w:tc>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C00000"/>
                <w:sz w:val="18"/>
                <w:szCs w:val="18"/>
              </w:rPr>
              <w:t xml:space="preserve">Tier 3</w:t>
            </w:r>
          </w:p>
        </w:tc>
        <w:tc>
          <w:tcPr>
            <w:tcW w:type="dxa" w:w="225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7"/>
                <w:szCs w:val="17"/>
              </w:rPr>
              <w:t xml:space="preserve">Software CM; CSCI audit conduct</w:t>
            </w:r>
          </w:p>
        </w:tc>
        <w:tc>
          <w:tcPr>
            <w:tcW w:type="dxa" w:w="225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7"/>
                <w:szCs w:val="17"/>
              </w:rPr>
              <w:t xml:space="preserve">Audit objectivity; attention to detail</w:t>
            </w:r>
          </w:p>
        </w:tc>
      </w:tr>
      <w:tr>
        <w:tc>
          <w:tcPr>
            <w:tcW w:type="dxa" w:w="10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bCs/>
                <w:color w:val="2E5F8A"/>
                <w:sz w:val="17"/>
                <w:szCs w:val="17"/>
              </w:rPr>
              <w:t xml:space="preserve">§3.5.3(1)</w:t>
            </w:r>
          </w:p>
        </w:tc>
        <w:tc>
          <w:tcPr>
            <w:tcW w:type="dxa" w:w="28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7"/>
                <w:szCs w:val="17"/>
              </w:rPr>
              <w:t xml:space="preserve">Conduct the PCA to verify that the PCD is consistent with the validated CI.</w:t>
            </w:r>
          </w:p>
        </w:tc>
        <w:tc>
          <w:tcPr>
            <w:tcW w:type="dxa" w:w="9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bCs/>
                <w:color w:val="C00000"/>
                <w:sz w:val="18"/>
                <w:szCs w:val="18"/>
              </w:rPr>
              <w:t xml:space="preserve">Tier 3</w:t>
            </w:r>
          </w:p>
        </w:tc>
        <w:tc>
          <w:tcPr>
            <w:tcW w:type="dxa" w:w="225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7"/>
                <w:szCs w:val="17"/>
              </w:rPr>
              <w:t xml:space="preserve">Engineering drawing review; as-built-to-PCD comparison</w:t>
            </w:r>
          </w:p>
        </w:tc>
        <w:tc>
          <w:tcPr>
            <w:tcW w:type="dxa" w:w="225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7"/>
                <w:szCs w:val="17"/>
              </w:rPr>
              <w:t xml:space="preserve">Audit objectivity; attention to detail</w:t>
            </w:r>
          </w:p>
        </w:tc>
      </w:tr>
      <w:tr>
        <w:tc>
          <w:tcPr>
            <w:tcW w:type="dxa" w:w="10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2E5F8A"/>
                <w:sz w:val="17"/>
                <w:szCs w:val="17"/>
              </w:rPr>
              <w:t xml:space="preserve">§3.5.3(2)</w:t>
            </w:r>
          </w:p>
        </w:tc>
        <w:tc>
          <w:tcPr>
            <w:tcW w:type="dxa" w:w="28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7"/>
                <w:szCs w:val="17"/>
              </w:rPr>
              <w:t xml:space="preserve">Ensure compatibility between the CI with the Program Parts Selection List (PPSL), and examine the CI to ensure that the proper parts are actually installed.</w:t>
            </w:r>
          </w:p>
        </w:tc>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C00000"/>
                <w:sz w:val="18"/>
                <w:szCs w:val="18"/>
              </w:rPr>
              <w:t xml:space="preserve">Tier 3</w:t>
            </w:r>
          </w:p>
        </w:tc>
        <w:tc>
          <w:tcPr>
            <w:tcW w:type="dxa" w:w="225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7"/>
                <w:szCs w:val="17"/>
              </w:rPr>
              <w:t xml:space="preserve">PPSL cross-reference; parts identification</w:t>
            </w:r>
          </w:p>
        </w:tc>
        <w:tc>
          <w:tcPr>
            <w:tcW w:type="dxa" w:w="225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7"/>
                <w:szCs w:val="17"/>
              </w:rPr>
              <w:t xml:space="preserve">Meticulous attention to detail; objectivity</w:t>
            </w:r>
          </w:p>
        </w:tc>
      </w:tr>
      <w:tr>
        <w:tc>
          <w:tcPr>
            <w:tcW w:type="dxa" w:w="10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bCs/>
                <w:color w:val="2E5F8A"/>
                <w:sz w:val="17"/>
                <w:szCs w:val="17"/>
              </w:rPr>
              <w:t xml:space="preserve">§3.5.3.2(2)a</w:t>
            </w:r>
          </w:p>
        </w:tc>
        <w:tc>
          <w:tcPr>
            <w:tcW w:type="dxa" w:w="28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7"/>
                <w:szCs w:val="17"/>
              </w:rPr>
              <w:t xml:space="preserve">Provide complete product drawings/associated lists package (3D model type, cut-away drawings, MBDs) and associated manufacturing instruction sheets (CAM data) for each item of hardware or software identified.</w:t>
            </w:r>
          </w:p>
        </w:tc>
        <w:tc>
          <w:tcPr>
            <w:tcW w:type="dxa" w:w="9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bCs/>
                <w:color w:val="C00000"/>
                <w:sz w:val="18"/>
                <w:szCs w:val="18"/>
              </w:rPr>
              <w:t xml:space="preserve">Tier 3</w:t>
            </w:r>
          </w:p>
        </w:tc>
        <w:tc>
          <w:tcPr>
            <w:tcW w:type="dxa" w:w="225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7"/>
                <w:szCs w:val="17"/>
              </w:rPr>
              <w:t xml:space="preserve">3D CAD / MBD interpretation; manufacturing instruction review</w:t>
            </w:r>
          </w:p>
        </w:tc>
        <w:tc>
          <w:tcPr>
            <w:tcW w:type="dxa" w:w="225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7"/>
                <w:szCs w:val="17"/>
              </w:rPr>
              <w:t xml:space="preserve">Analytical rigor; attention to detail</w:t>
            </w:r>
          </w:p>
        </w:tc>
      </w:tr>
      <w:tr>
        <w:tc>
          <w:tcPr>
            <w:tcW w:type="dxa" w:w="10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2E5F8A"/>
                <w:sz w:val="17"/>
                <w:szCs w:val="17"/>
              </w:rPr>
              <w:t xml:space="preserve">§3.5.5(1)a</w:t>
            </w:r>
          </w:p>
        </w:tc>
        <w:tc>
          <w:tcPr>
            <w:tcW w:type="dxa" w:w="28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7"/>
                <w:szCs w:val="17"/>
              </w:rPr>
              <w:t xml:space="preserve">Prepare Configuration Audit Summary Report consisting of applicable audit action items and discrepancy information derived from the audit checklist package (DI-SESS-81022).</w:t>
            </w:r>
          </w:p>
        </w:tc>
        <w:tc>
          <w:tcPr>
            <w:tcW w:type="dxa" w:w="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2E5F8A"/>
                <w:sz w:val="18"/>
                <w:szCs w:val="18"/>
              </w:rPr>
              <w:t xml:space="preserve">Tier 2</w:t>
            </w:r>
          </w:p>
        </w:tc>
        <w:tc>
          <w:tcPr>
            <w:tcW w:type="dxa" w:w="225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7"/>
                <w:szCs w:val="17"/>
              </w:rPr>
              <w:t xml:space="preserve">Audit summary report preparation</w:t>
            </w:r>
          </w:p>
        </w:tc>
        <w:tc>
          <w:tcPr>
            <w:tcW w:type="dxa" w:w="225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404040"/>
                <w:sz w:val="17"/>
                <w:szCs w:val="17"/>
              </w:rPr>
              <w:t xml:space="preserve">Written communication; organizational skills</w:t>
            </w:r>
          </w:p>
        </w:tc>
      </w:tr>
    </w:tbl>
    <w:p>
      <w:pPr>
        <w:spacing w:after="0" w:before="120"/>
      </w:pPr>
    </w:p>
    <w:p>
      <w:pPr>
        <w:pStyle w:val="Heading2"/>
        <w:shd w:fill="2E5F8A" w:val="clear"/>
        <w:spacing w:after="80" w:before="200"/>
        <w:ind w:left="120"/>
      </w:pPr>
      <w:r>
        <w:rPr>
          <w:rFonts w:ascii="Arial" w:cs="Arial" w:eastAsia="Arial" w:hAnsi="Arial"/>
          <w:b/>
          <w:bCs/>
          <w:color w:val="FFFFFF"/>
          <w:sz w:val="28"/>
          <w:szCs w:val="28"/>
        </w:rPr>
        <w:t xml:space="preserve">A.6  RAM Allocation Summary</w:t>
      </w:r>
    </w:p>
    <w:p>
      <w:pPr>
        <w:spacing w:after="0" w:before="40"/>
      </w:pPr>
    </w:p>
    <w:p>
      <w:pPr>
        <w:spacing w:after="80" w:before="60"/>
        <w:jc w:val="left"/>
      </w:pPr>
      <w:r>
        <w:rPr>
          <w:rFonts w:ascii="Arial" w:cs="Arial" w:eastAsia="Arial" w:hAnsi="Arial"/>
          <w:i w:val="false"/>
          <w:iCs w:val="false"/>
          <w:color w:val="404040"/>
          <w:sz w:val="22"/>
          <w:szCs w:val="22"/>
        </w:rPr>
        <w:t xml:space="preserve">The following table summarizes the tier allocation across the sampled requirements in this RAM. The pattern is consistent with the analysis in the main body of this document: Configuration Identification, Change Management, and Verification &amp; Audits are dominated by Tier 3 (engineering-required) allocations, while Planning and CSA contain a more balanced mix across tiers.</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500"/>
        <w:gridCol w:w="1500"/>
        <w:gridCol w:w="1860"/>
      </w:tblGrid>
      <w:tr>
        <w:trPr>
          <w:tblHeader/>
        </w:trPr>
        <w:tc>
          <w:tcPr>
            <w:tcW w:type="dxa" w:w="3000"/>
            <w:tcBorders>
              <w:top w:val="single" w:color="AAAAAA" w:sz="4"/>
              <w:left w:val="single" w:color="AAAAAA" w:sz="4"/>
              <w:bottom w:val="single" w:color="AAAAAA" w:sz="4"/>
              <w:right w:val="single" w:color="AAAAAA" w:sz="4"/>
            </w:tcBorders>
            <w:shd w:fill="1F3864" w:val="clear"/>
            <w:tcMar>
              <w:top w:type="dxa" w:w="100"/>
              <w:left w:type="dxa" w:w="120"/>
              <w:bottom w:type="dxa" w:w="100"/>
              <w:right w:type="dxa" w:w="120"/>
            </w:tcMar>
            <w:vAlign w:val="center"/>
          </w:tcPr>
          <w:p>
            <w:pPr>
              <w:spacing w:after="40" w:before="40"/>
              <w:jc w:val="center"/>
            </w:pPr>
            <w:r>
              <w:rPr>
                <w:rFonts w:ascii="Arial" w:cs="Arial" w:eastAsia="Arial" w:hAnsi="Arial"/>
                <w:b/>
                <w:bCs/>
                <w:color w:val="FFFFFF"/>
                <w:sz w:val="20"/>
                <w:szCs w:val="20"/>
              </w:rPr>
              <w:t xml:space="preserve">CM Function</w:t>
            </w:r>
          </w:p>
        </w:tc>
        <w:tc>
          <w:tcPr>
            <w:tcW w:type="dxa" w:w="1500"/>
            <w:tcBorders>
              <w:top w:val="single" w:color="AAAAAA" w:sz="4"/>
              <w:left w:val="single" w:color="AAAAAA" w:sz="4"/>
              <w:bottom w:val="single" w:color="AAAAAA" w:sz="4"/>
              <w:right w:val="single" w:color="AAAAAA" w:sz="4"/>
            </w:tcBorders>
            <w:shd w:fill="1F3864" w:val="clear"/>
            <w:tcMar>
              <w:top w:type="dxa" w:w="100"/>
              <w:left w:type="dxa" w:w="120"/>
              <w:bottom w:type="dxa" w:w="100"/>
              <w:right w:type="dxa" w:w="120"/>
            </w:tcMar>
            <w:vAlign w:val="center"/>
          </w:tcPr>
          <w:p>
            <w:pPr>
              <w:spacing w:after="40" w:before="40"/>
              <w:jc w:val="center"/>
            </w:pPr>
            <w:r>
              <w:rPr>
                <w:rFonts w:ascii="Arial" w:cs="Arial" w:eastAsia="Arial" w:hAnsi="Arial"/>
                <w:b/>
                <w:bCs/>
                <w:color w:val="FFFFFF"/>
                <w:sz w:val="20"/>
                <w:szCs w:val="20"/>
              </w:rPr>
              <w:t xml:space="preserve">Tier 1 Reqs</w:t>
            </w:r>
          </w:p>
        </w:tc>
        <w:tc>
          <w:tcPr>
            <w:tcW w:type="dxa" w:w="1500"/>
            <w:tcBorders>
              <w:top w:val="single" w:color="AAAAAA" w:sz="4"/>
              <w:left w:val="single" w:color="AAAAAA" w:sz="4"/>
              <w:bottom w:val="single" w:color="AAAAAA" w:sz="4"/>
              <w:right w:val="single" w:color="AAAAAA" w:sz="4"/>
            </w:tcBorders>
            <w:shd w:fill="1F3864" w:val="clear"/>
            <w:tcMar>
              <w:top w:type="dxa" w:w="100"/>
              <w:left w:type="dxa" w:w="120"/>
              <w:bottom w:type="dxa" w:w="100"/>
              <w:right w:type="dxa" w:w="120"/>
            </w:tcMar>
            <w:vAlign w:val="center"/>
          </w:tcPr>
          <w:p>
            <w:pPr>
              <w:spacing w:after="40" w:before="40"/>
              <w:jc w:val="center"/>
            </w:pPr>
            <w:r>
              <w:rPr>
                <w:rFonts w:ascii="Arial" w:cs="Arial" w:eastAsia="Arial" w:hAnsi="Arial"/>
                <w:b/>
                <w:bCs/>
                <w:color w:val="FFFFFF"/>
                <w:sz w:val="20"/>
                <w:szCs w:val="20"/>
              </w:rPr>
              <w:t xml:space="preserve">Tier 2 Reqs</w:t>
            </w:r>
          </w:p>
        </w:tc>
        <w:tc>
          <w:tcPr>
            <w:tcW w:type="dxa" w:w="1500"/>
            <w:tcBorders>
              <w:top w:val="single" w:color="AAAAAA" w:sz="4"/>
              <w:left w:val="single" w:color="AAAAAA" w:sz="4"/>
              <w:bottom w:val="single" w:color="AAAAAA" w:sz="4"/>
              <w:right w:val="single" w:color="AAAAAA" w:sz="4"/>
            </w:tcBorders>
            <w:shd w:fill="1F3864" w:val="clear"/>
            <w:tcMar>
              <w:top w:type="dxa" w:w="100"/>
              <w:left w:type="dxa" w:w="120"/>
              <w:bottom w:type="dxa" w:w="100"/>
              <w:right w:type="dxa" w:w="120"/>
            </w:tcMar>
            <w:vAlign w:val="center"/>
          </w:tcPr>
          <w:p>
            <w:pPr>
              <w:spacing w:after="40" w:before="40"/>
              <w:jc w:val="center"/>
            </w:pPr>
            <w:r>
              <w:rPr>
                <w:rFonts w:ascii="Arial" w:cs="Arial" w:eastAsia="Arial" w:hAnsi="Arial"/>
                <w:b/>
                <w:bCs/>
                <w:color w:val="FFFFFF"/>
                <w:sz w:val="20"/>
                <w:szCs w:val="20"/>
              </w:rPr>
              <w:t xml:space="preserve">Tier 3 Reqs</w:t>
            </w:r>
          </w:p>
        </w:tc>
        <w:tc>
          <w:tcPr>
            <w:tcW w:type="dxa" w:w="1860"/>
            <w:tcBorders>
              <w:top w:val="single" w:color="AAAAAA" w:sz="4"/>
              <w:left w:val="single" w:color="AAAAAA" w:sz="4"/>
              <w:bottom w:val="single" w:color="AAAAAA" w:sz="4"/>
              <w:right w:val="single" w:color="AAAAAA" w:sz="4"/>
            </w:tcBorders>
            <w:shd w:fill="1F3864" w:val="clear"/>
            <w:tcMar>
              <w:top w:type="dxa" w:w="100"/>
              <w:left w:type="dxa" w:w="120"/>
              <w:bottom w:type="dxa" w:w="100"/>
              <w:right w:type="dxa" w:w="120"/>
            </w:tcMar>
            <w:vAlign w:val="center"/>
          </w:tcPr>
          <w:p>
            <w:pPr>
              <w:spacing w:after="40" w:before="40"/>
              <w:jc w:val="center"/>
            </w:pPr>
            <w:r>
              <w:rPr>
                <w:rFonts w:ascii="Arial" w:cs="Arial" w:eastAsia="Arial" w:hAnsi="Arial"/>
                <w:b/>
                <w:bCs/>
                <w:color w:val="FFFFFF"/>
                <w:sz w:val="20"/>
                <w:szCs w:val="20"/>
              </w:rPr>
              <w:t xml:space="preserve">Dominant Tier</w:t>
            </w:r>
          </w:p>
        </w:tc>
      </w:tr>
      <w:tr>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1F3864"/>
                <w:sz w:val="19"/>
                <w:szCs w:val="19"/>
              </w:rPr>
              <w:t xml:space="preserve">A.1 Planning &amp; Management</w:t>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595959"/>
                <w:sz w:val="19"/>
                <w:szCs w:val="19"/>
              </w:rPr>
              <w:t xml:space="preserve">0</w:t>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2E5F8A"/>
                <w:sz w:val="19"/>
                <w:szCs w:val="19"/>
              </w:rPr>
              <w:t xml:space="preserve">2</w:t>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C00000"/>
                <w:sz w:val="19"/>
                <w:szCs w:val="19"/>
              </w:rPr>
              <w:t xml:space="preserve">6</w:t>
            </w:r>
          </w:p>
        </w:tc>
        <w:tc>
          <w:tcPr>
            <w:tcW w:type="dxa" w:w="1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C00000"/>
                <w:sz w:val="19"/>
                <w:szCs w:val="19"/>
              </w:rPr>
              <w:t xml:space="preserve">Tier 3 (mixed)</w:t>
            </w:r>
          </w:p>
        </w:tc>
      </w:tr>
      <w:tr>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bCs/>
                <w:color w:val="1F3864"/>
                <w:sz w:val="19"/>
                <w:szCs w:val="19"/>
              </w:rPr>
              <w:t xml:space="preserve">A.2 Configuration Identification</w:t>
            </w:r>
          </w:p>
        </w:tc>
        <w:tc>
          <w:tcPr>
            <w:tcW w:type="dxa" w:w="1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val="false"/>
                <w:bCs w:val="false"/>
                <w:color w:val="595959"/>
                <w:sz w:val="19"/>
                <w:szCs w:val="19"/>
              </w:rPr>
              <w:t xml:space="preserve">0</w:t>
            </w:r>
          </w:p>
        </w:tc>
        <w:tc>
          <w:tcPr>
            <w:tcW w:type="dxa" w:w="1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val="false"/>
                <w:bCs w:val="false"/>
                <w:color w:val="2E5F8A"/>
                <w:sz w:val="19"/>
                <w:szCs w:val="19"/>
              </w:rPr>
              <w:t xml:space="preserve">4</w:t>
            </w:r>
          </w:p>
        </w:tc>
        <w:tc>
          <w:tcPr>
            <w:tcW w:type="dxa" w:w="1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bCs/>
                <w:color w:val="C00000"/>
                <w:sz w:val="19"/>
                <w:szCs w:val="19"/>
              </w:rPr>
              <w:t xml:space="preserve">8</w:t>
            </w:r>
          </w:p>
        </w:tc>
        <w:tc>
          <w:tcPr>
            <w:tcW w:type="dxa" w:w="18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bCs/>
                <w:color w:val="C00000"/>
                <w:sz w:val="19"/>
                <w:szCs w:val="19"/>
              </w:rPr>
              <w:t xml:space="preserve">Tier 3</w:t>
            </w:r>
          </w:p>
        </w:tc>
      </w:tr>
      <w:tr>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1F3864"/>
                <w:sz w:val="19"/>
                <w:szCs w:val="19"/>
              </w:rPr>
              <w:t xml:space="preserve">A.3 Configuration Change Management</w:t>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595959"/>
                <w:sz w:val="19"/>
                <w:szCs w:val="19"/>
              </w:rPr>
              <w:t xml:space="preserve">0</w:t>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2E5F8A"/>
                <w:sz w:val="19"/>
                <w:szCs w:val="19"/>
              </w:rPr>
              <w:t xml:space="preserve">4</w:t>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C00000"/>
                <w:sz w:val="19"/>
                <w:szCs w:val="19"/>
              </w:rPr>
              <w:t xml:space="preserve">9</w:t>
            </w:r>
          </w:p>
        </w:tc>
        <w:tc>
          <w:tcPr>
            <w:tcW w:type="dxa" w:w="1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C00000"/>
                <w:sz w:val="19"/>
                <w:szCs w:val="19"/>
              </w:rPr>
              <w:t xml:space="preserve">Tier 3</w:t>
            </w:r>
          </w:p>
        </w:tc>
      </w:tr>
      <w:tr>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bCs/>
                <w:color w:val="1F3864"/>
                <w:sz w:val="19"/>
                <w:szCs w:val="19"/>
              </w:rPr>
              <w:t xml:space="preserve">A.4 Configuration Status Accounting</w:t>
            </w:r>
          </w:p>
        </w:tc>
        <w:tc>
          <w:tcPr>
            <w:tcW w:type="dxa" w:w="1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val="false"/>
                <w:bCs w:val="false"/>
                <w:color w:val="595959"/>
                <w:sz w:val="19"/>
                <w:szCs w:val="19"/>
              </w:rPr>
              <w:t xml:space="preserve">1</w:t>
            </w:r>
          </w:p>
        </w:tc>
        <w:tc>
          <w:tcPr>
            <w:tcW w:type="dxa" w:w="1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bCs/>
                <w:color w:val="2E5F8A"/>
                <w:sz w:val="19"/>
                <w:szCs w:val="19"/>
              </w:rPr>
              <w:t xml:space="preserve">7</w:t>
            </w:r>
          </w:p>
        </w:tc>
        <w:tc>
          <w:tcPr>
            <w:tcW w:type="dxa" w:w="1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val="false"/>
                <w:bCs w:val="false"/>
                <w:color w:val="C00000"/>
                <w:sz w:val="19"/>
                <w:szCs w:val="19"/>
              </w:rPr>
              <w:t xml:space="preserve">3</w:t>
            </w:r>
          </w:p>
        </w:tc>
        <w:tc>
          <w:tcPr>
            <w:tcW w:type="dxa" w:w="18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after="40" w:before="40"/>
            </w:pPr>
            <w:r>
              <w:rPr>
                <w:rFonts w:ascii="Arial" w:cs="Arial" w:eastAsia="Arial" w:hAnsi="Arial"/>
                <w:b/>
                <w:bCs/>
                <w:color w:val="2E5F8A"/>
                <w:sz w:val="19"/>
                <w:szCs w:val="19"/>
              </w:rPr>
              <w:t xml:space="preserve">Tier 2 (no CSA tool: shift to T3)</w:t>
            </w:r>
          </w:p>
        </w:tc>
      </w:tr>
      <w:tr>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1F3864"/>
                <w:sz w:val="19"/>
                <w:szCs w:val="19"/>
              </w:rPr>
              <w:t xml:space="preserve">A.5 Configuration Verification &amp; Audits</w:t>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595959"/>
                <w:sz w:val="19"/>
                <w:szCs w:val="19"/>
              </w:rPr>
              <w:t xml:space="preserve">0</w:t>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val="false"/>
                <w:bCs w:val="false"/>
                <w:color w:val="2E5F8A"/>
                <w:sz w:val="19"/>
                <w:szCs w:val="19"/>
              </w:rPr>
              <w:t xml:space="preserve">3</w:t>
            </w:r>
          </w:p>
        </w:tc>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C00000"/>
                <w:sz w:val="19"/>
                <w:szCs w:val="19"/>
              </w:rPr>
              <w:t xml:space="preserve">10</w:t>
            </w:r>
          </w:p>
        </w:tc>
        <w:tc>
          <w:tcPr>
            <w:tcW w:type="dxa" w:w="1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pPr>
            <w:r>
              <w:rPr>
                <w:rFonts w:ascii="Arial" w:cs="Arial" w:eastAsia="Arial" w:hAnsi="Arial"/>
                <w:b/>
                <w:bCs/>
                <w:color w:val="C00000"/>
                <w:sz w:val="19"/>
                <w:szCs w:val="19"/>
              </w:rPr>
              <w:t xml:space="preserve">Tier 3</w:t>
            </w:r>
          </w:p>
        </w:tc>
      </w:tr>
    </w:tbl>
    <w:p>
      <w:pPr>
        <w:spacing w:after="0" w:before="120"/>
      </w:pPr>
    </w:p>
    <w:tbl>
      <w:tblPr>
        <w:tblW w:type="dxa" w:w="9360"/>
        <w:tblBorders>
          <w:top w:val="single" w:color="2E5F8A" w:sz="8"/>
          <w:left w:val="single" w:color="2E5F8A" w:sz="8"/>
          <w:bottom w:val="single" w:color="2E5F8A" w:sz="8"/>
          <w:right w:val="single" w:color="2E5F8A" w:sz="8"/>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BDD7EE" w:val="clear"/>
            <w:tcMar>
              <w:top w:type="dxa" w:w="100"/>
              <w:left w:type="dxa" w:w="200"/>
              <w:bottom w:type="dxa" w:w="100"/>
              <w:right w:type="dxa" w:w="200"/>
            </w:tcMar>
          </w:tcPr>
          <w:p>
            <w:pPr>
              <w:spacing w:after="40" w:before="40"/>
            </w:pPr>
            <w:r>
              <w:rPr>
                <w:rFonts w:ascii="Arial" w:cs="Arial" w:eastAsia="Arial" w:hAnsi="Arial"/>
                <w:b/>
                <w:bCs/>
                <w:color w:val="1F3864"/>
                <w:sz w:val="22"/>
                <w:szCs w:val="22"/>
              </w:rPr>
              <w:t xml:space="preserve">What the RAM Confirms</w:t>
            </w:r>
          </w:p>
        </w:tc>
      </w:tr>
      <w:tr>
        <w:tc>
          <w:tcPr>
            <w:tcW w:type="dxa" w:w="9360"/>
            <w:tcBorders>
              <w:top w:val="none" w:color="FFFFFF" w:sz="0"/>
              <w:left w:val="none" w:color="FFFFFF" w:sz="0"/>
              <w:bottom w:val="none" w:color="FFFFFF" w:sz="0"/>
              <w:right w:val="none" w:color="FFFFFF" w:sz="0"/>
            </w:tcBorders>
            <w:shd w:fill="D5E8F0" w:val="clear"/>
            <w:tcMar>
              <w:top w:type="dxa" w:w="80"/>
              <w:left w:type="dxa" w:w="200"/>
              <w:bottom w:type="dxa" w:w="80"/>
              <w:right w:type="dxa" w:w="200"/>
            </w:tcMar>
          </w:tcPr>
          <w:p>
            <w:pPr>
              <w:spacing w:after="40" w:before="40"/>
            </w:pPr>
            <w:r>
              <w:rPr>
                <w:rFonts w:ascii="Arial" w:cs="Arial" w:eastAsia="Arial" w:hAnsi="Arial"/>
                <w:color w:val="404040"/>
                <w:sz w:val="20"/>
                <w:szCs w:val="20"/>
              </w:rPr>
              <w:t xml:space="preserve">Across 57 sampled requirements, 36 (63%) require Tier 3 (engineering-level) competency at minimum.</w:t>
            </w:r>
          </w:p>
        </w:tc>
      </w:tr>
      <w:tr>
        <w:tc>
          <w:tcPr>
            <w:tcW w:type="dxa" w:w="9360"/>
            <w:tcBorders>
              <w:top w:val="none" w:color="FFFFFF" w:sz="0"/>
              <w:left w:val="none" w:color="FFFFFF" w:sz="0"/>
              <w:bottom w:val="none" w:color="FFFFFF" w:sz="0"/>
              <w:right w:val="none" w:color="FFFFFF" w:sz="0"/>
            </w:tcBorders>
            <w:shd w:fill="D5E8F0" w:val="clear"/>
            <w:tcMar>
              <w:top w:type="dxa" w:w="80"/>
              <w:left w:type="dxa" w:w="200"/>
              <w:bottom w:type="dxa" w:w="80"/>
              <w:right w:type="dxa" w:w="200"/>
            </w:tcMar>
          </w:tcPr>
          <w:p>
            <w:pPr>
              <w:spacing w:after="40" w:before="40"/>
            </w:pPr>
            <w:r>
              <w:rPr>
                <w:rFonts w:ascii="Arial" w:cs="Arial" w:eastAsia="Arial" w:hAnsi="Arial"/>
                <w:color w:val="404040"/>
                <w:sz w:val="20"/>
                <w:szCs w:val="20"/>
              </w:rPr>
              <w:t xml:space="preserve">Three of the five CM functions are dominated by Tier 3 requirements — confirming the engineering-degree case.</w:t>
            </w:r>
          </w:p>
        </w:tc>
      </w:tr>
      <w:tr>
        <w:tc>
          <w:tcPr>
            <w:tcW w:type="dxa" w:w="9360"/>
            <w:tcBorders>
              <w:top w:val="none" w:color="FFFFFF" w:sz="0"/>
              <w:left w:val="none" w:color="FFFFFF" w:sz="0"/>
              <w:bottom w:val="none" w:color="FFFFFF" w:sz="0"/>
              <w:right w:val="none" w:color="FFFFFF" w:sz="0"/>
            </w:tcBorders>
            <w:shd w:fill="D5E8F0" w:val="clear"/>
            <w:tcMar>
              <w:top w:type="dxa" w:w="80"/>
              <w:left w:type="dxa" w:w="200"/>
              <w:bottom w:type="dxa" w:w="80"/>
              <w:right w:type="dxa" w:w="200"/>
            </w:tcMar>
          </w:tcPr>
          <w:p>
            <w:pPr>
              <w:spacing w:after="40" w:before="40"/>
            </w:pPr>
            <w:r>
              <w:rPr>
                <w:rFonts w:ascii="Arial" w:cs="Arial" w:eastAsia="Arial" w:hAnsi="Arial"/>
                <w:color w:val="404040"/>
                <w:sz w:val="20"/>
                <w:szCs w:val="20"/>
              </w:rPr>
              <w:t xml:space="preserve">Configuration Status Accounting allocates most heavily to Tier 2, but the absence of a CSA tool shifts several</w:t>
            </w:r>
          </w:p>
        </w:tc>
      </w:tr>
      <w:tr>
        <w:tc>
          <w:tcPr>
            <w:tcW w:type="dxa" w:w="9360"/>
            <w:tcBorders>
              <w:top w:val="none" w:color="FFFFFF" w:sz="0"/>
              <w:left w:val="none" w:color="FFFFFF" w:sz="0"/>
              <w:bottom w:val="none" w:color="FFFFFF" w:sz="0"/>
              <w:right w:val="none" w:color="FFFFFF" w:sz="0"/>
            </w:tcBorders>
            <w:shd w:fill="D5E8F0" w:val="clear"/>
            <w:tcMar>
              <w:top w:type="dxa" w:w="80"/>
              <w:left w:type="dxa" w:w="200"/>
              <w:bottom w:type="dxa" w:w="80"/>
              <w:right w:type="dxa" w:w="200"/>
            </w:tcMar>
          </w:tcPr>
          <w:p>
            <w:pPr>
              <w:spacing w:after="40" w:before="40"/>
            </w:pPr>
            <w:r>
              <w:rPr>
                <w:rFonts w:ascii="Arial" w:cs="Arial" w:eastAsia="Arial" w:hAnsi="Arial"/>
                <w:color w:val="404040"/>
                <w:sz w:val="20"/>
                <w:szCs w:val="20"/>
              </w:rPr>
              <w:t xml:space="preserve">Tier 2 allocations to Tier 3 in current practice. This is the operational consequence of the missing CSA tool.</w:t>
            </w:r>
          </w:p>
        </w:tc>
      </w:tr>
      <w:tr>
        <w:tc>
          <w:tcPr>
            <w:tcW w:type="dxa" w:w="9360"/>
            <w:tcBorders>
              <w:top w:val="none" w:color="FFFFFF" w:sz="0"/>
              <w:left w:val="none" w:color="FFFFFF" w:sz="0"/>
              <w:bottom w:val="none" w:color="FFFFFF" w:sz="0"/>
              <w:right w:val="none" w:color="FFFFFF" w:sz="0"/>
            </w:tcBorders>
            <w:shd w:fill="D5E8F0" w:val="clear"/>
            <w:tcMar>
              <w:top w:type="dxa" w:w="80"/>
              <w:left w:type="dxa" w:w="200"/>
              <w:bottom w:type="dxa" w:w="80"/>
              <w:right w:type="dxa" w:w="200"/>
            </w:tcMar>
          </w:tcPr>
          <w:p>
            <w:pPr>
              <w:spacing w:after="40" w:before="40"/>
            </w:pPr>
            <w:r>
              <w:rPr>
                <w:rFonts w:ascii="Arial" w:cs="Arial" w:eastAsia="Arial" w:hAnsi="Arial"/>
                <w:color w:val="404040"/>
                <w:sz w:val="20"/>
                <w:szCs w:val="20"/>
              </w:rPr>
              <w:t xml:space="preserve">No requirement in the sampled set is allocatable to Tier 1 alone — Tier 1 personnel always work under</w:t>
            </w:r>
          </w:p>
        </w:tc>
      </w:tr>
      <w:tr>
        <w:tc>
          <w:tcPr>
            <w:tcW w:type="dxa" w:w="9360"/>
            <w:tcBorders>
              <w:top w:val="none" w:color="FFFFFF" w:sz="0"/>
              <w:left w:val="none" w:color="FFFFFF" w:sz="0"/>
              <w:bottom w:val="none" w:color="FFFFFF" w:sz="0"/>
              <w:right w:val="none" w:color="FFFFFF" w:sz="0"/>
            </w:tcBorders>
            <w:shd w:fill="D5E8F0" w:val="clear"/>
            <w:tcMar>
              <w:top w:type="dxa" w:w="80"/>
              <w:left w:type="dxa" w:w="200"/>
              <w:bottom w:type="dxa" w:w="80"/>
              <w:right w:type="dxa" w:w="200"/>
            </w:tcMar>
          </w:tcPr>
          <w:p>
            <w:pPr>
              <w:spacing w:after="40" w:before="40"/>
            </w:pPr>
            <w:r>
              <w:rPr>
                <w:rFonts w:ascii="Arial" w:cs="Arial" w:eastAsia="Arial" w:hAnsi="Arial"/>
                <w:color w:val="404040"/>
                <w:sz w:val="20"/>
                <w:szCs w:val="20"/>
              </w:rPr>
              <w:t xml:space="preserve">the direction of a higher tier. This is the framework's protection against under-resourcing CM functions.</w:t>
            </w:r>
          </w:p>
        </w:tc>
      </w:tr>
    </w:tbl>
    <w:p>
      <w:pPr>
        <w:spacing w:after="0" w:before="100"/>
      </w:pPr>
    </w:p>
    <w:p>
      <w:pPr>
        <w:pStyle w:val="Heading3"/>
        <w:pBdr>
          <w:bottom w:val="single" w:color="2E5F8A" w:sz="6"/>
        </w:pBdr>
        <w:spacing w:after="80" w:before="160"/>
      </w:pPr>
      <w:r>
        <w:rPr>
          <w:rFonts w:ascii="Arial" w:cs="Arial" w:eastAsia="Arial" w:hAnsi="Arial"/>
          <w:b/>
          <w:bCs/>
          <w:color w:val="1F3864"/>
          <w:sz w:val="24"/>
          <w:szCs w:val="24"/>
        </w:rPr>
        <w:t xml:space="preserve">Recommended Next Step for the Full RAM</w:t>
      </w:r>
    </w:p>
    <w:p>
      <w:pPr>
        <w:spacing w:after="80" w:before="60"/>
        <w:jc w:val="left"/>
      </w:pPr>
      <w:r>
        <w:rPr>
          <w:rFonts w:ascii="Arial" w:cs="Arial" w:eastAsia="Arial" w:hAnsi="Arial"/>
          <w:i w:val="false"/>
          <w:iCs w:val="false"/>
          <w:color w:val="404040"/>
          <w:sz w:val="22"/>
          <w:szCs w:val="22"/>
        </w:rPr>
        <w:t xml:space="preserve">After approval of the workforce framework, the CM organization should commission a full RAM covering every shall-statement in EIA-649-1 as tailored to the company's contracts. The full RAM becomes the authoritative source for:</w:t>
      </w:r>
    </w:p>
    <w:p>
      <w:pPr>
        <w:pStyle w:val="ListParagraph"/>
        <w:numPr>
          <w:ilvl w:val="0"/>
          <w:numId w:val="2"/>
        </w:numPr>
        <w:spacing w:after="40" w:before="40"/>
      </w:pPr>
      <w:r>
        <w:rPr>
          <w:rFonts w:ascii="Arial" w:cs="Arial" w:eastAsia="Arial" w:hAnsi="Arial"/>
          <w:color w:val="404040"/>
          <w:sz w:val="22"/>
          <w:szCs w:val="22"/>
        </w:rPr>
        <w:t xml:space="preserve">HR position description content for each CM role (which requirements each position is responsible for executing)</w:t>
      </w:r>
    </w:p>
    <w:p>
      <w:pPr>
        <w:pStyle w:val="ListParagraph"/>
        <w:numPr>
          <w:ilvl w:val="0"/>
          <w:numId w:val="2"/>
        </w:numPr>
        <w:spacing w:after="40" w:before="40"/>
      </w:pPr>
      <w:r>
        <w:rPr>
          <w:rFonts w:ascii="Arial" w:cs="Arial" w:eastAsia="Arial" w:hAnsi="Arial"/>
          <w:color w:val="404040"/>
          <w:sz w:val="22"/>
          <w:szCs w:val="22"/>
        </w:rPr>
        <w:t xml:space="preserve">Performance assessment criteria (whether the individual is meeting their allocated CM responsibilities)</w:t>
      </w:r>
    </w:p>
    <w:p>
      <w:pPr>
        <w:pStyle w:val="ListParagraph"/>
        <w:numPr>
          <w:ilvl w:val="0"/>
          <w:numId w:val="2"/>
        </w:numPr>
        <w:spacing w:after="40" w:before="40"/>
      </w:pPr>
      <w:r>
        <w:rPr>
          <w:rFonts w:ascii="Arial" w:cs="Arial" w:eastAsia="Arial" w:hAnsi="Arial"/>
          <w:color w:val="404040"/>
          <w:sz w:val="22"/>
          <w:szCs w:val="22"/>
        </w:rPr>
        <w:t xml:space="preserve">Training curriculum design (which competencies must be developed for which roles)</w:t>
      </w:r>
    </w:p>
    <w:p>
      <w:pPr>
        <w:pStyle w:val="ListParagraph"/>
        <w:numPr>
          <w:ilvl w:val="0"/>
          <w:numId w:val="2"/>
        </w:numPr>
        <w:spacing w:after="40" w:before="40"/>
      </w:pPr>
      <w:r>
        <w:rPr>
          <w:rFonts w:ascii="Arial" w:cs="Arial" w:eastAsia="Arial" w:hAnsi="Arial"/>
          <w:color w:val="404040"/>
          <w:sz w:val="22"/>
          <w:szCs w:val="22"/>
        </w:rPr>
        <w:t xml:space="preserve">Audit and compliance assessment (whether the workforce is structured to meet contractual obligations)</w:t>
      </w:r>
    </w:p>
    <w:p>
      <w:pPr>
        <w:pStyle w:val="ListParagraph"/>
        <w:numPr>
          <w:ilvl w:val="0"/>
          <w:numId w:val="2"/>
        </w:numPr>
        <w:spacing w:after="40" w:before="40"/>
      </w:pPr>
      <w:r>
        <w:rPr>
          <w:rFonts w:ascii="Arial" w:cs="Arial" w:eastAsia="Arial" w:hAnsi="Arial"/>
          <w:color w:val="404040"/>
          <w:sz w:val="22"/>
          <w:szCs w:val="22"/>
        </w:rPr>
        <w:t xml:space="preserve">Forward-looking workforce planning (which tier shortages will emerge as contracts evolve)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8A" w:sz="4"/>
      </w:pBdr>
      <w:spacing w:after="0" w:before="80"/>
    </w:pPr>
    <w:r>
      <w:rPr>
        <w:rFonts w:ascii="Arial" w:cs="Arial" w:eastAsia="Arial" w:hAnsi="Arial"/>
        <w:color w:val="595959"/>
        <w:sz w:val="16"/>
        <w:szCs w:val="16"/>
      </w:rPr>
      <w:t xml:space="preserve">Page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of </w:t>
    </w:r>
    <w:r>
      <w:rPr>
        <w:rFonts w:ascii="Arial" w:cs="Arial" w:eastAsia="Arial" w:hAnsi="Arial"/>
        <w:color w:val="595959"/>
        <w:sz w:val="16"/>
        <w:szCs w:val="16"/>
      </w:rPr>
      <w:fldChar w:fldCharType="begin"/>
      <w:instrText xml:space="preserve">NUMPAGES</w:instrText>
      <w:fldChar w:fldCharType="separate"/>
      <w:fldChar w:fldCharType="end"/>
    </w:r>
    <w:r>
      <w:rPr>
        <w:rFonts w:ascii="Arial" w:cs="Arial" w:eastAsia="Arial" w:hAnsi="Arial"/>
        <w:color w:val="595959"/>
        <w:sz w:val="16"/>
        <w:szCs w:val="16"/>
      </w:rPr>
      <w:t xml:space="preserve">          Configuration Management Workforce Analysis — EIA-649-1 Requirements Traceability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8A" w:sz="4"/>
      </w:pBdr>
      <w:spacing w:after="80" w:before="0"/>
    </w:pPr>
    <w:r>
      <w:rPr>
        <w:rFonts w:ascii="Arial" w:cs="Arial" w:eastAsia="Arial" w:hAnsi="Arial"/>
        <w:color w:val="595959"/>
        <w:sz w:val="16"/>
        <w:szCs w:val="16"/>
      </w:rPr>
      <w:t xml:space="preserve">CM Workforce Competency Analysis — EIA-649-1 | COMPANY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0404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FFFFFF"/>
      <w:sz w:val="36"/>
      <w:szCs w:val="36"/>
    </w:rPr>
  </w:style>
  <w:style w:type="paragraph" w:styleId="Heading2">
    <w:name w:val="Heading 2"/>
    <w:basedOn w:val="Normal"/>
    <w:next w:val="Normal"/>
    <w:qFormat/>
    <w:pPr>
      <w:spacing w:after="80" w:before="200"/>
      <w:outlineLvl w:val="1"/>
    </w:pPr>
    <w:rPr>
      <w:rFonts w:ascii="Arial" w:cs="Arial" w:eastAsia="Arial" w:hAnsi="Arial"/>
      <w:b/>
      <w:bCs/>
      <w:color w:val="FFFFFF"/>
      <w:sz w:val="28"/>
      <w:szCs w:val="28"/>
    </w:rPr>
  </w:style>
  <w:style w:type="paragraph" w:styleId="Heading3">
    <w:name w:val="Heading 3"/>
    <w:basedOn w:val="Normal"/>
    <w:next w:val="Normal"/>
    <w:qFormat/>
    <w:pPr>
      <w:spacing w:after="80" w:before="160"/>
      <w:outlineLvl w:val="2"/>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2026-05-24T01:13:28.437Z</dcterms:created>
  <dcterms:modified xsi:type="dcterms:W3CDTF">2026-05-24T01:13:28.437Z</dcterms:modified>
</cp:coreProperties>
</file>

<file path=docProps/custom.xml><?xml version="1.0" encoding="utf-8"?>
<Properties xmlns="http://schemas.openxmlformats.org/officeDocument/2006/custom-properties" xmlns:vt="http://schemas.openxmlformats.org/officeDocument/2006/docPropsVTypes"/>
</file>