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20"/>
      </w:pPr>
    </w:p>
    <w:p>
      <w:pPr>
        <w:spacing w:after="120" w:before="0"/>
        <w:jc w:val="center"/>
      </w:pPr>
      <w:r>
        <w:rPr>
          <w:rFonts w:ascii="Arial" w:cs="Arial" w:eastAsia="Arial" w:hAnsi="Arial"/>
          <w:b/>
          <w:bCs/>
          <w:color w:val="1F3864"/>
          <w:sz w:val="56"/>
          <w:szCs w:val="56"/>
        </w:rPr>
        <w:t xml:space="preserve">CONFIGURATION MANAGEMENT</w:t>
      </w:r>
    </w:p>
    <w:p>
      <w:pPr>
        <w:spacing w:after="80" w:before="0"/>
        <w:jc w:val="center"/>
      </w:pPr>
      <w:r>
        <w:rPr>
          <w:rFonts w:ascii="Arial" w:cs="Arial" w:eastAsia="Arial" w:hAnsi="Arial"/>
          <w:b/>
          <w:bCs/>
          <w:color w:val="1F3864"/>
          <w:sz w:val="56"/>
          <w:szCs w:val="56"/>
        </w:rPr>
        <w:t xml:space="preserve">WORKFORCE COMPETENCY ANALYSIS</w:t>
      </w:r>
    </w:p>
    <w:p>
      <w:pPr>
        <w:pBdr>
          <w:bottom w:val="single" w:color="2E5F8A" w:sz="12"/>
        </w:pBdr>
        <w:spacing w:after="80" w:before="80"/>
      </w:pPr>
    </w:p>
    <w:p>
      <w:pPr>
        <w:spacing w:after="0" w:before="120"/>
      </w:pPr>
    </w:p>
    <w:p>
      <w:pPr>
        <w:spacing w:after="80" w:before="0"/>
        <w:jc w:val="center"/>
      </w:pPr>
      <w:r>
        <w:rPr>
          <w:rFonts w:ascii="Arial" w:cs="Arial" w:eastAsia="Arial" w:hAnsi="Arial"/>
          <w:b w:val="false"/>
          <w:bCs w:val="false"/>
          <w:i/>
          <w:iCs/>
          <w:color w:val="2E5F8A"/>
          <w:sz w:val="32"/>
          <w:szCs w:val="32"/>
        </w:rPr>
        <w:t xml:space="preserve">Education Degree Requirements, Technical Skills, and Soft Skills</w:t>
      </w:r>
    </w:p>
    <w:p>
      <w:pPr>
        <w:spacing w:after="240" w:before="0"/>
        <w:jc w:val="center"/>
      </w:pPr>
      <w:r>
        <w:rPr>
          <w:rFonts w:ascii="Arial" w:cs="Arial" w:eastAsia="Arial" w:hAnsi="Arial"/>
          <w:color w:val="595959"/>
          <w:sz w:val="28"/>
          <w:szCs w:val="28"/>
        </w:rPr>
        <w:t xml:space="preserve">Per EIA-649-1 Configuration Management Requirements for Defense Contracts</w:t>
      </w:r>
    </w:p>
    <w:p>
      <w:pPr>
        <w:spacing w:after="80" w:before="0"/>
        <w:jc w:val="center"/>
      </w:pPr>
      <w:r>
        <w:rPr>
          <w:rFonts w:ascii="Arial" w:cs="Arial" w:eastAsia="Arial" w:hAnsi="Arial"/>
          <w:i/>
          <w:iCs/>
          <w:color w:val="595959"/>
          <w:sz w:val="24"/>
          <w:szCs w:val="24"/>
        </w:rPr>
        <w:t xml:space="preserve">Prepared for: HR, Senior CM Leadership, and Executive Aerospace Leadership</w:t>
      </w:r>
    </w:p>
    <w:p>
      <w:pPr>
        <w:spacing w:after="80" w:before="0"/>
        <w:jc w:val="center"/>
      </w:pPr>
      <w:r>
        <w:rPr>
          <w:rFonts w:ascii="Arial" w:cs="Arial" w:eastAsia="Arial" w:hAnsi="Arial"/>
          <w:color w:val="595959"/>
          <w:sz w:val="22"/>
          <w:szCs w:val="22"/>
        </w:rPr>
        <w:t xml:space="preserve">Date: May 22, 2026</w:t>
      </w:r>
    </w:p>
    <w:p>
      <w:pPr>
        <w:spacing w:after="0" w:before="240"/>
      </w:pPr>
    </w:p>
    <w:tbl>
      <w:tblPr>
        <w:tblW w:type="dxa" w:w="9360"/>
        <w:tblBorders>
          <w:top w:val="single" w:color="2E5F8A" w:sz="8"/>
          <w:left w:val="single" w:color="2E5F8A" w:sz="8"/>
          <w:bottom w:val="single" w:color="2E5F8A" w:sz="8"/>
          <w:right w:val="single" w:color="2E5F8A" w:sz="8"/>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BDD7EE" w:val="clear"/>
            <w:tcMar>
              <w:top w:type="dxa" w:w="100"/>
              <w:left w:type="dxa" w:w="200"/>
              <w:bottom w:type="dxa" w:w="100"/>
              <w:right w:type="dxa" w:w="200"/>
            </w:tcMar>
          </w:tcPr>
          <w:p>
            <w:pPr>
              <w:spacing w:after="40" w:before="40"/>
            </w:pPr>
            <w:r>
              <w:rPr>
                <w:rFonts w:ascii="Arial" w:cs="Arial" w:eastAsia="Arial" w:hAnsi="Arial"/>
                <w:b/>
                <w:bCs/>
                <w:color w:val="1F3864"/>
                <w:sz w:val="22"/>
                <w:szCs w:val="22"/>
              </w:rPr>
              <w:t xml:space="preserve">Key Assumptions Governing This Analysis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1. All EIA-649-1 requirements are allocated to the CM Organization (no engineering hand-off of CM duties).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2. The company has no CSA tool automating reconciliation of Design to Procurement Planning to Build.</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3. The current hiring standard is an Associate's Degree — this document makes the case where that must change.</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4. Degree traceability to specific 649-1 paragraphs is provided to support HR and leadership decision-making.</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5. 'Technical Degree' means a B.S. in Engineering (B.S.E.) or Engineering Technology (B.S.E.T.) unless noted otherwise.</w:t>
            </w:r>
          </w:p>
        </w:tc>
      </w:tr>
    </w:tbl>
    <w:p>
      <w:r>
        <w:br w:type="page"/>
      </w:r>
    </w:p>
    <w:p>
      <w:pPr>
        <w:pStyle w:val="Heading1"/>
        <w:shd w:fill="1F3864" w:val="clear"/>
        <w:spacing w:after="120" w:before="240"/>
        <w:ind w:left="120"/>
      </w:pPr>
      <w:r>
        <w:rPr>
          <w:rFonts w:ascii="Arial" w:cs="Arial" w:eastAsia="Arial" w:hAnsi="Arial"/>
          <w:b/>
          <w:bCs/>
          <w:color w:val="FFFFFF"/>
          <w:sz w:val="36"/>
          <w:szCs w:val="36"/>
        </w:rPr>
        <w:t xml:space="preserve">EXECUTIVE SUMMARY</w:t>
      </w:r>
    </w:p>
    <w:p>
      <w:pPr>
        <w:spacing w:after="0" w:before="80"/>
      </w:pPr>
    </w:p>
    <w:p>
      <w:pPr>
        <w:spacing w:after="100" w:before="80"/>
        <w:jc w:val="left"/>
      </w:pPr>
      <w:r>
        <w:rPr>
          <w:rFonts w:ascii="Arial" w:cs="Arial" w:eastAsia="Arial" w:hAnsi="Arial"/>
          <w:i w:val="false"/>
          <w:iCs w:val="false"/>
          <w:color w:val="404040"/>
          <w:sz w:val="22"/>
          <w:szCs w:val="22"/>
        </w:rPr>
        <w:t xml:space="preserve">EIA-649-1, Configuration Management Requirements for Defense Contracts, imposes technically complex obligations across five CM functions. This analysis evaluates the education, technical skills, and soft skills required to fulfill each function when all requirements are allocated to the CM organization — as is the case at this company.</w:t>
      </w:r>
    </w:p>
    <w:p>
      <w:pPr>
        <w:spacing w:after="100" w:before="80"/>
        <w:jc w:val="left"/>
      </w:pPr>
      <w:r>
        <w:rPr>
          <w:rFonts w:ascii="Arial" w:cs="Arial" w:eastAsia="Arial" w:hAnsi="Arial"/>
          <w:i w:val="false"/>
          <w:iCs w:val="false"/>
          <w:color w:val="404040"/>
          <w:sz w:val="22"/>
          <w:szCs w:val="22"/>
        </w:rPr>
        <w:t xml:space="preserve">The central finding is this: three of the five CM functions — Configuration Identification, Configuration Verification and Audits, and Configuration Change Management — contain specific, non-delegable requirements that cannot be competently executed without a bachelor's degree in engineering or engineering technology. A fourth function, Configuration Status Accounting, is sufficiently complex in the absence of a CSA automation tool that a technical bachelor's degree is strongly recommended.</w:t>
      </w:r>
    </w:p>
    <w:p>
      <w:pPr>
        <w:spacing w:after="100" w:before="80"/>
        <w:jc w:val="left"/>
      </w:pPr>
      <w:r>
        <w:rPr>
          <w:rFonts w:ascii="Arial" w:cs="Arial" w:eastAsia="Arial" w:hAnsi="Arial"/>
          <w:i w:val="false"/>
          <w:iCs w:val="false"/>
          <w:color w:val="404040"/>
          <w:sz w:val="22"/>
          <w:szCs w:val="22"/>
        </w:rPr>
        <w:t xml:space="preserve">The current practice of hiring only associate's degree personnel creates a structural competency gap that places the company at risk of non-compliance with its defense contracts, potential audit failures, and downstream costs associated with incorrect CI selection, improper change classification, and inaccurate as-built records.</w:t>
      </w:r>
    </w:p>
    <w:p>
      <w:pPr>
        <w:spacing w:after="100" w:before="80"/>
        <w:jc w:val="left"/>
      </w:pPr>
      <w:r>
        <w:rPr>
          <w:rFonts w:ascii="Arial" w:cs="Arial" w:eastAsia="Arial" w:hAnsi="Arial"/>
          <w:i w:val="false"/>
          <w:iCs w:val="false"/>
          <w:color w:val="404040"/>
          <w:sz w:val="22"/>
          <w:szCs w:val="22"/>
        </w:rPr>
        <w:t xml:space="preserve">Equally important: this document establishes that the path to qualified CM personnel is not limited to engineering degrees. The A.A.S. workforce occupies a clearly defined and valued tier with specific strengths and a career development pathway. Furthermore, non-traditional advanced degrees — including doctoral credentials in the history of technology, nuclear manufacturing, logistics, and related fields — can qualify for senior CM roles when their subject matter is sufficiently proximate to defense systems and manufacturing. The Workforce Qualification Framework section that follows addresses both of these pathways in detail.</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2160"/>
        <w:gridCol w:w="2520"/>
        <w:gridCol w:w="4140"/>
      </w:tblGrid>
      <w:tr>
        <w:trPr>
          <w:tblHeader/>
        </w:trPr>
        <w:tc>
          <w:tcPr>
            <w:tcW w:type="dxa" w:w="54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Fn.</w:t>
            </w:r>
          </w:p>
        </w:tc>
        <w:tc>
          <w:tcPr>
            <w:tcW w:type="dxa" w:w="216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CM Function</w:t>
            </w:r>
          </w:p>
        </w:tc>
        <w:tc>
          <w:tcPr>
            <w:tcW w:type="dxa" w:w="252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Minimum Degree</w:t>
            </w:r>
          </w:p>
        </w:tc>
        <w:tc>
          <w:tcPr>
            <w:tcW w:type="dxa" w:w="414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Key 649-1 Drivers</w:t>
            </w:r>
          </w:p>
        </w:tc>
      </w:tr>
      <w:tr>
        <w:tc>
          <w:tcPr>
            <w:tcW w:type="dxa" w:w="5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3.1</w:t>
            </w:r>
          </w:p>
        </w:tc>
        <w:tc>
          <w:tcPr>
            <w:tcW w:type="dxa" w:w="2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404040"/>
                <w:sz w:val="18"/>
                <w:szCs w:val="18"/>
              </w:rPr>
              <w:t xml:space="preserve">Configuration Planning &amp; Management</w:t>
            </w:r>
          </w:p>
        </w:tc>
        <w:tc>
          <w:tcPr>
            <w:tcW w:type="dxa" w:w="25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B.S. Engineering Technology (Lead)
A.A.S. acceptable for support roles</w:t>
            </w:r>
          </w:p>
        </w:tc>
        <w:tc>
          <w:tcPr>
            <w:tcW w:type="dxa" w:w="41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§3.1.3 Technical Reviews; §3.1(1)b Life cycle planning judgment; §3.1.4 Data management</w:t>
            </w:r>
          </w:p>
        </w:tc>
      </w:tr>
      <w:tr>
        <w:tc>
          <w:tcPr>
            <w:tcW w:type="dxa" w:w="54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3.2</w:t>
            </w:r>
          </w:p>
        </w:tc>
        <w:tc>
          <w:tcPr>
            <w:tcW w:type="dxa" w:w="216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bCs/>
                <w:color w:val="404040"/>
                <w:sz w:val="18"/>
                <w:szCs w:val="18"/>
              </w:rPr>
              <w:t xml:space="preserve">Configuration Identification</w:t>
            </w:r>
          </w:p>
        </w:tc>
        <w:tc>
          <w:tcPr>
            <w:tcW w:type="dxa" w:w="25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B.S. Engineering or Engineering Technology REQUIRED</w:t>
            </w:r>
          </w:p>
        </w:tc>
        <w:tc>
          <w:tcPr>
            <w:tcW w:type="dxa" w:w="414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§3.2.1(2)a-c Safety/criticality assessment; §3.2.2.2 Baseline documentation; §3.2.5 Interface management</w:t>
            </w:r>
          </w:p>
        </w:tc>
      </w:tr>
      <w:tr>
        <w:tc>
          <w:tcPr>
            <w:tcW w:type="dxa" w:w="5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3.3</w:t>
            </w:r>
          </w:p>
        </w:tc>
        <w:tc>
          <w:tcPr>
            <w:tcW w:type="dxa" w:w="2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404040"/>
                <w:sz w:val="18"/>
                <w:szCs w:val="18"/>
              </w:rPr>
              <w:t xml:space="preserve">Configuration Change Management</w:t>
            </w:r>
          </w:p>
        </w:tc>
        <w:tc>
          <w:tcPr>
            <w:tcW w:type="dxa" w:w="25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B.S. Engineering or Engineering Technology REQUIRED for ECP leads; A.A.S. for support processing</w:t>
            </w:r>
          </w:p>
        </w:tc>
        <w:tc>
          <w:tcPr>
            <w:tcW w:type="dxa" w:w="41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§3.3.1.1(1)b Review product models; §3.3.1.2 Class I/II classification; §3.3.1.4 Interchangeability/test data</w:t>
            </w:r>
          </w:p>
        </w:tc>
      </w:tr>
      <w:tr>
        <w:tc>
          <w:tcPr>
            <w:tcW w:type="dxa" w:w="54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3.4</w:t>
            </w:r>
          </w:p>
        </w:tc>
        <w:tc>
          <w:tcPr>
            <w:tcW w:type="dxa" w:w="216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bCs/>
                <w:color w:val="404040"/>
                <w:sz w:val="18"/>
                <w:szCs w:val="18"/>
              </w:rPr>
              <w:t xml:space="preserve">Configuration Status Accounting</w:t>
            </w:r>
          </w:p>
        </w:tc>
        <w:tc>
          <w:tcPr>
            <w:tcW w:type="dxa" w:w="25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B.S. Engineering Technology STRONGLY RECOMMENDED (no CSA tool); A.A.S. minimum with tool present</w:t>
            </w:r>
          </w:p>
        </w:tc>
        <w:tc>
          <w:tcPr>
            <w:tcW w:type="dxa" w:w="414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§3.4.1(3)a-d,j Manual CI/BOM traceability; §3.4.1(1) Design-to-build reconciliation without automation</w:t>
            </w:r>
          </w:p>
        </w:tc>
      </w:tr>
      <w:tr>
        <w:tc>
          <w:tcPr>
            <w:tcW w:type="dxa" w:w="5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3.5</w:t>
            </w:r>
          </w:p>
        </w:tc>
        <w:tc>
          <w:tcPr>
            <w:tcW w:type="dxa" w:w="2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404040"/>
                <w:sz w:val="18"/>
                <w:szCs w:val="18"/>
              </w:rPr>
              <w:t xml:space="preserve">Configuration Verification &amp; Audit</w:t>
            </w:r>
          </w:p>
        </w:tc>
        <w:tc>
          <w:tcPr>
            <w:tcW w:type="dxa" w:w="25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B.S. Engineering or Engineering Technology REQUIRED</w:t>
            </w:r>
          </w:p>
        </w:tc>
        <w:tc>
          <w:tcPr>
            <w:tcW w:type="dxa" w:w="41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§3.5.2(1) Performance req. verification; §3.5.2.1(1)c RTM/test data; §3.5.3 PCA drawing/CAD review</w:t>
            </w:r>
          </w:p>
        </w:tc>
      </w:tr>
    </w:tbl>
    <w:p>
      <w:pPr>
        <w:spacing w:after="0" w:before="120"/>
      </w:pPr>
    </w:p>
    <w:p>
      <w:pPr>
        <w:spacing w:after="100" w:before="80"/>
        <w:jc w:val="left"/>
      </w:pPr>
      <w:r>
        <w:rPr>
          <w:rFonts w:ascii="Arial" w:cs="Arial" w:eastAsia="Arial" w:hAnsi="Arial"/>
          <w:i w:val="false"/>
          <w:iCs w:val="false"/>
          <w:color w:val="404040"/>
          <w:sz w:val="22"/>
          <w:szCs w:val="22"/>
        </w:rPr>
        <w:t xml:space="preserve">The sections that follow provide function-by-function detail, including specific paragraph-level traceability to EIA-649-1, for use in HR position descriptions, staffing conversations, and executive workforce decisions.</w:t>
      </w:r>
    </w:p>
    <w:p>
      <w:r>
        <w:br w:type="page"/>
      </w:r>
    </w:p>
    <w:p>
      <w:pPr>
        <w:pStyle w:val="Heading1"/>
        <w:shd w:fill="1F3864" w:val="clear"/>
        <w:spacing w:after="120" w:before="240"/>
        <w:ind w:left="120"/>
      </w:pPr>
      <w:r>
        <w:rPr>
          <w:rFonts w:ascii="Arial" w:cs="Arial" w:eastAsia="Arial" w:hAnsi="Arial"/>
          <w:b/>
          <w:bCs/>
          <w:color w:val="FFFFFF"/>
          <w:sz w:val="36"/>
          <w:szCs w:val="36"/>
        </w:rPr>
        <w:t xml:space="preserve">WORKFORCE QUALIFICATION FRAMEWORK</w:t>
      </w:r>
    </w:p>
    <w:p>
      <w:pPr>
        <w:spacing w:after="0" w:before="80"/>
      </w:pPr>
    </w:p>
    <w:p>
      <w:pPr>
        <w:spacing w:after="100" w:before="80"/>
        <w:jc w:val="left"/>
      </w:pPr>
      <w:r>
        <w:rPr>
          <w:rFonts w:ascii="Arial" w:cs="Arial" w:eastAsia="Arial" w:hAnsi="Arial"/>
          <w:i w:val="false"/>
          <w:iCs w:val="false"/>
          <w:color w:val="404040"/>
          <w:sz w:val="22"/>
          <w:szCs w:val="22"/>
        </w:rPr>
        <w:t xml:space="preserve">A credential-only hiring model is wrong in both directions. It would disqualify a 20-year A.A.S.-holding CM veteran with deep institutional knowledge while automatically credentialing a B.S. engineering graduate who has never read a specification. This document uses credentials as a proxy for competency — but competency is the actual requirement. This section establishes the full qualification framework, including three pathways to CM roles: the traditional engineering degree path, the A.A.S. support tier, and the equivalent qualification pathway for non-traditional advanced degrees with demonstrated domain relevance.</w:t>
      </w:r>
    </w:p>
    <w:p>
      <w:pPr>
        <w:spacing w:after="0" w:before="80"/>
      </w:pPr>
    </w:p>
    <w:p>
      <w:pPr>
        <w:pStyle w:val="Heading2"/>
        <w:shd w:fill="2E5F8A" w:val="clear"/>
        <w:spacing w:after="80" w:before="200"/>
        <w:ind w:left="120"/>
      </w:pPr>
      <w:r>
        <w:rPr>
          <w:rFonts w:ascii="Arial" w:cs="Arial" w:eastAsia="Arial" w:hAnsi="Arial"/>
          <w:b/>
          <w:bCs/>
          <w:color w:val="FFFFFF"/>
          <w:sz w:val="28"/>
          <w:szCs w:val="28"/>
        </w:rPr>
        <w:t xml:space="preserve">The Four-Tier CM Workforce Model</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80"/>
        <w:gridCol w:w="3080"/>
      </w:tblGrid>
      <w:tr>
        <w:trPr>
          <w:tblHeader/>
        </w:trPr>
        <w:tc>
          <w:tcPr>
            <w:tcW w:type="dxa" w:w="180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Tier</w:t>
            </w:r>
          </w:p>
        </w:tc>
        <w:tc>
          <w:tcPr>
            <w:tcW w:type="dxa" w:w="200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Title</w:t>
            </w:r>
          </w:p>
        </w:tc>
        <w:tc>
          <w:tcPr>
            <w:tcW w:type="dxa" w:w="248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Credential Requirement</w:t>
            </w:r>
          </w:p>
        </w:tc>
        <w:tc>
          <w:tcPr>
            <w:tcW w:type="dxa" w:w="308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Primary Scope</w:t>
            </w:r>
          </w:p>
        </w:tc>
      </w:tr>
      <w:tr>
        <w:tc>
          <w:tcPr>
            <w:tcW w:type="dxa" w:w="180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Tier 1
CM Technician</w:t>
            </w:r>
          </w:p>
        </w:tc>
        <w:tc>
          <w:tcPr>
            <w:tcW w:type="dxa" w:w="200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CM Technician /
CM Coordinator</w:t>
            </w:r>
          </w:p>
        </w:tc>
        <w:tc>
          <w:tcPr>
            <w:tcW w:type="dxa" w:w="248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A.A.S. in any technical, business, or related field</w:t>
            </w:r>
          </w:p>
        </w:tc>
        <w:tc>
          <w:tcPr>
            <w:tcW w:type="dxa" w:w="308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Administrative CM support, change processing support, CSA data entry, audit logistics, scheduling, records management</w:t>
            </w:r>
          </w:p>
        </w:tc>
      </w:tr>
      <w:t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Tier 2
CM Specialist</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CM Specialist /
CM Analyst</w:t>
            </w:r>
          </w:p>
        </w:tc>
        <w:tc>
          <w:tcPr>
            <w:tcW w:type="dxa" w:w="2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B.S. Engineering Technology or equivalent (see Equivalent Qualification Pathways)</w:t>
            </w:r>
          </w:p>
        </w:tc>
        <w:tc>
          <w:tcPr>
            <w:tcW w:type="dxa" w:w="30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CI documentation, change classification support, CSA system management, baseline maintenance, interface documentation</w:t>
            </w:r>
          </w:p>
        </w:tc>
      </w:tr>
      <w:tr>
        <w:tc>
          <w:tcPr>
            <w:tcW w:type="dxa" w:w="180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Tier 3
CM Engineer</w:t>
            </w:r>
          </w:p>
        </w:tc>
        <w:tc>
          <w:tcPr>
            <w:tcW w:type="dxa" w:w="200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CM Engineer /
CM Lead</w:t>
            </w:r>
          </w:p>
        </w:tc>
        <w:tc>
          <w:tcPr>
            <w:tcW w:type="dxa" w:w="248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B.S. Engineering or advanced equivalent (see Equivalent Qualification Pathways)</w:t>
            </w:r>
          </w:p>
        </w:tc>
        <w:tc>
          <w:tcPr>
            <w:tcW w:type="dxa" w:w="308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CI selection, ECP classification, FCA/PCA lead, baseline establishment, interface management, CCB authority</w:t>
            </w:r>
          </w:p>
        </w:tc>
      </w:tr>
      <w:t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Tier 4
Senior CM / SME</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Senior CM Engineer /
CM Subject Matter Expert</w:t>
            </w:r>
          </w:p>
        </w:tc>
        <w:tc>
          <w:tcPr>
            <w:tcW w:type="dxa" w:w="2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Advanced degree (M.S., Ph.D.) or B.S. + extensive demonstrated competency; may include non-traditional advanced degrees</w:t>
            </w:r>
          </w:p>
        </w:tc>
        <w:tc>
          <w:tcPr>
            <w:tcW w:type="dxa" w:w="30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Program-level CM strategy, Acquirer relationships, enterprise CM standards, CM Plan ownership, audit leadership, workforce development</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The A.A.S. Workforce: Role Profile, Strengths, and Career Development</w:t>
      </w:r>
    </w:p>
    <w:p>
      <w:pPr>
        <w:spacing w:after="0" w:before="60"/>
      </w:pPr>
    </w:p>
    <w:p>
      <w:pPr>
        <w:spacing w:after="100" w:before="80"/>
        <w:jc w:val="left"/>
      </w:pPr>
      <w:r>
        <w:rPr>
          <w:rFonts w:ascii="Arial" w:cs="Arial" w:eastAsia="Arial" w:hAnsi="Arial"/>
          <w:i w:val="false"/>
          <w:iCs w:val="false"/>
          <w:color w:val="404040"/>
          <w:sz w:val="22"/>
          <w:szCs w:val="22"/>
        </w:rPr>
        <w:t xml:space="preserve">The associate's-degree CM workforce is not a deficiency to be corrected — it is an asset to be properly deployed. A.A.S.-trained CM Technicians and Coordinators provide the procedural discipline, administrative accuracy, and institutional continuity that CM programs depend on daily. The objective of this analysis is not to replace the A.A.S. workforce but to position it correctly: in roles where its strengths are maximized and where the technical judgment requirements of EIA-649-1 are covered by appropriately degreed personnel working alongside them.</w:t>
      </w:r>
    </w:p>
    <w:p>
      <w:pPr>
        <w:spacing w:after="0" w:before="60"/>
      </w:pPr>
    </w:p>
    <w:p>
      <w:pPr>
        <w:pStyle w:val="Heading3"/>
        <w:pBdr>
          <w:bottom w:val="single" w:color="2E5F8A" w:sz="6"/>
        </w:pBdr>
        <w:spacing w:after="80" w:before="160"/>
      </w:pPr>
      <w:r>
        <w:rPr>
          <w:rFonts w:ascii="Arial" w:cs="Arial" w:eastAsia="Arial" w:hAnsi="Arial"/>
          <w:b/>
          <w:bCs/>
          <w:color w:val="1F3864"/>
          <w:sz w:val="24"/>
          <w:szCs w:val="24"/>
        </w:rPr>
        <w:t xml:space="preserve">What A.A.S. CM Personnel Do Exceptionally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Strength Area</w:t>
            </w:r>
          </w:p>
        </w:tc>
        <w:tc>
          <w:tcPr>
            <w:tcW w:type="dxa" w:w="64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Application in CM</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Process Discipline &amp; Consistency</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Follow established CM procedures with precision and repeatability — critical for ECP routing, ERR processing, and CSA data entry where consistency prevents errors.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Administrative Change Processing</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Manage the mechanics of ECP/RFV/SCN/NOR routing: form population, distribution, tracking open/closed status, maintaining the change log per §3.3. Under direction of a Tier 3 engineer.</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CSA Data Entry &amp; Maintenance</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Accurately capture, store, and maintain product configuration information in the CSA system per §3.4.1(3); generate status reports, metrics, and Acquirer data submittals.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Audit Logistics &amp; Coordination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Schedule audits; prepare conference agendas and minutes (DI-ADMN-81249/81250); manage discrepancy action item logs; track closure status per §3.5.1(1)l,m.</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Records Management &amp; Archival</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Maintain engineering release records, approved ECPs, baseline description documents, and CSA data in organized, retrievable, secured repositories per §3.4.1(4)c,d.</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Institutional Memory</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Long-tenured A.A.S. personnel often carry deep program-specific knowledge — which serial numbers carry which variances, which CIs have chronic RFV histories — that is irreplaceable regardless of degree level.</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Sub-Supplier Data Collection</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Coordinate vendor part number submittals, certificates of conformance, and serial number records from sub-tier suppliers for CSA traceability per §3.4.1(3)j.</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CMP Administration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Distribute the CM Plan; track contract data deliverables (CDRLs); manage distribution lists; coordinate DID submissions per §3.1 under lead direction.</w:t>
            </w:r>
          </w:p>
        </w:tc>
      </w:tr>
    </w:tbl>
    <w:p>
      <w:pPr>
        <w:spacing w:after="0" w:before="100"/>
      </w:pPr>
    </w:p>
    <w:p>
      <w:pPr>
        <w:pStyle w:val="Heading3"/>
        <w:pBdr>
          <w:bottom w:val="single" w:color="2E5F8A" w:sz="6"/>
        </w:pBdr>
        <w:spacing w:after="80" w:before="160"/>
      </w:pPr>
      <w:r>
        <w:rPr>
          <w:rFonts w:ascii="Arial" w:cs="Arial" w:eastAsia="Arial" w:hAnsi="Arial"/>
          <w:b/>
          <w:bCs/>
          <w:color w:val="1F3864"/>
          <w:sz w:val="24"/>
          <w:szCs w:val="24"/>
        </w:rPr>
        <w:t xml:space="preserve">A.A.S. Career Development Pathway</w:t>
      </w:r>
    </w:p>
    <w:p>
      <w:pPr>
        <w:spacing w:after="80" w:before="60"/>
        <w:jc w:val="left"/>
      </w:pPr>
      <w:r>
        <w:rPr>
          <w:rFonts w:ascii="Arial" w:cs="Arial" w:eastAsia="Arial" w:hAnsi="Arial"/>
          <w:i w:val="false"/>
          <w:iCs w:val="false"/>
          <w:color w:val="404040"/>
          <w:sz w:val="22"/>
          <w:szCs w:val="22"/>
        </w:rPr>
        <w:t xml:space="preserve">The company should invest in the advancement of its A.A.S. workforce rather than simply staffing around them. The following development pathway moves A.A.S. personnel toward higher-tier roles over time:</w:t>
      </w:r>
    </w:p>
    <w:p>
      <w:pPr>
        <w:pStyle w:val="ListParagraph"/>
        <w:numPr>
          <w:ilvl w:val="0"/>
          <w:numId w:val="2"/>
        </w:numPr>
        <w:spacing w:after="40" w:before="40"/>
      </w:pPr>
      <w:r>
        <w:rPr>
          <w:rFonts w:ascii="Arial" w:cs="Arial" w:eastAsia="Arial" w:hAnsi="Arial"/>
          <w:color w:val="404040"/>
          <w:sz w:val="22"/>
          <w:szCs w:val="22"/>
        </w:rPr>
        <w:t xml:space="preserve">CMII Certification (Institute of Configuration Management): Industry-standard CM process certification achievable without an engineering degree. Validates procedural competency and increases effectiveness in Tier 1-2 roles.</w:t>
      </w:r>
    </w:p>
    <w:p>
      <w:pPr>
        <w:pStyle w:val="ListParagraph"/>
        <w:numPr>
          <w:ilvl w:val="0"/>
          <w:numId w:val="2"/>
        </w:numPr>
        <w:spacing w:after="40" w:before="40"/>
      </w:pPr>
      <w:r>
        <w:rPr>
          <w:rFonts w:ascii="Arial" w:cs="Arial" w:eastAsia="Arial" w:hAnsi="Arial"/>
          <w:color w:val="404040"/>
          <w:sz w:val="22"/>
          <w:szCs w:val="22"/>
        </w:rPr>
        <w:t xml:space="preserve">DAU CM Courses (Defense Acquisition University): CLM 059 (CM Overview), CLM 202 (CM Fundamentals), and CLM 206 (Advanced CM) are available online and build toward Tier 2 competency.</w:t>
      </w:r>
    </w:p>
    <w:p>
      <w:pPr>
        <w:pStyle w:val="ListParagraph"/>
        <w:numPr>
          <w:ilvl w:val="0"/>
          <w:numId w:val="2"/>
        </w:numPr>
        <w:spacing w:after="40" w:before="40"/>
      </w:pPr>
      <w:r>
        <w:rPr>
          <w:rFonts w:ascii="Arial" w:cs="Arial" w:eastAsia="Arial" w:hAnsi="Arial"/>
          <w:color w:val="404040"/>
          <w:sz w:val="22"/>
          <w:szCs w:val="22"/>
        </w:rPr>
        <w:t xml:space="preserve">Tuition Assistance for B.S. Programs: Company-funded education assistance for A.A.S. personnel pursuing B.S. in Engineering Technology or related fields creates a direct path to Tier 2 and Tier 3 roles.</w:t>
      </w:r>
    </w:p>
    <w:p>
      <w:pPr>
        <w:pStyle w:val="ListParagraph"/>
        <w:numPr>
          <w:ilvl w:val="0"/>
          <w:numId w:val="2"/>
        </w:numPr>
        <w:spacing w:after="40" w:before="40"/>
      </w:pPr>
      <w:r>
        <w:rPr>
          <w:rFonts w:ascii="Arial" w:cs="Arial" w:eastAsia="Arial" w:hAnsi="Arial"/>
          <w:color w:val="404040"/>
          <w:sz w:val="22"/>
          <w:szCs w:val="22"/>
        </w:rPr>
        <w:t xml:space="preserve">Mentored On-the-Job Development: Pair A.A.S. personnel with Tier 3 engineers on CI selection, ECP classification, and audit activities. Structured mentorship builds technical judgment over time.</w:t>
      </w:r>
    </w:p>
    <w:p>
      <w:pPr>
        <w:pStyle w:val="ListParagraph"/>
        <w:numPr>
          <w:ilvl w:val="0"/>
          <w:numId w:val="2"/>
        </w:numPr>
        <w:spacing w:after="40" w:before="40"/>
      </w:pPr>
      <w:r>
        <w:rPr>
          <w:rFonts w:ascii="Arial" w:cs="Arial" w:eastAsia="Arial" w:hAnsi="Arial"/>
          <w:color w:val="404040"/>
          <w:sz w:val="22"/>
          <w:szCs w:val="22"/>
        </w:rPr>
        <w:t xml:space="preserve">Documented Competency Assessment: Establish a formal competency matrix that allows A.A.S. personnel with demonstrated performance to qualify for specific Tier 2 tasks without requiring formal degree completion.</w:t>
      </w:r>
    </w:p>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Equivalent Qualification Pathways for Non-Traditional Advanced Degrees</w:t>
      </w:r>
    </w:p>
    <w:p>
      <w:pPr>
        <w:spacing w:after="0" w:before="60"/>
      </w:pPr>
    </w:p>
    <w:p>
      <w:pPr>
        <w:spacing w:after="100" w:before="80"/>
        <w:jc w:val="left"/>
      </w:pPr>
      <w:r>
        <w:rPr>
          <w:rFonts w:ascii="Arial" w:cs="Arial" w:eastAsia="Arial" w:hAnsi="Arial"/>
          <w:i w:val="false"/>
          <w:iCs w:val="false"/>
          <w:color w:val="404040"/>
          <w:sz w:val="22"/>
          <w:szCs w:val="22"/>
        </w:rPr>
        <w:t xml:space="preserve">The engineering degree requirement identified in this analysis reflects the type of knowledge needed — not the only way to acquire it. Several non-engineering advanced degrees, when the subject matter is sufficiently proximate to defense systems engineering, manufacturing, logistics, or safety, develop competencies that are equivalent to or exceed a B.S. in Engineering for specific CM functions. This section establishes the framework for evaluating such credentials.</w:t>
      </w:r>
    </w:p>
    <w:p>
      <w:pPr>
        <w:spacing w:after="0" w:before="60"/>
      </w:pPr>
    </w:p>
    <w:p>
      <w:pPr>
        <w:pStyle w:val="Heading3"/>
        <w:pBdr>
          <w:bottom w:val="single" w:color="2E5F8A" w:sz="6"/>
        </w:pBdr>
        <w:spacing w:after="80" w:before="160"/>
      </w:pPr>
      <w:r>
        <w:rPr>
          <w:rFonts w:ascii="Arial" w:cs="Arial" w:eastAsia="Arial" w:hAnsi="Arial"/>
          <w:b/>
          <w:bCs/>
          <w:color w:val="1F3864"/>
          <w:sz w:val="24"/>
          <w:szCs w:val="24"/>
        </w:rPr>
        <w:t xml:space="preserve">The Two-Gate Equivalency Test</w:t>
      </w:r>
    </w:p>
    <w:p>
      <w:pPr>
        <w:spacing w:after="80" w:before="60"/>
        <w:jc w:val="left"/>
      </w:pPr>
      <w:r>
        <w:rPr>
          <w:rFonts w:ascii="Arial" w:cs="Arial" w:eastAsia="Arial" w:hAnsi="Arial"/>
          <w:i w:val="false"/>
          <w:iCs w:val="false"/>
          <w:color w:val="404040"/>
          <w:sz w:val="22"/>
          <w:szCs w:val="22"/>
        </w:rPr>
        <w:t xml:space="preserve">A non-engineering advanced degree qualifies as equivalent only if it passes both of the following gates. Passing one gate but not the other is insufficient.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240"/>
        <w:gridCol w:w="4680"/>
      </w:tblGrid>
      <w:tr>
        <w:trPr>
          <w:tblHeader/>
        </w:trPr>
        <w:tc>
          <w:tcPr>
            <w:tcW w:type="dxa" w:w="144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Gate</w:t>
            </w:r>
          </w:p>
        </w:tc>
        <w:tc>
          <w:tcPr>
            <w:tcW w:type="dxa" w:w="324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Criterion</w:t>
            </w:r>
          </w:p>
        </w:tc>
        <w:tc>
          <w:tcPr>
            <w:tcW w:type="dxa" w:w="468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What to Evaluate</w:t>
            </w:r>
          </w:p>
        </w:tc>
      </w:tr>
      <w:tr>
        <w:tc>
          <w:tcPr>
            <w:tcW w:type="dxa" w:w="14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Gate 1
Domain Proximity</w:t>
            </w:r>
          </w:p>
        </w:tc>
        <w:tc>
          <w:tcPr>
            <w:tcW w:type="dxa" w:w="324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Does the doctoral subject matter directly and substantively intersect with the technical content of defense systems, manufacturing processes, safety frameworks, regulatory/compliance regimes, or documentation structures relevant to CM?</w:t>
            </w:r>
          </w:p>
        </w:tc>
        <w:tc>
          <w:tcPr>
            <w:tcW w:type="dxa" w:w="468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Review dissertation title, abstract, and chapters. The connection must be direct — not incidental. A dissertation on nuclear weapons manufacturing qualifies. A dissertation on the political history of arms control treaties does not.</w:t>
            </w:r>
          </w:p>
        </w:tc>
      </w:tr>
      <w:tr>
        <w:tc>
          <w:tcPr>
            <w:tcW w:type="dxa" w:w="14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Gate 2
Competency Demonstration</w:t>
            </w:r>
          </w:p>
        </w:tc>
        <w:tc>
          <w:tcPr>
            <w:tcW w:type="dxa" w:w="32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Can the individual demonstrate, through assessment, portfolio review, or documented performance history, the specific technical competencies required by the CM functions they will lead?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Use a structured competency interview or written assessment referencing specific EIA-649-1 requirements. Demonstrated CM performance (years on program, audit roles held, ECP/baseline history) also counts as evidence.</w:t>
            </w:r>
          </w:p>
        </w:tc>
      </w:tr>
    </w:tbl>
    <w:p>
      <w:pPr>
        <w:spacing w:after="0" w:before="100"/>
      </w:pPr>
    </w:p>
    <w:p>
      <w:pPr>
        <w:pStyle w:val="Heading3"/>
        <w:pBdr>
          <w:bottom w:val="single" w:color="2E5F8A" w:sz="6"/>
        </w:pBdr>
        <w:spacing w:after="80" w:before="160"/>
      </w:pPr>
      <w:r>
        <w:rPr>
          <w:rFonts w:ascii="Arial" w:cs="Arial" w:eastAsia="Arial" w:hAnsi="Arial"/>
          <w:b/>
          <w:bCs/>
          <w:color w:val="1F3864"/>
          <w:sz w:val="24"/>
          <w:szCs w:val="24"/>
        </w:rPr>
        <w:t xml:space="preserve">Ph.D. Equivalency Classification Table</w:t>
      </w:r>
    </w:p>
    <w:p>
      <w:pPr>
        <w:spacing w:after="80" w:before="60"/>
        <w:jc w:val="left"/>
      </w:pPr>
      <w:r>
        <w:rPr>
          <w:rFonts w:ascii="Arial" w:cs="Arial" w:eastAsia="Arial" w:hAnsi="Arial"/>
          <w:i w:val="false"/>
          <w:iCs w:val="false"/>
          <w:color w:val="404040"/>
          <w:sz w:val="22"/>
          <w:szCs w:val="22"/>
        </w:rPr>
        <w:t xml:space="preserve">The following table classifies non-engineering doctoral credentials by their equivalency level for CM purposes. Classifications are based on domain proximity to defense systems, manufacturing, safety, and documentation regimes.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440"/>
        <w:gridCol w:w="5400"/>
      </w:tblGrid>
      <w:tr>
        <w:trPr>
          <w:tblHeader/>
        </w:trPr>
        <w:tc>
          <w:tcPr>
            <w:tcW w:type="dxa" w:w="252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Ph.D. Field / Dissertation Focus</w:t>
            </w:r>
          </w:p>
        </w:tc>
        <w:tc>
          <w:tcPr>
            <w:tcW w:type="dxa" w:w="144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Equivalency Level</w:t>
            </w:r>
          </w:p>
        </w:tc>
        <w:tc>
          <w:tcPr>
            <w:tcW w:type="dxa" w:w="540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Rationale and CM Function Applicability</w:t>
            </w:r>
          </w:p>
        </w:tc>
      </w:tr>
      <w:tr>
        <w:tc>
          <w:tcPr>
            <w:tcW w:type="dxa" w:w="25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History of Science, Technology, or Manufacturing (dissertation focused on defense/industrial/nuclear systems)</w:t>
            </w:r>
          </w:p>
        </w:tc>
        <w:tc>
          <w:tcPr>
            <w:tcW w:type="dxa" w:w="144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bCs/>
                <w:color w:val="C00000"/>
                <w:sz w:val="18"/>
                <w:szCs w:val="18"/>
              </w:rPr>
              <w:t xml:space="preserve">Tier 3–4 Equivalent
(B.S.E. or above)</w:t>
            </w:r>
          </w:p>
        </w:tc>
        <w:tc>
          <w:tcPr>
            <w:tcW w:type="dxa" w:w="540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See dedicated analysis below. Highest domain proximity of any non-engineering doctoral field for defense CM. Directly applicable to all five CM functions, particularly CI selection, change management, and audits.</w:t>
            </w:r>
          </w:p>
        </w:tc>
      </w:tr>
      <w:tr>
        <w:tc>
          <w:tcPr>
            <w:tcW w:type="dxa" w:w="25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Logistics / Supply Chain Management</w:t>
            </w:r>
          </w:p>
        </w:tc>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Tier 2–3 Equivalent
(B.S.E.T.–B.S.E.)</w:t>
            </w:r>
          </w:p>
        </w:tc>
        <w:tc>
          <w:tcPr>
            <w:tcW w:type="dxa" w:w="5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Directly applicable to CSA (§3.4), sub-supplier management, BOM traceability, and procurement planning reconciliation. Strong qualification for CSA lead role. Domain proximity to CI selection and sustainment aspects of §3.2.</w:t>
            </w:r>
          </w:p>
        </w:tc>
      </w:tr>
      <w:tr>
        <w:tc>
          <w:tcPr>
            <w:tcW w:type="dxa" w:w="25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Geographic Information Systems (GIS) / Geospatial Sciences</w:t>
            </w:r>
          </w:p>
        </w:tc>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Tier 2 Equivalent
(B.S.E.T.)</w:t>
            </w:r>
          </w:p>
        </w:tc>
        <w:tc>
          <w:tcPr>
            <w:tcW w:type="dxa" w:w="54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Applicable to programs involving geospatial or reconnaissance systems; strong data management and systems architecture skills. Less broadly applicable across defense CM functions than manufacturing/logistics fields but valid for program-specific roles.</w:t>
            </w:r>
          </w:p>
        </w:tc>
      </w:tr>
      <w:tr>
        <w:tc>
          <w:tcPr>
            <w:tcW w:type="dxa" w:w="25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History of Science (general, not manufacturing-focused)</w:t>
            </w:r>
          </w:p>
        </w:tc>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Tier 2 Equivalent
(B.S.E.T.) with assessment</w:t>
            </w:r>
          </w:p>
        </w:tc>
        <w:tc>
          <w:tcPr>
            <w:tcW w:type="dxa" w:w="5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Develops research methodology, documentation analysis, and regulatory/policy literacy applicable to CM planning and CSA. Requires Gate 2 competency assessment to confirm adequate technical literacy in engineering documentation.</w:t>
            </w:r>
          </w:p>
        </w:tc>
      </w:tr>
      <w:tr>
        <w:tc>
          <w:tcPr>
            <w:tcW w:type="dxa" w:w="25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Public Policy / Regulatory Affairs (defense or industrial focus)</w:t>
            </w:r>
          </w:p>
        </w:tc>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Tier 2 Equivalent
(B.S.E.T.)</w:t>
            </w:r>
          </w:p>
        </w:tc>
        <w:tc>
          <w:tcPr>
            <w:tcW w:type="dxa" w:w="54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Strong qualification for CM Planning (§3.1) and regulatory compliance aspects of CSA (§3.4). Limited applicability to CI selection, ECP classification, and audit functions without additional technical training.</w:t>
            </w:r>
          </w:p>
        </w:tc>
      </w:tr>
      <w:tr>
        <w:tc>
          <w:tcPr>
            <w:tcW w:type="dxa" w:w="25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Environmental Science / Environmental Policy (industrial or defense focus)</w:t>
            </w:r>
          </w:p>
        </w:tc>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Tier 2 Equivalent
(B.S.E.T.)</w:t>
            </w:r>
          </w:p>
        </w:tc>
        <w:tc>
          <w:tcPr>
            <w:tcW w:type="dxa" w:w="5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Applicable where CM intersects with environmental compliance, hazardous materials handling, and process specification management. Relevant to CI selection for items with environmental consequence per §3.2.1. Gate 2 assessment required.</w:t>
            </w:r>
          </w:p>
        </w:tc>
      </w:tr>
      <w:tr>
        <w:tc>
          <w:tcPr>
            <w:tcW w:type="dxa" w:w="25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1F3864"/>
                <w:sz w:val="18"/>
                <w:szCs w:val="18"/>
              </w:rPr>
              <w:t xml:space="preserve">Business, Law, Literature, Social Sciences, or other fields without direct technical domain connection</w:t>
            </w:r>
          </w:p>
        </w:tc>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C00000"/>
                <w:sz w:val="18"/>
                <w:szCs w:val="18"/>
              </w:rPr>
              <w:t xml:space="preserve">Not Equivalent
(Tier 1 only without additional technical credential)</w:t>
            </w:r>
          </w:p>
        </w:tc>
        <w:tc>
          <w:tcPr>
            <w:tcW w:type="dxa" w:w="54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A doctoral credential in a non-proximate field does not qualify for technical CM roles under this framework. The degree level alone is not the relevant factor — domain proximity is. These individuals are eligible for Tier 1 roles and may pursue Tier 2 via the competency assessment pathway.</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Special Analysis: Ph.D. in History with Dissertation on Nuclear Weapons Manufacturing</w:t>
      </w:r>
    </w:p>
    <w:p>
      <w:pPr>
        <w:spacing w:after="0" w:before="60"/>
      </w:pPr>
    </w:p>
    <w:tbl>
      <w:tblPr>
        <w:tblW w:type="dxa" w:w="9360"/>
        <w:tblBorders>
          <w:top w:val="single" w:color="2E5F8A" w:sz="8"/>
          <w:left w:val="single" w:color="2E5F8A" w:sz="8"/>
          <w:bottom w:val="single" w:color="2E5F8A" w:sz="8"/>
          <w:right w:val="single" w:color="2E5F8A" w:sz="8"/>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BDD7EE" w:val="clear"/>
            <w:tcMar>
              <w:top w:type="dxa" w:w="100"/>
              <w:left w:type="dxa" w:w="200"/>
              <w:bottom w:type="dxa" w:w="100"/>
              <w:right w:type="dxa" w:w="200"/>
            </w:tcMar>
          </w:tcPr>
          <w:p>
            <w:pPr>
              <w:spacing w:after="40" w:before="40"/>
            </w:pPr>
            <w:r>
              <w:rPr>
                <w:rFonts w:ascii="Arial" w:cs="Arial" w:eastAsia="Arial" w:hAnsi="Arial"/>
                <w:b/>
                <w:bCs/>
                <w:color w:val="1F3864"/>
                <w:sz w:val="22"/>
                <w:szCs w:val="22"/>
              </w:rPr>
              <w:t xml:space="preserve">Why This Credential Qualifies at Tier 3-4 (Senior CM Engineer / SME Level)</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A Ph.D. in History whose dissertation examines nuclear weapons manufacturing and its economic and</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environmental consequences is, in substance, a doctoral study of configuration management failure and success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at the highest-consequence scale in human industrial history. The qualification is not incidental — it is direct.</w:t>
            </w:r>
          </w:p>
        </w:tc>
      </w:tr>
    </w:tbl>
    <w:p>
      <w:pPr>
        <w:spacing w:after="0" w:before="100"/>
      </w:pPr>
    </w:p>
    <w:p>
      <w:pPr>
        <w:spacing w:after="100" w:before="80"/>
        <w:jc w:val="left"/>
      </w:pPr>
      <w:r>
        <w:rPr>
          <w:rFonts w:ascii="Arial" w:cs="Arial" w:eastAsia="Arial" w:hAnsi="Arial"/>
          <w:i w:val="false"/>
          <w:iCs w:val="false"/>
          <w:color w:val="404040"/>
          <w:sz w:val="22"/>
          <w:szCs w:val="22"/>
        </w:rPr>
        <w:t xml:space="preserve">The following analysis maps the specific competencies developed through this doctoral credential to the requirements of EIA-649-1. This is provided not as a general argument for humanities PhDs in CM roles, but as a specific, traceable case that the credential in question meets or exceeds the technical knowledge requirements of senior CM positions in a defense aerospace context.</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3120"/>
        <w:gridCol w:w="3720"/>
      </w:tblGrid>
      <w:tr>
        <w:trPr>
          <w:tblHeader/>
        </w:trPr>
        <w:tc>
          <w:tcPr>
            <w:tcW w:type="dxa" w:w="252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Doctoral Competency Developed</w:t>
            </w:r>
          </w:p>
        </w:tc>
        <w:tc>
          <w:tcPr>
            <w:tcW w:type="dxa" w:w="312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How It Was Developed</w:t>
            </w:r>
          </w:p>
        </w:tc>
        <w:tc>
          <w:tcPr>
            <w:tcW w:type="dxa" w:w="372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EIA-649-1 Relevance</w:t>
            </w:r>
          </w:p>
        </w:tc>
      </w:tr>
      <w:tr>
        <w:tc>
          <w:tcPr>
            <w:tcW w:type="dxa" w:w="25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Manufacturing Process Knowledge</w:t>
            </w:r>
          </w:p>
        </w:tc>
        <w:tc>
          <w:tcPr>
            <w:tcW w:type="dxa" w:w="31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Dissertation research on nuclear weapons production at facilities such as Y-12, Pantex, Rocky Flats, Hanford, and Savannah River requires intimate familiarity with the manufacturing methods, tolerances, materials, and production processes used to fabricate safety-critical defense components.</w:t>
            </w:r>
          </w:p>
        </w:tc>
        <w:tc>
          <w:tcPr>
            <w:tcW w:type="dxa" w:w="37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Directly applicable to CI selection criteria (§3.2.1), PBL documentation of form/fit/function (§3.2.2.2.2), and PCA examination of manufacturing instruction sheets (§3.5.3.2(2)a).</w:t>
            </w:r>
          </w:p>
        </w:tc>
      </w:tr>
      <w:tr>
        <w:tc>
          <w:tcPr>
            <w:tcW w:type="dxa" w:w="25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Safety-Critical Item Consequence Awareness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Studying the environmental and economic consequences of nuclear manufacturing is, at its core, studying what happens when safety-critical items are produced without adequate configuration control: unauthorized material substitutions, undocumented process changes, uncontrolled variances. This is CM failure, documented at scale.</w:t>
            </w:r>
          </w:p>
        </w:tc>
        <w:tc>
          <w:tcPr>
            <w:tcW w:type="dxa" w:w="3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Provides authoritative grounding for CI safety/criticality assessment (§3.2.1(2)b), variance consequence evaluation (§3.3.2), and the audit imperative underlying §3.5 CVA principles. This practitioner understands viscerally why CM matters.</w:t>
            </w:r>
          </w:p>
        </w:tc>
      </w:tr>
      <w:tr>
        <w:tc>
          <w:tcPr>
            <w:tcW w:type="dxa" w:w="25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Government Technical Documentation Literacy</w:t>
            </w:r>
          </w:p>
        </w:tc>
        <w:tc>
          <w:tcPr>
            <w:tcW w:type="dxa" w:w="31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Doctoral research on classified and unclassified nuclear production programs requires mastery of government technical records: DOE specifications, AEC/DOD production contracts, engineering change orders, material certifications, quality assurance records, and procurement documentation — the precise document types that CM manages.</w:t>
            </w:r>
          </w:p>
        </w:tc>
        <w:tc>
          <w:tcPr>
            <w:tcW w:type="dxa" w:w="37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Directly supports all five CM functions. This practitioner arrives with more government documentation literacy than most B.S. engineering graduates who have not yet worked in a defense context.</w:t>
            </w:r>
          </w:p>
        </w:tc>
      </w:tr>
      <w:tr>
        <w:tc>
          <w:tcPr>
            <w:tcW w:type="dxa" w:w="25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Regulatory and Compliance Framework Mastery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Environmental consequences research requires engagement with NEPA, CERCLA, DOE Orders, NRC regulations, OSHA requirements, and DoD environmental policy. This regulatory literacy extends directly into the compliance framework within which defense CM operates.</w:t>
            </w:r>
          </w:p>
        </w:tc>
        <w:tc>
          <w:tcPr>
            <w:tcW w:type="dxa" w:w="3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Applicable to CM Planning (§3.1) regulatory compliance planning, data releasability/disclosure requirements (§3.1.4), and the security/classification aspects of product configuration information management.</w:t>
            </w:r>
          </w:p>
        </w:tc>
      </w:tr>
      <w:tr>
        <w:tc>
          <w:tcPr>
            <w:tcW w:type="dxa" w:w="25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Doctoral Research Methodology</w:t>
            </w:r>
          </w:p>
        </w:tc>
        <w:tc>
          <w:tcPr>
            <w:tcW w:type="dxa" w:w="31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 Ph.D. requires source evaluation, synthesis of contradictory evidence, argumentation under uncertainty, and production of defensible conclusions — skills that are directly transferable to CM analysis tasks.</w:t>
            </w:r>
          </w:p>
        </w:tc>
        <w:tc>
          <w:tcPr>
            <w:tcW w:type="dxa" w:w="3720"/>
            <w:tcBorders>
              <w:top w:val="single" w:color="AAAAAA" w:sz="4"/>
              <w:left w:val="single" w:color="AAAAAA" w:sz="4"/>
              <w:bottom w:val="single" w:color="AAAAAA" w:sz="4"/>
              <w:right w:val="single" w:color="AAAAAA" w:sz="4"/>
            </w:tcBorders>
            <w:shd w:fill="D5E8F0"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Directly applicable to ECP impact assessment (§3.3.1.4), CSA trend analysis (§3.4.2), requirements traceability matrix construction (§3.5.2.1(1)c), and audit discrepancy resolution (§3.5.1(1)j).</w:t>
            </w:r>
          </w:p>
        </w:tc>
      </w:tr>
      <w:tr>
        <w:tc>
          <w:tcPr>
            <w:tcW w:type="dxa" w:w="25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1F3864"/>
                <w:sz w:val="19"/>
                <w:szCs w:val="19"/>
              </w:rPr>
              <w:t xml:space="preserve">Industrial / Systems History and Change Documentation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Understanding how complex weapons systems were designed, modified, re-engineered, and produced across decades — and how those changes were or were not documented — is applied configuration management history. The practitioner has studied CM baselines, change management, and as-built records as historical artifacts.</w:t>
            </w:r>
          </w:p>
        </w:tc>
        <w:tc>
          <w:tcPr>
            <w:tcW w:type="dxa" w:w="3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Provides unique depth in baseline management (§3.2.2), engineering change history (§3.3), and CSA traceability (§3.4). The practitioner understands the lifecycle of a weapons system configuration in ways that classroom engineering training rarely develops.</w:t>
            </w:r>
          </w:p>
        </w:tc>
      </w:tr>
    </w:tbl>
    <w:p>
      <w:pPr>
        <w:spacing w:after="0" w:before="100"/>
      </w:pPr>
    </w:p>
    <w:tbl>
      <w:tblPr>
        <w:tblW w:type="dxa" w:w="9360"/>
        <w:tblBorders>
          <w:top w:val="single" w:color="2E5F8A" w:sz="8"/>
          <w:left w:val="single" w:color="2E5F8A" w:sz="8"/>
          <w:bottom w:val="single" w:color="2E5F8A" w:sz="8"/>
          <w:right w:val="single" w:color="2E5F8A" w:sz="8"/>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BDD7EE" w:val="clear"/>
            <w:tcMar>
              <w:top w:type="dxa" w:w="100"/>
              <w:left w:type="dxa" w:w="200"/>
              <w:bottom w:type="dxa" w:w="100"/>
              <w:right w:type="dxa" w:w="200"/>
            </w:tcMar>
          </w:tcPr>
          <w:p>
            <w:pPr>
              <w:spacing w:after="40" w:before="40"/>
            </w:pPr>
            <w:r>
              <w:rPr>
                <w:rFonts w:ascii="Arial" w:cs="Arial" w:eastAsia="Arial" w:hAnsi="Arial"/>
                <w:b/>
                <w:bCs/>
                <w:color w:val="1F3864"/>
                <w:sz w:val="22"/>
                <w:szCs w:val="22"/>
              </w:rPr>
              <w:t xml:space="preserve">Formal Determination: Ph.D. in History / Nuclear Weapons Manufacturing</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GATE 1 — DOMAIN PROXIMITY: PASSES. The dissertation subject matter is directly, substantively, and profoundly</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proximate to the technical content of defense CM. Nuclear weapons manufacturing is among the most</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CM-intensive activities in defense history. The candidate has studied it at doctoral depth.</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GATE 2 — COMPETENCY DEMONSTRATION: Subject to assessment, but the documented competency profile</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above indicates high probability of passing. Demonstrated performance as the company's most valuable</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CM SME constitutes strong evidence that Gate 2 has been satisfied in practice.</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DETERMINATION: Qualified for Tier 3 CM Engineer / Tier 4 Senior CM Engineer-SME roles.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This credential, combined with demonstrated CM performance, is not a compromise — it is a strength.</w:t>
            </w:r>
          </w:p>
        </w:tc>
      </w:tr>
    </w:tbl>
    <w:p>
      <w:pPr>
        <w:spacing w:after="0" w:before="120"/>
      </w:pPr>
    </w:p>
    <w:p>
      <w:pPr>
        <w:pStyle w:val="Heading3"/>
        <w:pBdr>
          <w:bottom w:val="single" w:color="2E5F8A" w:sz="6"/>
        </w:pBdr>
        <w:spacing w:after="80" w:before="160"/>
      </w:pPr>
      <w:r>
        <w:rPr>
          <w:rFonts w:ascii="Arial" w:cs="Arial" w:eastAsia="Arial" w:hAnsi="Arial"/>
          <w:b/>
          <w:bCs/>
          <w:color w:val="1F3864"/>
          <w:sz w:val="24"/>
          <w:szCs w:val="24"/>
        </w:rPr>
        <w:t xml:space="preserve">A Note on the Value of Non-Engineering Analytical Frameworks in CM</w:t>
      </w:r>
    </w:p>
    <w:p>
      <w:pPr>
        <w:spacing w:after="100" w:before="80"/>
        <w:jc w:val="left"/>
      </w:pPr>
      <w:r>
        <w:rPr>
          <w:rFonts w:ascii="Arial" w:cs="Arial" w:eastAsia="Arial" w:hAnsi="Arial"/>
          <w:i w:val="false"/>
          <w:iCs w:val="false"/>
          <w:color w:val="404040"/>
          <w:sz w:val="22"/>
          <w:szCs w:val="22"/>
        </w:rPr>
        <w:t xml:space="preserve">Defense CM practice tends to be technically strong and analytically thin. Engineers understand what a product does; they are less trained in the systematic analysis of why documentation systems succeed or fail, how organizational and institutional factors shape CM compliance, or how the consequences of configuration decisions propagate through decades of a system's lifecycle. A historian of technology — particularly one who has studied the consequences of manufacturing and documentation practices at the scale of nuclear weapons production — brings an analytical perspective that is genuinely rare in the CM profession and genuinely valuable to a defense aerospace company. The absence of this perspective in most CM organizations is a gap, not a feature.</w:t>
      </w:r>
    </w:p>
    <w:p>
      <w:r>
        <w:br w:type="page"/>
      </w:r>
    </w:p>
    <w:p>
      <w:pPr>
        <w:pStyle w:val="Heading1"/>
        <w:shd w:fill="1F3864" w:val="clear"/>
        <w:spacing w:after="120" w:before="240"/>
        <w:ind w:left="120"/>
      </w:pPr>
      <w:r>
        <w:rPr>
          <w:rFonts w:ascii="Arial" w:cs="Arial" w:eastAsia="Arial" w:hAnsi="Arial"/>
          <w:b/>
          <w:bCs/>
          <w:color w:val="FFFFFF"/>
          <w:sz w:val="36"/>
          <w:szCs w:val="36"/>
        </w:rPr>
        <w:t xml:space="preserve">CM Function 1: Configuration Planning and Management</w:t>
      </w:r>
    </w:p>
    <w:p>
      <w:pPr>
        <w:spacing w:after="0" w:before="80"/>
      </w:pPr>
    </w:p>
    <w:tbl>
      <w:tblPr>
        <w:tblW w:type="dxa" w:w="9360"/>
        <w:tblBorders>
          <w:top w:val="single" w:color="2E5F8A" w:sz="8"/>
          <w:left w:val="single" w:color="2E5F8A" w:sz="8"/>
          <w:bottom w:val="single" w:color="2E5F8A" w:sz="8"/>
          <w:right w:val="single" w:color="2E5F8A" w:sz="8"/>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BDD7EE" w:val="clear"/>
            <w:tcMar>
              <w:top w:type="dxa" w:w="100"/>
              <w:left w:type="dxa" w:w="200"/>
              <w:bottom w:type="dxa" w:w="100"/>
              <w:right w:type="dxa" w:w="200"/>
            </w:tcMar>
          </w:tcPr>
          <w:p>
            <w:pPr>
              <w:spacing w:after="40" w:before="40"/>
            </w:pPr>
            <w:r>
              <w:rPr>
                <w:rFonts w:ascii="Arial" w:cs="Arial" w:eastAsia="Arial" w:hAnsi="Arial"/>
                <w:b/>
                <w:bCs/>
                <w:color w:val="1F3864"/>
                <w:sz w:val="22"/>
                <w:szCs w:val="22"/>
              </w:rPr>
              <w:t xml:space="preserve">§3.1 — What This Function Requires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Develop and maintain the Configuration Management Plan (CMP) covering the entire product life cycle.</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Define CM objectives, organizational roles, CCB authority, release processes, and sub-supplier management methods.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Support all major Technical Reviews (SRR, SFR, PDR, CDR, TRR, SVR, PRR) with configuration documentation.</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Establish performance metrics, generate and report CM data to the Acquirer.</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Address data handling, security, integrity, and long-term preservation of configuration documentation.</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Education Degree Requirements</w:t>
      </w:r>
    </w:p>
    <w:p>
      <w:pPr>
        <w:spacing w:after="0" w:before="60"/>
      </w:pPr>
    </w:p>
    <w:p>
      <w:pPr>
        <w:spacing w:after="80" w:before="80"/>
        <w:jc w:val="left"/>
      </w:pPr>
      <w:r>
        <w:rPr>
          <w:rFonts w:ascii="Arial" w:cs="Arial" w:eastAsia="Arial" w:hAnsi="Arial"/>
          <w:b/>
          <w:bCs/>
          <w:color w:val="C00000"/>
          <w:sz w:val="24"/>
          <w:szCs w:val="24"/>
        </w:rPr>
        <w:t xml:space="preserve">DETERMINATION: </w:t>
      </w:r>
      <w:r>
        <w:rPr>
          <w:rFonts w:ascii="Arial" w:cs="Arial" w:eastAsia="Arial" w:hAnsi="Arial"/>
          <w:b/>
          <w:bCs/>
          <w:color w:val="404040"/>
          <w:sz w:val="24"/>
          <w:szCs w:val="24"/>
        </w:rPr>
        <w:t xml:space="preserve">B.S. in Engineering Technology or Related Technical Field (CM Lead/Planner); A.A.S. Acceptable for Support/Administrative Roles</w:t>
      </w:r>
    </w:p>
    <w:p>
      <w:pPr>
        <w:spacing w:after="0" w:before="40"/>
      </w:pPr>
    </w:p>
    <w:p>
      <w:pPr>
        <w:spacing w:after="100" w:before="60"/>
        <w:jc w:val="left"/>
      </w:pPr>
      <w:r>
        <w:rPr>
          <w:rFonts w:ascii="Arial" w:cs="Arial" w:eastAsia="Arial" w:hAnsi="Arial"/>
          <w:i w:val="false"/>
          <w:iCs w:val="false"/>
          <w:color w:val="404040"/>
          <w:sz w:val="22"/>
          <w:szCs w:val="22"/>
        </w:rPr>
        <w:t xml:space="preserve">The CM Planning function requires two tiers of personnel. The lead CM Planner who owns the CMP and interfaces with the Acquirer must hold at minimum a B.S. in Engineering Technology or a technical discipline. This is driven by the requirement to support and provide documentation for design reviews that establish formal baselines (§3.1.3) — events deeply embedded in the systems engineering lifecycle. An associate's-degree practitioner would lack the educational foundation to understand what constitutes an adequate functional baseline package at SFR, what the PDR allocated baseline requires, or how CDR product baseline documentation differs from development-phase documentation. Support roles managing administrative CM tasks, scheduling, and distribution may be appropriately filled at the A.A.S. level.</w:t>
      </w:r>
    </w:p>
    <w:p>
      <w:pPr>
        <w:pStyle w:val="Heading3"/>
        <w:pBdr>
          <w:bottom w:val="single" w:color="2E5F8A" w:sz="6"/>
        </w:pBdr>
        <w:spacing w:after="80" w:before="160"/>
      </w:pPr>
      <w:r>
        <w:rPr>
          <w:rFonts w:ascii="Arial" w:cs="Arial" w:eastAsia="Arial" w:hAnsi="Arial"/>
          <w:b/>
          <w:bCs/>
          <w:color w:val="1F3864"/>
          <w:sz w:val="24"/>
          <w:szCs w:val="24"/>
        </w:rPr>
        <w:t xml:space="preserve">EIA-649-1 Traceability — Why a Technical Degree Is Required for Configuration Planning and Management</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200"/>
        <w:gridCol w:w="4720"/>
      </w:tblGrid>
      <w:tr>
        <w:trPr>
          <w:tblHeader/>
        </w:trPr>
        <w:tc>
          <w:tcPr>
            <w:tcW w:type="dxa" w:w="144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649-1 Para.</w:t>
            </w:r>
          </w:p>
        </w:tc>
        <w:tc>
          <w:tcPr>
            <w:tcW w:type="dxa" w:w="320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Requirement Language</w:t>
            </w:r>
          </w:p>
        </w:tc>
        <w:tc>
          <w:tcPr>
            <w:tcW w:type="dxa" w:w="472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Why This Requires a Technical Degree</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§3.1.3</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Supplier shall provide configuration documentation to support each Technical Review: ASR, SRR, SFR (FBL), PDR (ABL), CDR (PBL), TRR, SVR, PRR.</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Preparing configuration documentation packages for design reviews requires understanding what each review milestone means technically: what baselines are being established, what documentation is mature enough to present, and what deficiencies must be closed. This judgment cannot be reliably exercised without at minimum a B.S. in Engineering Technology.</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§3.1(1)b</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Define appropriate level of CM activity for each CM function throughout the product's life cycle.</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Calibrating CM rigor to program phase (SDD vs. LRIP vs. sustainment) requires understanding of the defense acquisition lifecycle and the technical maturity of the product at each phase. An A.A.S. program does not cover acquisition lifecycle management.</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§3.1.4(1)</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Address data handling, processing, storage, integrity, transfer, releasability/disclosure, security, and maintenance documentation requirements.</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DoD data management requirements (classification, ITAR, CUI, cybersecurity per §3.4.1(4)b) are technically complex. Managing data integrity across an integrated digital environment requires IT/data architecture literacy beyond administrative training.</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§3.1.1</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Include methodology for generating, measuring, and reporting CM performance data.</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Developing meaningful CM metrics and analyzing trends requires analytical skills developed at the baccalaureate level.</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Technical Skills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Technical Skill</w:t>
            </w:r>
          </w:p>
        </w:tc>
        <w:tc>
          <w:tcPr>
            <w:tcW w:type="dxa" w:w="64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Description / Application to EIA-649-1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CM Plan (CMP) Development</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Author and maintain the EIA-649-1-compliant CMP per §3.1 and §3.1.2(1); address objectives, resources, CCB authority, sub-supplier oversight, and release processes. Reference: DI-SESS-80858.</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Defense Acquisition Lifecycle Knowledge</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Understand program phases (SDD, EMD, LRIP, FRP) and associated technical review milestones (SRR, SFR, PDR, CDR, TRR, SVR, PRR) to apply appropriate CM rigor per §3.1.3.</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CCB Administration</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Establish CCB charters, manage agendas, facilitate meetings, record dispositions, and distribute minutes. Understand tiered CCB authority (Class I Acquirer vs. Class II internal).</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CM Performance Metrics</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Develop and report metrics per §3.1.1 (open/closed changes, cycle time, rejection rate, aging variances). Analyze trends and report to Acquirer.</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CM Tool Proficiency</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Operate PLM/PDM systems (e.g., Windchill, Teamcenter, ENOVIA) or equivalent for planning and tracking CM activities.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Data Management &amp; Security</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Apply DoD data handling requirements: classification markings, ITAR controls, CUI designations, cybersecurity compliance per §3.4.1(4)b.</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Sub-Supplier CM Oversight</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Establish and enforce CM flow-down requirements; evaluate sub-supplier CMP compliance per §3.1.2 and Principle CMP-7.</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MIL Standards Literacy</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Proficiency with MIL-HDBK-61 (CM Guidance), DAG, DFARS, and applicable DIDs (DI-SESS-80858, DI-MISC-80508).</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Soft Skills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Soft Skill</w:t>
            </w:r>
          </w:p>
        </w:tc>
        <w:tc>
          <w:tcPr>
            <w:tcW w:type="dxa" w:w="64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Description / Application to EIA-649-1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Strategic Planning</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Translate program CM requirements into an actionable, life-cycle-spanning CMP with clear organizational responsibilities and milestones.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Written Communication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Author technically precise CM plans and performance reports that satisfy Acquirer review and approval per §3.1.2(1).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Stakeholder Management</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Coordinate CM requirements across engineering, program management, contracts, logistics, and sub-suppliers while maintaining Acquirer relationships.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Leadership &amp; Team Coordination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Assign, oversee, and mentor CM professionals across all five functions; hold personnel accountable to performance metrics.</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Briefing &amp; Presentation Skills</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Brief CM status, metrics, and plan compliance at technical reviews and program reviews attended by government Acquirers.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Continuous Improvement Mindset</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Apply Principle CMP-6 — conduct periodic assessments of CM process effectiveness and drive corrective actions.</w:t>
            </w:r>
          </w:p>
        </w:tc>
      </w:tr>
    </w:tbl>
    <w:p>
      <w:r>
        <w:br w:type="page"/>
      </w:r>
    </w:p>
    <w:p>
      <w:pPr>
        <w:pStyle w:val="Heading1"/>
        <w:shd w:fill="1F3864" w:val="clear"/>
        <w:spacing w:after="120" w:before="240"/>
        <w:ind w:left="120"/>
      </w:pPr>
      <w:r>
        <w:rPr>
          <w:rFonts w:ascii="Arial" w:cs="Arial" w:eastAsia="Arial" w:hAnsi="Arial"/>
          <w:b/>
          <w:bCs/>
          <w:color w:val="FFFFFF"/>
          <w:sz w:val="36"/>
          <w:szCs w:val="36"/>
        </w:rPr>
        <w:t xml:space="preserve">CM Function 2: Configuration Identification</w:t>
      </w:r>
    </w:p>
    <w:p>
      <w:pPr>
        <w:spacing w:after="0" w:before="80"/>
      </w:pPr>
    </w:p>
    <w:tbl>
      <w:tblPr>
        <w:tblW w:type="dxa" w:w="9360"/>
        <w:tblBorders>
          <w:top w:val="single" w:color="2E5F8A" w:sz="8"/>
          <w:left w:val="single" w:color="2E5F8A" w:sz="8"/>
          <w:bottom w:val="single" w:color="2E5F8A" w:sz="8"/>
          <w:right w:val="single" w:color="2E5F8A" w:sz="8"/>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BDD7EE" w:val="clear"/>
            <w:tcMar>
              <w:top w:type="dxa" w:w="100"/>
              <w:left w:type="dxa" w:w="200"/>
              <w:bottom w:type="dxa" w:w="100"/>
              <w:right w:type="dxa" w:w="200"/>
            </w:tcMar>
          </w:tcPr>
          <w:p>
            <w:pPr>
              <w:spacing w:after="40" w:before="40"/>
            </w:pPr>
            <w:r>
              <w:rPr>
                <w:rFonts w:ascii="Arial" w:cs="Arial" w:eastAsia="Arial" w:hAnsi="Arial"/>
                <w:b/>
                <w:bCs/>
                <w:color w:val="1F3864"/>
                <w:sz w:val="22"/>
                <w:szCs w:val="22"/>
              </w:rPr>
              <w:t xml:space="preserve">§3.2 — What This Function Requires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Select configuration items (CIs) based on safety, criticality, technical complexity, and logistics criteria.</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Establish CI structure and hierarchy; assign enterprise, product, unit, group, and document identifiers.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Document Functional (FBL), Allocated (ABL), and Product (PBL) configuration baselines.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Manage Engineering Release System; control configuration documentation through the engineering release process.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Manage interfaces (ICD, ICWG); mark and label hardware CIs and software media per MIL standards.</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Education Degree Requirements</w:t>
      </w:r>
    </w:p>
    <w:p>
      <w:pPr>
        <w:spacing w:after="0" w:before="60"/>
      </w:pPr>
    </w:p>
    <w:p>
      <w:pPr>
        <w:spacing w:after="80" w:before="80"/>
        <w:jc w:val="left"/>
      </w:pPr>
      <w:r>
        <w:rPr>
          <w:rFonts w:ascii="Arial" w:cs="Arial" w:eastAsia="Arial" w:hAnsi="Arial"/>
          <w:b/>
          <w:bCs/>
          <w:color w:val="C00000"/>
          <w:sz w:val="24"/>
          <w:szCs w:val="24"/>
        </w:rPr>
        <w:t xml:space="preserve">DETERMINATION: </w:t>
      </w:r>
      <w:r>
        <w:rPr>
          <w:rFonts w:ascii="Arial" w:cs="Arial" w:eastAsia="Arial" w:hAnsi="Arial"/>
          <w:b/>
          <w:bCs/>
          <w:color w:val="404040"/>
          <w:sz w:val="24"/>
          <w:szCs w:val="24"/>
        </w:rPr>
        <w:t xml:space="preserve">B.S. in Engineering or Engineering Technology — REQUIRED (No Exceptions Justified by Standard)</w:t>
      </w:r>
    </w:p>
    <w:p>
      <w:pPr>
        <w:spacing w:after="0" w:before="40"/>
      </w:pPr>
    </w:p>
    <w:p>
      <w:pPr>
        <w:spacing w:after="100" w:before="60"/>
        <w:jc w:val="left"/>
      </w:pPr>
      <w:r>
        <w:rPr>
          <w:rFonts w:ascii="Arial" w:cs="Arial" w:eastAsia="Arial" w:hAnsi="Arial"/>
          <w:i w:val="false"/>
          <w:iCs w:val="false"/>
          <w:color w:val="404040"/>
          <w:sz w:val="22"/>
          <w:szCs w:val="22"/>
        </w:rPr>
        <w:t xml:space="preserve">Configuration Identification is the function most tightly coupled to engineering knowledge, and it is where the associate's-degree hiring model creates the greatest compliance risk. The standard assigns to the CM organization the responsibility to determine which items are safety-critical, system-critical, or technologically complex (§3.2.1). These determinations have direct implications for how much rigor is applied throughout the product lifecycle — and incorrect CI selection can result in uncontrolled changes to flight-critical hardware. Furthermore, documenting the three baselines (FBL, ABL, PBL) requires understanding functional performance requirements, allocated requirements, form-fit-function, and acceptance test requirements — all content drawn from systems engineering curricula that is not part of an A.A.S. program. The engineering release process, interface management (ICD/ICWG), and software identification requirements add further layers of technical complexity that demand a baccalaureate-level technical education.</w:t>
      </w:r>
    </w:p>
    <w:p>
      <w:pPr>
        <w:pStyle w:val="Heading3"/>
        <w:pBdr>
          <w:bottom w:val="single" w:color="2E5F8A" w:sz="6"/>
        </w:pBdr>
        <w:spacing w:after="80" w:before="160"/>
      </w:pPr>
      <w:r>
        <w:rPr>
          <w:rFonts w:ascii="Arial" w:cs="Arial" w:eastAsia="Arial" w:hAnsi="Arial"/>
          <w:b/>
          <w:bCs/>
          <w:color w:val="1F3864"/>
          <w:sz w:val="24"/>
          <w:szCs w:val="24"/>
        </w:rPr>
        <w:t xml:space="preserve">EIA-649-1 Traceability — Why a Technical Degree Is Required for Configuration Identification</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200"/>
        <w:gridCol w:w="4720"/>
      </w:tblGrid>
      <w:tr>
        <w:trPr>
          <w:tblHeader/>
        </w:trPr>
        <w:tc>
          <w:tcPr>
            <w:tcW w:type="dxa" w:w="144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649-1 Para.</w:t>
            </w:r>
          </w:p>
        </w:tc>
        <w:tc>
          <w:tcPr>
            <w:tcW w:type="dxa" w:w="320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Requirement Language</w:t>
            </w:r>
          </w:p>
        </w:tc>
        <w:tc>
          <w:tcPr>
            <w:tcW w:type="dxa" w:w="472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Why This Requires a Technical Degree</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§3.2.1(2)a</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Identify as a CI any item critical to the functioning of the system.</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Determining what is 'critical to the functioning' of a defense aerospace system (avionics, propulsion, flight controls, structural CIs) requires systems-level engineering understanding. A practitioner without an engineering degree has no reliable framework for making this determination, and errors directly impact product safety and contract compliance.</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§3.2.1(2)b</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Identify as a CI any item whose failure might result in serious injury, loss of life, or loss of primary system capability.</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Safety-criticality assessment is a formal engineering discipline (reference: MIL-STD-882 System Safety). Assigning or failing to assign CI status to safety-critical hardware without engineering training constitutes an unacceptable risk in a defense aerospace context.</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§3.2.1(2)c</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Identify as CI any item whose technology is complex, not well known, and critical to acquisition, operational, or supportability goals.</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Assessing technological complexity and acquisition/supportability risk requires understanding of system technology, maturity levels, and program risk — graduate-level-adjacent knowledge that is grounded in an engineering education.</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§3.2.2.2 &amp; §3.2.2.2.1</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Document FBL: functional, performance, interoperability, and interface requirements and required verifications. Document ABL: allocated requirements from higher-level CI plus interface requirements.</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Understanding performance requirements, requirement allocation from system to CI level, interoperability criteria, and verification methods is systems engineering content. These skills are explicitly developed in B.S. engineering curricula (systems engineering, requirements engineering) and are not covered in A.A.S. programs.</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§3.2.2.2.2</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Document PBL: form, fit, and function characteristics; acceptance testing; tooling; process specifications; packaging.</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Documenting form, fit, and function requires the ability to read and interpret engineering drawings and CAD models. Identifying required tooling, manufacturing processes, and acceptance test requirements requires manufacturing/mechanical engineering literacy.</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§3.2.3</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Use an Engineering Release System with formal ERRs to authorize new or revised configuration documentation; incorporate approved ECPs into configuration documentation.</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The engineering release process gates the transition of design information from developmental status to controlled baseline. Understanding when documentation is complete and releasable requires engineering judgment about design maturity.</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§3.2.4(4)</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The design document identifier (CAD model, engineering drawing) shall be the same as, or included within, the part number.</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Applying this rule correctly requires understanding the relationship between CAD models, engineering drawings, and part numbers — knowledge developed in engineering technology curricula through coursework in engineering graphics and CAD.</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§3.2.5</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Identify internal and external interface requirements for the system and CIs; maintain configuration control of interface requirements; participate in ICWG.</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Interface identification, documentation of functional and physical interface characteristics, and ICWG participation require understanding of system architecture and interface engineering — not covered in A.A.S. programs.</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Technical Skills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Technical Skill</w:t>
            </w:r>
          </w:p>
        </w:tc>
        <w:tc>
          <w:tcPr>
            <w:tcW w:type="dxa" w:w="64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Description / Application to EIA-649-1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CI Selection &amp; Criteria Application</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Apply §3.2.1(2) criteria to systematically evaluate and propose CIs for Acquirer concurrence. Assess safety, criticality, technology risk, logistics, and government control factors.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CI Structure / BOM Hierarchy</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Establish and maintain product structure: system, subsystem, CI, assembly, component relationships. Manage CI hierarchy in PLM/PDM tools.</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Baseline Documentation (FBL/ABL/PBL)</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Document and maintain functional, allocated, and product configuration documentation per §3.2.2.2, §3.2.2.2.1, §3.2.2.2.2. Understand what documentation constitutes each baseline type.</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Engineering Drawing Literacy</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Read and interpret engineering drawings, CAD models (3D MBD), and associated lists per ASME Y14.100, Y14.35, Y14.41. Required for CI identification, PBL documentation, and PCA.</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Part Numbering &amp; Identification</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Assign and control part identification numbers (PINs), CAGE codes, revision letters, serial numbers, lot/batch numbers per §3.2.4. Apply interchangeability rules (PIN change on non-interchangeable condition per §3.2(3)f).</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IUID / Product Marking</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Apply MIL-STD-130, MIL-STD-1285, MIL-STD-13231 marking requirements; manage DoD IUID Registry entries per §3.2.4.1.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Software CI Management</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Identify CSCIs; manage software identification (version, build, COTS development environment identifiers); apply software marking and labeling requirements per §3.2.4.2.</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Interface Control Documentation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Develop and maintain ICDs per DI-SESS-81248; participate in ICWG per §3.2.5.2. Commit to interface actions on behalf of the program.</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Engineering Release System Management</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Administer ERR process (DI-SESS-80463); authorize initial and revised configuration documentation; link ERRs to CSA system per §3.2.3(5).</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Soft Skills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Soft Skill</w:t>
            </w:r>
          </w:p>
        </w:tc>
        <w:tc>
          <w:tcPr>
            <w:tcW w:type="dxa" w:w="64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Description / Application to EIA-649-1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Analytical Rigor</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Apply systematic criteria to CI selection decisions; avoid under-designation (compliance risk) and over-designation (cost/schedule impact).</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Cross-Disciplinary Collaboration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Work daily with systems engineers, mechanical engineers, software engineers, manufacturing, and logistics to gather and validate CI and baseline information.</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Attention to Detail</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Manage complex part numbering schemes, revision letters, and identifier assignments without error across hundreds or thousands of CIs.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Assertiveness / Technical Credibility</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Represent CM requirements at ICWGs and design reviews with technical credibility; push back on incomplete or incorrect documentation. Technical degree directly enables this credibility.</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Communication (Technical Writing)</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Document CI selection rationale, baseline descriptions, and interface requirements in technically precise language for Acquirer approval.</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Organizational Skills</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Manage large volumes of configuration documentation, drawing trees, and baseline packages across multiple program phases simultaneously.</w:t>
            </w:r>
          </w:p>
        </w:tc>
      </w:tr>
    </w:tbl>
    <w:p>
      <w:r>
        <w:br w:type="page"/>
      </w:r>
    </w:p>
    <w:p>
      <w:pPr>
        <w:pStyle w:val="Heading1"/>
        <w:shd w:fill="1F3864" w:val="clear"/>
        <w:spacing w:after="120" w:before="240"/>
        <w:ind w:left="120"/>
      </w:pPr>
      <w:r>
        <w:rPr>
          <w:rFonts w:ascii="Arial" w:cs="Arial" w:eastAsia="Arial" w:hAnsi="Arial"/>
          <w:b/>
          <w:bCs/>
          <w:color w:val="FFFFFF"/>
          <w:sz w:val="36"/>
          <w:szCs w:val="36"/>
        </w:rPr>
        <w:t xml:space="preserve">CM Function 3: Configuration Change Management</w:t>
      </w:r>
    </w:p>
    <w:p>
      <w:pPr>
        <w:spacing w:after="0" w:before="80"/>
      </w:pPr>
    </w:p>
    <w:tbl>
      <w:tblPr>
        <w:tblW w:type="dxa" w:w="9360"/>
        <w:tblBorders>
          <w:top w:val="single" w:color="2E5F8A" w:sz="8"/>
          <w:left w:val="single" w:color="2E5F8A" w:sz="8"/>
          <w:bottom w:val="single" w:color="2E5F8A" w:sz="8"/>
          <w:right w:val="single" w:color="2E5F8A" w:sz="8"/>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BDD7EE" w:val="clear"/>
            <w:tcMar>
              <w:top w:type="dxa" w:w="100"/>
              <w:left w:type="dxa" w:w="200"/>
              <w:bottom w:type="dxa" w:w="100"/>
              <w:right w:type="dxa" w:w="200"/>
            </w:tcMar>
          </w:tcPr>
          <w:p>
            <w:pPr>
              <w:spacing w:after="40" w:before="40"/>
            </w:pPr>
            <w:r>
              <w:rPr>
                <w:rFonts w:ascii="Arial" w:cs="Arial" w:eastAsia="Arial" w:hAnsi="Arial"/>
                <w:b/>
                <w:bCs/>
                <w:color w:val="1F3864"/>
                <w:sz w:val="22"/>
                <w:szCs w:val="22"/>
              </w:rPr>
              <w:t xml:space="preserve">§3.3 — What This Function Requires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Apply configuration control to all CIs, components, and configuration documentation.</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Process Engineering Change Proposals (ECPs): define need, review technical data, prepare and submit ECPs with NORs and SCNs.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Classify changes as Class I (Major) or Class II (Minor); assign Emergency/Urgent/Routine priority.</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Evaluate full impact of changes: technical, cost, schedule, logistics, sustainment, interchangeability.</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Process Requests for Variance (RFVs) for pre- and post-production nonconforming material.</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Education Degree Requirements</w:t>
      </w:r>
    </w:p>
    <w:p>
      <w:pPr>
        <w:spacing w:after="0" w:before="60"/>
      </w:pPr>
    </w:p>
    <w:p>
      <w:pPr>
        <w:spacing w:after="80" w:before="80"/>
        <w:jc w:val="left"/>
      </w:pPr>
      <w:r>
        <w:rPr>
          <w:rFonts w:ascii="Arial" w:cs="Arial" w:eastAsia="Arial" w:hAnsi="Arial"/>
          <w:b/>
          <w:bCs/>
          <w:color w:val="C00000"/>
          <w:sz w:val="24"/>
          <w:szCs w:val="24"/>
        </w:rPr>
        <w:t xml:space="preserve">DETERMINATION: </w:t>
      </w:r>
      <w:r>
        <w:rPr>
          <w:rFonts w:ascii="Arial" w:cs="Arial" w:eastAsia="Arial" w:hAnsi="Arial"/>
          <w:b/>
          <w:bCs/>
          <w:color w:val="404040"/>
          <w:sz w:val="24"/>
          <w:szCs w:val="24"/>
        </w:rPr>
        <w:t xml:space="preserve">B.S. in Engineering or Engineering Technology REQUIRED for ECP Leads and Change Classifiers; A.A.S. Acceptable for Administrative Change Processing Under Direction</w:t>
      </w:r>
    </w:p>
    <w:p>
      <w:pPr>
        <w:spacing w:after="0" w:before="40"/>
      </w:pPr>
    </w:p>
    <w:p>
      <w:pPr>
        <w:spacing w:after="100" w:before="60"/>
        <w:jc w:val="left"/>
      </w:pPr>
      <w:r>
        <w:rPr>
          <w:rFonts w:ascii="Arial" w:cs="Arial" w:eastAsia="Arial" w:hAnsi="Arial"/>
          <w:i w:val="false"/>
          <w:iCs w:val="false"/>
          <w:color w:val="404040"/>
          <w:sz w:val="22"/>
          <w:szCs w:val="22"/>
        </w:rPr>
        <w:t xml:space="preserve">Configuration Change Management contains explicit requirements to review engineering product models and technical data (§3.3.1.1(1)b), assess form/fit/function/interchangeability impacts (§3.3.1.2), evaluate test data and logistics support analysis data (§3.3.1.4(1)), and assess the full technical and operational impact of proposed changes (§3.3(2)d). The Class I versus Class II classification decision — which determines whether the Acquirer government customer must approve the change — is a technical judgment based on whether the change affects performance, interchangeability, safety, reliability, or interface requirements. Incorrect classification (calling a Class I change a Class II to avoid government scrutiny) is a compliance violation with serious contractual and safety consequences. These responsibilities require engineering-trained judgment. An A.A.S.-trained administrative processor can support data entry, form completion, and routing of completed ECPs, but the technical assessment roles must be staffed at the B.S. level.</w:t>
      </w:r>
    </w:p>
    <w:p>
      <w:pPr>
        <w:pStyle w:val="Heading3"/>
        <w:pBdr>
          <w:bottom w:val="single" w:color="2E5F8A" w:sz="6"/>
        </w:pBdr>
        <w:spacing w:after="80" w:before="160"/>
      </w:pPr>
      <w:r>
        <w:rPr>
          <w:rFonts w:ascii="Arial" w:cs="Arial" w:eastAsia="Arial" w:hAnsi="Arial"/>
          <w:b/>
          <w:bCs/>
          <w:color w:val="1F3864"/>
          <w:sz w:val="24"/>
          <w:szCs w:val="24"/>
        </w:rPr>
        <w:t xml:space="preserve">EIA-649-1 Traceability — Why a Technical Degree Is Required for Configuration Change Management</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200"/>
        <w:gridCol w:w="4720"/>
      </w:tblGrid>
      <w:tr>
        <w:trPr>
          <w:tblHeader/>
        </w:trPr>
        <w:tc>
          <w:tcPr>
            <w:tcW w:type="dxa" w:w="144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649-1 Para.</w:t>
            </w:r>
          </w:p>
        </w:tc>
        <w:tc>
          <w:tcPr>
            <w:tcW w:type="dxa" w:w="320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Requirement Language</w:t>
            </w:r>
          </w:p>
        </w:tc>
        <w:tc>
          <w:tcPr>
            <w:tcW w:type="dxa" w:w="472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Why This Requires a Technical Degree</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§3.3.1.1(1)b</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Review product model and other technical data to determine what specific changes will need to be made.</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This requirement places CM personnel directly in the technical documentation — CAD models, engineering drawings, specifications — to assess change scope and completeness. Reading and interpreting these documents is the core of an engineering education and is not taught in A.A.S. programs.</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§3.3.1.2</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Use DD Form 1692 content to assign Class I (Major) or Class II (Minor) classification.</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Class I criteria include: safety, performance, reliability, maintainability, interchangeability, weight, interface, and contractual impacts. Assessing whether a proposed change crosses any of these thresholds requires engineering knowledge of what these attributes mean technically and how a design change affects them.</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§3.3.1.4(1)</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Support ECPs with drawings and data including LSA data, test data and analyses, interchangeability factors.</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Interchangeability determination (whether a changed item can replace its predecessor without alteration) is a form/fit/function engineering judgment. Evaluating test data supporting an ECP requires understanding of what the test was designed to demonstrate and whether results are sufficient.</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§3.3(2)d</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Configuration changes must address all areas of impact including cost, operational, sustainment, implementation: tooling design, manufacturing planning, interface design, support equipment, software code, retrofit.</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Multi-domain impact assessment across design, manufacturing, software, support equipment, and retrofit cannot be performed without engineering systems understanding. An A.A.S. administrator can document impacts stated by engineers; they cannot independently assess them.</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§3.3.2</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Evaluate nonconforming material; obtain Acquirer approval before delivery; document in CSA system.</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Determining whether a nonconformance affects product performance, safety, or baseline integrity is an engineering judgment. A practitioner must understand what the product requirement is, what the deviation is, and whether the deviation has functional consequences.</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§3.3.1.4(3)</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Include in ECP a summary of testing done to validate concepts or new technology employed in the proposed change.</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Evaluating whether test data is adequate and relevant to validate the proposed change requires engineering literacy in test and evaluation methodology.</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Technical Skills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Technical Skill</w:t>
            </w:r>
          </w:p>
        </w:tc>
        <w:tc>
          <w:tcPr>
            <w:tcW w:type="dxa" w:w="64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Description / Application to EIA-649-1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ECP Preparation &amp; Processing</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Prepare complete ECPs using DD Form 1692 or equivalent per §3.3.1.3(1); ensure all required data (need, scope, NOR, SCN, schedule, cost, interchangeability) is included. Reference: DI-SESS-80639.</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Class I / Class II Classification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Apply DD Form 1692 classification criteria to distinguish Major from Minor engineering changes; understand threshold attributes (safety, performance, reliability, interoperability, form/fit/function, interface).</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Engineering Drawing &amp; Model Review</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Read and interpret engineering drawings, 3D CAD models, and specifications to scope changes and identify all affected documentation per §3.3.1.1(1)b.</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Interchangeability Assessment</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Evaluate whether a changed item remains interchangeable with its predecessor per MIL-HDBK-505 criteria; drive PIN change decisions per §3.2(3)f.</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RFV / Variance Processing</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Process pre- and post-production Requests for Variance (DD Form 1694); classify Critical/Major/Minor; document in CSA system per §3.3.2.</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SCN &amp; NOR Preparation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Prepare Specification Change Notices (DI-SESS-80643) and Notices of Revision (DI-SESS-80642) accompanying each affected ECP per §3.3.3 and §3.3.4.</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Change Priority Management</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Apply Emergency/Urgent/Routine priorities per §3.3.1.6; manage implementation schedules; prevent assignment of Emergency/Urgent to Class II ECPs.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Impact Analysis</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Assess full change impact across cost, operational, sustainment, tooling, manufacturing, support equipment, software, and retrofit domains per §3.3(2)d.</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CCB Interface</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Present ECPs and RFVs to CCB; record dispositions; track approved changes through implementation and closure.</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Soft Skills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Soft Skill</w:t>
            </w:r>
          </w:p>
        </w:tc>
        <w:tc>
          <w:tcPr>
            <w:tcW w:type="dxa" w:w="64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Description / Application to EIA-649-1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Analytical Judgment</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Evaluate technical, cost, and schedule trade-offs in change decisions; reach defensible classification determinations under schedule pressure.</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Written Communication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Prepare ECP narratives that are 'clear and comprehensive from technical, cost and scheduling perspectives' per Principle CCM-5.</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Negotiation</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Resolve ECP classification disagreements between the program and the Acquirer per §3.3.1.8.1(3); build consensus on change approaches.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Time Management / Prioritization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Manage simultaneous processing of Emergency, Urgent, and Routine ECPs and RFVs with differing cycle time requirements.</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Customer/Acquirer Interface</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Maintain productive relationship with government Acquirer CCB for Class I change approvals; respond professionally to rejection or deferral decisions.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Persistence / Follow-Through</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Track approved changes through implementation and verify incorporation per §3.3.1.1(1)h — a multi-week or multi-month cycle for complex changes.</w:t>
            </w:r>
          </w:p>
        </w:tc>
      </w:tr>
    </w:tbl>
    <w:p>
      <w:r>
        <w:br w:type="page"/>
      </w:r>
    </w:p>
    <w:p>
      <w:pPr>
        <w:pStyle w:val="Heading1"/>
        <w:shd w:fill="1F3864" w:val="clear"/>
        <w:spacing w:after="120" w:before="240"/>
        <w:ind w:left="120"/>
      </w:pPr>
      <w:r>
        <w:rPr>
          <w:rFonts w:ascii="Arial" w:cs="Arial" w:eastAsia="Arial" w:hAnsi="Arial"/>
          <w:b/>
          <w:bCs/>
          <w:color w:val="FFFFFF"/>
          <w:sz w:val="36"/>
          <w:szCs w:val="36"/>
        </w:rPr>
        <w:t xml:space="preserve">CM Function 4: Configuration Status Accounting</w:t>
      </w:r>
    </w:p>
    <w:p>
      <w:pPr>
        <w:spacing w:after="0" w:before="80"/>
      </w:pPr>
    </w:p>
    <w:tbl>
      <w:tblPr>
        <w:tblW w:type="dxa" w:w="9360"/>
        <w:tblBorders>
          <w:top w:val="single" w:color="2E5F8A" w:sz="8"/>
          <w:left w:val="single" w:color="2E5F8A" w:sz="8"/>
          <w:bottom w:val="single" w:color="2E5F8A" w:sz="8"/>
          <w:right w:val="single" w:color="2E5F8A" w:sz="8"/>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BDD7EE" w:val="clear"/>
            <w:tcMar>
              <w:top w:type="dxa" w:w="100"/>
              <w:left w:type="dxa" w:w="200"/>
              <w:bottom w:type="dxa" w:w="100"/>
              <w:right w:type="dxa" w:w="200"/>
            </w:tcMar>
          </w:tcPr>
          <w:p>
            <w:pPr>
              <w:spacing w:after="40" w:before="40"/>
            </w:pPr>
            <w:r>
              <w:rPr>
                <w:rFonts w:ascii="Arial" w:cs="Arial" w:eastAsia="Arial" w:hAnsi="Arial"/>
                <w:b/>
                <w:bCs/>
                <w:color w:val="1F3864"/>
                <w:sz w:val="22"/>
                <w:szCs w:val="22"/>
              </w:rPr>
              <w:t xml:space="preserve">§3.4 — What This Function Requires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Maintain a CSA system that captures, stores, and reports approved and historical product configuration information.</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Track and report status of all proposed and approved changes and variances for every CI.</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Record implementation status and engineering release of configuration documentation for approved changes.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Track status of corrective actions for nonconforming material addressed by RFVs.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Provide performance metrics; deliver digital CSA data to Acquirer at contract completion.</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CRITICAL CONTEXT: No automated CSA tool exists — all reconciliation of Design to Procurement to Build must be performed manually.</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Education Degree Requirements</w:t>
      </w:r>
    </w:p>
    <w:p>
      <w:pPr>
        <w:spacing w:after="0" w:before="60"/>
      </w:pPr>
    </w:p>
    <w:p>
      <w:pPr>
        <w:spacing w:after="80" w:before="80"/>
        <w:jc w:val="left"/>
      </w:pPr>
      <w:r>
        <w:rPr>
          <w:rFonts w:ascii="Arial" w:cs="Arial" w:eastAsia="Arial" w:hAnsi="Arial"/>
          <w:b/>
          <w:bCs/>
          <w:color w:val="C00000"/>
          <w:sz w:val="24"/>
          <w:szCs w:val="24"/>
        </w:rPr>
        <w:t xml:space="preserve">DETERMINATION: </w:t>
      </w:r>
      <w:r>
        <w:rPr>
          <w:rFonts w:ascii="Arial" w:cs="Arial" w:eastAsia="Arial" w:hAnsi="Arial"/>
          <w:b/>
          <w:bCs/>
          <w:color w:val="404040"/>
          <w:sz w:val="24"/>
          <w:szCs w:val="24"/>
        </w:rPr>
        <w:t xml:space="preserve">B.S. in Engineering Technology STRONGLY RECOMMENDED; A.A.S. is Minimum Only if a CSA Automation Tool Is Present (Which It Is Not)</w:t>
      </w:r>
    </w:p>
    <w:p>
      <w:pPr>
        <w:spacing w:after="0" w:before="40"/>
      </w:pPr>
    </w:p>
    <w:p>
      <w:pPr>
        <w:spacing w:after="100" w:before="60"/>
        <w:jc w:val="left"/>
      </w:pPr>
      <w:r>
        <w:rPr>
          <w:rFonts w:ascii="Arial" w:cs="Arial" w:eastAsia="Arial" w:hAnsi="Arial"/>
          <w:i w:val="false"/>
          <w:iCs w:val="false"/>
          <w:color w:val="404040"/>
          <w:sz w:val="22"/>
          <w:szCs w:val="22"/>
        </w:rPr>
        <w:t xml:space="preserve">Configuration Status Accounting, in the presence of a modern PLM/PDM tool, can be performed effectively by well-trained A.A.S. personnel focused on data entry, status reporting, and metric generation. However, this company has explicitly confirmed that no CSA tool exists to automate reconciliation of Design to Procurement Planning to Build. This absence fundamentally transforms the nature of the CSA function. Without automation, the CSA practitioner must manually construct and maintain the linkage between: (1) engineering drawings and specifications, (2) engineering release records, (3) procurement documentation and vendor part numbers, (4) manufacturing build records, and (5) as-built serial number data from sub-tier suppliers — all tracing up through the BOM hierarchy to the system level. This is technically demanding work that requires deep understanding of product structure, engineering documentation, and how design changes propagate through procurement and production. A practitioner without engineering literacy cannot reliably determine whether a serial-number-tracked assembly reflects the approved configuration when no system is doing that reconciliation automatically. The risk of an undetected discrepancy in an as-built record for a defense system is a safety, contractual, and audit finding risk that justifies the degree upgrade.</w:t>
      </w:r>
    </w:p>
    <w:p>
      <w:pPr>
        <w:pStyle w:val="Heading3"/>
        <w:pBdr>
          <w:bottom w:val="single" w:color="2E5F8A" w:sz="6"/>
        </w:pBdr>
        <w:spacing w:after="80" w:before="160"/>
      </w:pPr>
      <w:r>
        <w:rPr>
          <w:rFonts w:ascii="Arial" w:cs="Arial" w:eastAsia="Arial" w:hAnsi="Arial"/>
          <w:b/>
          <w:bCs/>
          <w:color w:val="1F3864"/>
          <w:sz w:val="24"/>
          <w:szCs w:val="24"/>
        </w:rPr>
        <w:t xml:space="preserve">EIA-649-1 Traceability — Why a Technical Degree Is Required for Configuration Status Accounting</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200"/>
        <w:gridCol w:w="4720"/>
      </w:tblGrid>
      <w:tr>
        <w:trPr>
          <w:tblHeader/>
        </w:trPr>
        <w:tc>
          <w:tcPr>
            <w:tcW w:type="dxa" w:w="144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649-1 Para.</w:t>
            </w:r>
          </w:p>
        </w:tc>
        <w:tc>
          <w:tcPr>
            <w:tcW w:type="dxa" w:w="320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Requirement Language</w:t>
            </w:r>
          </w:p>
        </w:tc>
        <w:tc>
          <w:tcPr>
            <w:tcW w:type="dxa" w:w="472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Why This Requires a Technical Degree</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§3.4.1(3)a</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Capture and maintain the currently approved product configuration information by the identification number assigned to each CI.</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Without a CSA tool, manually maintaining the 'currently approved configuration' for each CI requires the practitioner to synthesize information from engineering drawings (with revision letters), ERRs (authorizing changes), approved ECPs, and outstanding variances. This is a multi-document cross-referencing task that requires understanding what each document type represents technically.</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§3.4.1(3)b</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Capture and maintain all historical product configuration information with traceability detailing product configuration from contract award to present.</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Complete lifecycle traceability without automation means manually building and maintaining a change history for each CI across potentially hundreds of engineering changes over years. The practitioner must understand engineering change documentation well enough to reconstruct configuration history accurately.</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§3.4.1(3)c</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Store and manage product definition information (authoritative source for CM) and product operational information (used to test, operate, maintain, dispose).</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Distinguishing between and properly categorizing product definition vs. operational information requires understanding the different types of engineering documentation and their relationship to the product configuration baseline.</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§3.4.1(3)d</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Identify dependencies among CIs.</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CI dependency mapping — understanding that a change to one CI may require a change to interfacing CIs — requires knowledge of product architecture. Without an automated dependency engine, this must be held in the practitioner's engineering understanding.</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§3.4.1(3)j</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Record and report all product data inherited from sub-tier suppliers, to include vendor part numbers and serial numbers, and provide clear traceability from these components to their respective next higher assemblies.</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Manual as-built traceability from purchased component through assembly to top-level CI requires understanding BOM hierarchy, assembly relationships, and how vendor-specific identifiers map to internal drawing/part numbers. This is engineering technology content.</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§3.4.1(1)</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CSA system shall be closely linked to the data repository used to store and manage product configuration and operational information.</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Without an all-encompassing product data management system, the practitioner IS the integration layer between disparate repositories (engineering drawing system, procurement system, manufacturing records). This role requires understanding all data domains.</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§3.4.2</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Evaluate CSA corrective actions; verify problems resolved, adverse trends reversed, changes correctly implemented.</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Trend analysis and corrective action evaluation requires analytical capability and the technical background to understand why an adverse trend is occurring (e.g., recurring variances on a particular CI may signal a design issue, not just a process failure).</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Technical Skills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Technical Skill</w:t>
            </w:r>
          </w:p>
        </w:tc>
        <w:tc>
          <w:tcPr>
            <w:tcW w:type="dxa" w:w="64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Description / Application to EIA-649-1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Manual BOM / Configuration Traceability</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In the absence of CSA automation, manually reconcile Design (drawings/ERRs) → Procurement (purchase orders, vendor data) → Build (manufacturing records, inspection reports) → As-Built (serial number records). This is the core gap created by the absence of a CSA tool.</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Engineering Release Record (ERR) Management</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Process and maintain ERRs (DI-SESS-80463) as the authoritative record authorizing use of configuration documentation; link ERRs to affected CIs, change documentation, and procurement records.</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As-Built / As-Maintained Configuration Tracking</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Track serial/lot/batch number configurations; record retrofit incorporations per §3.4.1(5); maintain currency of as-maintained records for fielded systems.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Change &amp; Variance Status Tracking</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Report status of all open and closed ECPs, RFVs, SCNs, and NORs against each CI; maintain lifecycle history per §3.4.1(3)e-g.</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Sub-Supplier Data Management</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Collect, validate, and record vendor part numbers, serial numbers, and certificates of conformance from sub-tier suppliers; trace to next higher assembly per §3.4.1(3)j.</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Database Management (Without Automation)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Build and maintain manual tracking systems (advanced Excel, Access, SharePoint, or similar) to capture all CSA data elements required by §3.4.1(3)a-j in the absence of a dedicated CSA tool.</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Metrics Development &amp; Reporting</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Generate CM performance metrics per §3.1.1 and §3.4.2; identify adverse trends; report to Acquirer per §3.4.1(4)a.</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DoD Cybersecurity Compliance</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Ensure CSA data systems comply with DoD cybersecurity requirements for interoperability with the Acquirer's integrated digital environment per §3.4.1(4)b.</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Audit Trail Maintenance</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Ensure CSA data is current, accurate, retrievable, adequately secured, and deliverable digitally to the Acquirer at contract completion per §3.4.1(4)c-d.</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Soft Skills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Soft Skill</w:t>
            </w:r>
          </w:p>
        </w:tc>
        <w:tc>
          <w:tcPr>
            <w:tcW w:type="dxa" w:w="64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Description / Application to EIA-649-1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Meticulous Attention to Detail</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CSA accuracy without automation depends entirely on the practitioner's discipline. A single missed change incorporation or incorrect revision letter in the as-built record can create a safety or compliance discrepancy.</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Data Integrity Mindset</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Treat configuration information as a safety-critical data set. Refuse to allow expedient short-cuts that compromise record accuracy.</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Process Discipline</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Establish and enforce consistent workflows for capturing changes in real time rather than reconstructing records retroactively.</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Analytical / Trend Thinking</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Identify patterns in CSA data (recurring variances on a specific CI, chronic ECP processing delays) and initiate corrective action per §3.4.2.</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Persistence / Follow-Through</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CSA closure requires following open actions across multiple organizations (engineering, manufacturing, procurement, sub-suppliers) to confirmed incorporation.</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Written &amp; Verbal Communication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Brief CSA status at program reviews; respond to Acquirer requests for CSA information on short timelines per §3.4.1(4)a.</w:t>
            </w:r>
          </w:p>
        </w:tc>
      </w:tr>
    </w:tbl>
    <w:p>
      <w:r>
        <w:br w:type="page"/>
      </w:r>
    </w:p>
    <w:p>
      <w:pPr>
        <w:pStyle w:val="Heading1"/>
        <w:shd w:fill="1F3864" w:val="clear"/>
        <w:spacing w:after="120" w:before="240"/>
        <w:ind w:left="120"/>
      </w:pPr>
      <w:r>
        <w:rPr>
          <w:rFonts w:ascii="Arial" w:cs="Arial" w:eastAsia="Arial" w:hAnsi="Arial"/>
          <w:b/>
          <w:bCs/>
          <w:color w:val="FFFFFF"/>
          <w:sz w:val="36"/>
          <w:szCs w:val="36"/>
        </w:rPr>
        <w:t xml:space="preserve">CM Function 5: Configuration Verification and Audits</w:t>
      </w:r>
    </w:p>
    <w:p>
      <w:pPr>
        <w:spacing w:after="0" w:before="80"/>
      </w:pPr>
    </w:p>
    <w:tbl>
      <w:tblPr>
        <w:tblW w:type="dxa" w:w="9360"/>
        <w:tblBorders>
          <w:top w:val="single" w:color="2E5F8A" w:sz="8"/>
          <w:left w:val="single" w:color="2E5F8A" w:sz="8"/>
          <w:bottom w:val="single" w:color="2E5F8A" w:sz="8"/>
          <w:right w:val="single" w:color="2E5F8A" w:sz="8"/>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BDD7EE" w:val="clear"/>
            <w:tcMar>
              <w:top w:type="dxa" w:w="100"/>
              <w:left w:type="dxa" w:w="200"/>
              <w:bottom w:type="dxa" w:w="100"/>
              <w:right w:type="dxa" w:w="200"/>
            </w:tcMar>
          </w:tcPr>
          <w:p>
            <w:pPr>
              <w:spacing w:after="40" w:before="40"/>
            </w:pPr>
            <w:r>
              <w:rPr>
                <w:rFonts w:ascii="Arial" w:cs="Arial" w:eastAsia="Arial" w:hAnsi="Arial"/>
                <w:b/>
                <w:bCs/>
                <w:color w:val="1F3864"/>
                <w:sz w:val="22"/>
                <w:szCs w:val="22"/>
              </w:rPr>
              <w:t xml:space="preserve">§3.5 — What This Function Requires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Conduct Functional Configuration Audits (FCA): verify CI meets performance requirements in FCD and ACD; review test data, test plans, requirements traceability matrices.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Conduct Physical Configuration Audits (PCA): verify as-built CI conforms to PCD; review engineering drawings, 3D CAD models, manufacturing instructions, and PPSL.</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Develop and maintain Configuration Audit Plans; schedule audits against IMS; obtain Acquirer approval.</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Document discrepancies; track to closure; prepare Configuration Audit Summary Reports.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Support incremental and system-level audits; coordinate sub-supplier audit participation.</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Education Degree Requirements</w:t>
      </w:r>
    </w:p>
    <w:p>
      <w:pPr>
        <w:spacing w:after="0" w:before="60"/>
      </w:pPr>
    </w:p>
    <w:p>
      <w:pPr>
        <w:spacing w:after="80" w:before="80"/>
        <w:jc w:val="left"/>
      </w:pPr>
      <w:r>
        <w:rPr>
          <w:rFonts w:ascii="Arial" w:cs="Arial" w:eastAsia="Arial" w:hAnsi="Arial"/>
          <w:b/>
          <w:bCs/>
          <w:color w:val="C00000"/>
          <w:sz w:val="24"/>
          <w:szCs w:val="24"/>
        </w:rPr>
        <w:t xml:space="preserve">DETERMINATION: </w:t>
      </w:r>
      <w:r>
        <w:rPr>
          <w:rFonts w:ascii="Arial" w:cs="Arial" w:eastAsia="Arial" w:hAnsi="Arial"/>
          <w:b/>
          <w:bCs/>
          <w:color w:val="404040"/>
          <w:sz w:val="24"/>
          <w:szCs w:val="24"/>
        </w:rPr>
        <w:t xml:space="preserve">B.S. in Engineering or Engineering Technology — REQUIRED (Most Technically Demanding CM Function)</w:t>
      </w:r>
    </w:p>
    <w:p>
      <w:pPr>
        <w:spacing w:after="0" w:before="40"/>
      </w:pPr>
    </w:p>
    <w:p>
      <w:pPr>
        <w:spacing w:after="100" w:before="60"/>
        <w:jc w:val="left"/>
      </w:pPr>
      <w:r>
        <w:rPr>
          <w:rFonts w:ascii="Arial" w:cs="Arial" w:eastAsia="Arial" w:hAnsi="Arial"/>
          <w:i w:val="false"/>
          <w:iCs w:val="false"/>
          <w:color w:val="404040"/>
          <w:sz w:val="22"/>
          <w:szCs w:val="22"/>
        </w:rPr>
        <w:t xml:space="preserve">Configuration Verification and Audits is the most technically demanding of the five CM functions and presents the clearest case for requiring a technical bachelor's degree. The FCA requires the CM organization to verify that a CI's performance has been demonstrated against its functional and allocated configuration documentation (§3.5.2(1)). This is not a paperwork exercise — it requires reading and understanding performance specifications, test plans, test procedures, and test result analyses. The PCA requires comparing as-built hardware against engineering drawings, 3D CAD models, Model Based Definitions (MBDs), and manufacturing instruction sheets (§3.5.3.2(2)a). A practitioner who cannot read an engineering drawing cannot perform a PCA. The audit function also requires the CM practitioner to credibly challenge engineers and manufacturing personnel on technical discrepancies (§3.5.1(1)i,j) — an inherently technical confrontation that demands engineering credentials and knowledge. Placing an associate's-degree practitioner in the lead audit role for a defense system FCA or PCA creates a structural gap between what the standard requires and what the individual can actually assess.</w:t>
      </w:r>
    </w:p>
    <w:p>
      <w:pPr>
        <w:pStyle w:val="Heading3"/>
        <w:pBdr>
          <w:bottom w:val="single" w:color="2E5F8A" w:sz="6"/>
        </w:pBdr>
        <w:spacing w:after="80" w:before="160"/>
      </w:pPr>
      <w:r>
        <w:rPr>
          <w:rFonts w:ascii="Arial" w:cs="Arial" w:eastAsia="Arial" w:hAnsi="Arial"/>
          <w:b/>
          <w:bCs/>
          <w:color w:val="1F3864"/>
          <w:sz w:val="24"/>
          <w:szCs w:val="24"/>
        </w:rPr>
        <w:t xml:space="preserve">EIA-649-1 Traceability — Why a Technical Degree Is Required for Configuration Verification and Audits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200"/>
        <w:gridCol w:w="4720"/>
      </w:tblGrid>
      <w:tr>
        <w:trPr>
          <w:tblHeader/>
        </w:trPr>
        <w:tc>
          <w:tcPr>
            <w:tcW w:type="dxa" w:w="144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649-1 Para.</w:t>
            </w:r>
          </w:p>
        </w:tc>
        <w:tc>
          <w:tcPr>
            <w:tcW w:type="dxa" w:w="320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Requirement Language</w:t>
            </w:r>
          </w:p>
        </w:tc>
        <w:tc>
          <w:tcPr>
            <w:tcW w:type="dxa" w:w="4720"/>
            <w:tcBorders>
              <w:top w:val="single" w:color="AAAAAA" w:sz="4"/>
              <w:left w:val="single" w:color="AAAAAA" w:sz="4"/>
              <w:bottom w:val="single" w:color="AAAAAA" w:sz="4"/>
              <w:right w:val="single" w:color="AAAAAA" w:sz="4"/>
            </w:tcBorders>
            <w:shd w:fill="1F3864"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Why This Requires a Technical Degree</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§3.5.2(1)</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Conduct FCA to verify the CI meets its performance requirements as documented in the approved FCD and ACD.</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Verifying that a gas turbine engine, avionics system, or guided munition has met its functional performance requirements requires the ability to read performance specifications, understand test methodologies, and evaluate whether test evidence constitutes valid demonstration. This is core B.S. engineering curriculum content.</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§3.5.2.1(1)c</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Provide matrix identifying and providing traceability for all requirements; cross-reference to test plans, procedures, test programs, test reports, and known deficiencies.</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Developing and verifying a Requirements Traceability Matrix (RTM) against test evidence requires understanding both what the requirement says technically and what the test was designed to demonstrate. This synthesis is not achievable without engineering-level technical education.</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§3.5.2.1(2)h</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Provide analyses or simulations for requirements that cannot be completely verified through testing.</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Evaluating whether an analytical verification approach is technically valid as a substitute for test requires engineering judgment about modeling, simulation, and verification equivalence.</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§3.5.3</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PCA: examine as-built configuration of a validated CI against design documentation including CAD models, drawings, and software source code. Verify PCD is consistent with the validated CI.</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A PCA is fundamentally an engineering drawing review. Each drawing must be compared to the actual hardware to confirm the correct parts, configurations, and revision levels are represented. This is impossible without engineering drawing literacy.</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§3.5.3.1(1)a items 4,5,14</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Review acceptance test procedures and associated test data; engineering drawing index including revision letters; current approved hardware development and software/interface requirements specifications including approved SCNs and approved variances.</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Reviewing acceptance test procedures, drawing indices, and interface specifications during a PCA requires the practitioner to understand what these documents contain technically and what constitutes a complete, correct package.</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§3.5.3.2(2)a</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Review complete product drawings/associated lists package (3D model type, cut-away drawings, MBDs) and associated manufacturing instruction sheets (and/or CAM data) for each item of hardware or software.</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Manufacturing instruction sheets and CAM data define how parts are made. Comparing these to drawings as part of a PCA requires knowledge of manufacturing processes and engineering documentation standards (ASME Y14.100).</w:t>
            </w:r>
          </w:p>
        </w:tc>
      </w:tr>
      <w:tr>
        <w:tc>
          <w:tcPr>
            <w:tcW w:type="dxa" w:w="14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§3.5.1(1)i,j</w:t>
            </w:r>
          </w:p>
        </w:tc>
        <w:tc>
          <w:tcPr>
            <w:tcW w:type="dxa" w:w="3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Ensure Supplier and Sub-supplier personnel are prepared to discuss technical detail; participate in resolution of discrepancies identified during FCA/PCA.</w:t>
            </w:r>
          </w:p>
        </w:tc>
        <w:tc>
          <w:tcPr>
            <w:tcW w:type="dxa" w:w="47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Technical discrepancy resolution requires the CM auditor to understand and articulate what is wrong between the as-built item and its documentation, and to evaluate proposed resolutions for adequacy. Technical credibility is not possible without a technical degree.</w:t>
            </w:r>
          </w:p>
        </w:tc>
      </w:tr>
      <w:tr>
        <w:tc>
          <w:tcPr>
            <w:tcW w:type="dxa" w:w="14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8"/>
                <w:szCs w:val="18"/>
              </w:rPr>
              <w:t xml:space="preserve">§3.5.3(2)</w:t>
            </w:r>
          </w:p>
        </w:tc>
        <w:tc>
          <w:tcPr>
            <w:tcW w:type="dxa" w:w="32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8"/>
                <w:szCs w:val="18"/>
              </w:rPr>
              <w:t xml:space="preserve">Ensure compatibility between CI and the PPSL; examine CI to ensure proper parts are actually installed.</w:t>
            </w:r>
          </w:p>
        </w:tc>
        <w:tc>
          <w:tcPr>
            <w:tcW w:type="dxa" w:w="47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595959"/>
                <w:sz w:val="18"/>
                <w:szCs w:val="18"/>
              </w:rPr>
              <w:t xml:space="preserve">Cross-referencing a physical CI against the Program Parts Selection List to verify correct part numbers and approved sources requires engineering documentation literacy and understanding of parts control programs.</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Technical Skills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Technical Skill</w:t>
            </w:r>
          </w:p>
        </w:tc>
        <w:tc>
          <w:tcPr>
            <w:tcW w:type="dxa" w:w="64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Description / Application to EIA-649-1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FCA Conduct &amp; Documentation</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Lead Functional Configuration Audits: prepare pre-audit packages, review FCD/ACD compliance, verify test results against requirements, document non-compliances, and produce FCA minutes per §3.5.2.1.</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PCA Conduct &amp; Documentation</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Lead Physical Configuration Audits: compare as-built CI to PCD (drawings, 3D models, MBDs, manufacturing instructions, PPSL); record drawing numbers, revision letters, and part numbers in PCA minutes per §3.5.3.</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Requirements Traceability Matrix (RTM)</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Develop and verify RTM cross-referencing all functional/allocated requirements to test plans, test procedures, test reports, and verification method; identify gaps and known deficiencies per §3.5.2.1(1)c.</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Engineering Drawing &amp; CAD Model Review</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Read and interpret engineering drawings, 3D CAD models, Model Based Definitions (MBDs), associated lists, and manufacturing instruction sheets in support of PCA per §3.5.3.2. Required for comparing design intent to as-built reality.</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Test Data Interpretation</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Review and evaluate test plans, test procedures, test reports, and analyses for FCA evidence packages; assess whether test results demonstrate requirement compliance per §3.5.2.1(2).</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Software Audit Skills</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Audit CSCIs: review SVDs, software library listings, problem reports, development configuration records, CSCI FCA closure; verify software build baselines per §3.5.2.1(2)i.</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Audit Planning &amp; Scheduling</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Develop Configuration Audit Plans (DI-SESS-81646); schedule audits against IMS; coordinate sub-supplier participation; establish entry/exit criteria per §3.5.1.</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Discrepancy Documentation &amp; Tracking</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Record all audit discrepancies; assign responsible activities and suspense dates; track to closure; prepare Configuration Audit Summary Reports (DI-SESS-81022) per §3.5.5.</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PPSL / Parts Control Review</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Cross-reference PPSL to verify correct parts are installed in the CI; identify unauthorized substitutions or unapproved sources per §3.5.3(2).</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First Article Test (FAT) Support</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Use First Article Test data to support PCA evidence for form, fit, and function of product model data per §3.5.3.1(1)c.</w:t>
            </w:r>
          </w:p>
        </w:tc>
      </w:tr>
    </w:tbl>
    <w:p>
      <w:pPr>
        <w:spacing w:after="0" w:before="120"/>
      </w:pPr>
    </w:p>
    <w:p>
      <w:pPr>
        <w:pStyle w:val="Heading2"/>
        <w:shd w:fill="2E5F8A" w:val="clear"/>
        <w:spacing w:after="80" w:before="200"/>
        <w:ind w:left="120"/>
      </w:pPr>
      <w:r>
        <w:rPr>
          <w:rFonts w:ascii="Arial" w:cs="Arial" w:eastAsia="Arial" w:hAnsi="Arial"/>
          <w:b/>
          <w:bCs/>
          <w:color w:val="FFFFFF"/>
          <w:sz w:val="28"/>
          <w:szCs w:val="28"/>
        </w:rPr>
        <w:t xml:space="preserve">Soft Skills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Soft Skill</w:t>
            </w:r>
          </w:p>
        </w:tc>
        <w:tc>
          <w:tcPr>
            <w:tcW w:type="dxa" w:w="6480"/>
            <w:tcBorders>
              <w:top w:val="single" w:color="AAAAAA" w:sz="4"/>
              <w:left w:val="single" w:color="AAAAAA" w:sz="4"/>
              <w:bottom w:val="single" w:color="AAAAAA" w:sz="4"/>
              <w:right w:val="single" w:color="AAAAAA" w:sz="4"/>
            </w:tcBorders>
            <w:shd w:fill="2E5F8A" w:val="clear"/>
            <w:tcMar>
              <w:top w:type="dxa" w:w="100"/>
              <w:left w:type="dxa" w:w="120"/>
              <w:bottom w:type="dxa" w:w="100"/>
              <w:right w:type="dxa" w:w="120"/>
            </w:tcMar>
            <w:vAlign w:val="center"/>
          </w:tcPr>
          <w:p>
            <w:pPr>
              <w:spacing w:after="40" w:before="40"/>
              <w:jc w:val="center"/>
            </w:pPr>
            <w:r>
              <w:rPr>
                <w:rFonts w:ascii="Arial" w:cs="Arial" w:eastAsia="Arial" w:hAnsi="Arial"/>
                <w:b/>
                <w:bCs/>
                <w:color w:val="FFFFFF"/>
                <w:sz w:val="20"/>
                <w:szCs w:val="20"/>
              </w:rPr>
              <w:t xml:space="preserve">Description / Application to EIA-649-1</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Analytical Rigor / Objectivity</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Approach audits as independent verification events; resist pressure from engineering or program management to accept incomplete evidence or paper over discrepancies.</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Technical Assertiveness</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Identify and document discrepancies even when doing so creates friction with engineering teams; maintain audit independence per CVA principles.</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Written Communication</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Produce audit documentation (FCA/PCA minutes, discrepancy lists, Configuration Audit Summary Reports) that are precise, complete, and defensible before the Acquirer.</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Facilitation Skills</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Manage audit sessions with Supplier, Sub-supplier, and Acquirer personnel; keep proceedings on track; ensure all required evidence is presented and reviewed.</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Scheduling &amp; Coordination</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Establish audit schedules compatible with IMS and material/documentation availability; coordinate across engineering, manufacturing, software, quality, and logistics organizations per §3.5.1(1)d,e.</w:t>
            </w:r>
          </w:p>
        </w:tc>
      </w:tr>
      <w:tr>
        <w:tc>
          <w:tcPr>
            <w:tcW w:type="dxa" w:w="28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Persistence / Action Tracking</w:t>
            </w:r>
          </w:p>
        </w:tc>
        <w:tc>
          <w:tcPr>
            <w:tcW w:type="dxa" w:w="64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Track open audit discrepancies through resolution — a process that may take weeks to months and requires sustained follow-up across multiple organizational owners per §3.5.1(1)m.</w:t>
            </w:r>
          </w:p>
        </w:tc>
      </w:tr>
      <w:tr>
        <w:tc>
          <w:tcPr>
            <w:tcW w:type="dxa" w:w="28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bCs/>
                <w:color w:val="2E5F8A"/>
                <w:sz w:val="19"/>
                <w:szCs w:val="19"/>
              </w:rPr>
              <w:t xml:space="preserve">Diplomacy &amp; Tact</w:t>
            </w:r>
          </w:p>
        </w:tc>
        <w:tc>
          <w:tcPr>
            <w:tcW w:type="dxa" w:w="64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404040"/>
                <w:sz w:val="19"/>
                <w:szCs w:val="19"/>
              </w:rPr>
              <w:t xml:space="preserve">Communicate discrepancies constructively to avoid adversarial relationships while maintaining audit rigor; balance technical accuracy with professional rapport.</w:t>
            </w:r>
          </w:p>
        </w:tc>
      </w:tr>
    </w:tbl>
    <w:p>
      <w:r>
        <w:br w:type="page"/>
      </w:r>
    </w:p>
    <w:p>
      <w:pPr>
        <w:pStyle w:val="Heading1"/>
        <w:shd w:fill="1F3864" w:val="clear"/>
        <w:spacing w:after="120" w:before="240"/>
        <w:ind w:left="120"/>
      </w:pPr>
      <w:r>
        <w:rPr>
          <w:rFonts w:ascii="Arial" w:cs="Arial" w:eastAsia="Arial" w:hAnsi="Arial"/>
          <w:b/>
          <w:bCs/>
          <w:color w:val="FFFFFF"/>
          <w:sz w:val="36"/>
          <w:szCs w:val="36"/>
        </w:rPr>
        <w:t xml:space="preserve">RECOMMENDATIONS FOR HR AND LEADERSHIP</w:t>
      </w:r>
    </w:p>
    <w:p>
      <w:pPr>
        <w:spacing w:after="0" w:before="80"/>
      </w:pPr>
    </w:p>
    <w:p>
      <w:pPr>
        <w:spacing w:after="100" w:before="80"/>
        <w:jc w:val="left"/>
      </w:pPr>
      <w:r>
        <w:rPr>
          <w:rFonts w:ascii="Arial" w:cs="Arial" w:eastAsia="Arial" w:hAnsi="Arial"/>
          <w:i w:val="false"/>
          <w:iCs w:val="false"/>
          <w:color w:val="404040"/>
          <w:sz w:val="22"/>
          <w:szCs w:val="22"/>
        </w:rPr>
        <w:t xml:space="preserve">Based on the EIA-649-1 requirements analysis above, the following actions are recommended to close the workforce competency gap in the CM organization:</w:t>
      </w:r>
    </w:p>
    <w:p>
      <w:pPr>
        <w:pStyle w:val="Heading3"/>
        <w:pBdr>
          <w:bottom w:val="single" w:color="2E5F8A" w:sz="6"/>
        </w:pBdr>
        <w:spacing w:after="80" w:before="160"/>
      </w:pPr>
      <w:r>
        <w:rPr>
          <w:rFonts w:ascii="Arial" w:cs="Arial" w:eastAsia="Arial" w:hAnsi="Arial"/>
          <w:b/>
          <w:bCs/>
          <w:color w:val="1F3864"/>
          <w:sz w:val="24"/>
          <w:szCs w:val="24"/>
        </w:rPr>
        <w:t xml:space="preserve">1.  Revise Position Descriptions for Technical CM Roles</w:t>
      </w:r>
    </w:p>
    <w:p>
      <w:pPr>
        <w:spacing w:after="80" w:before="60"/>
        <w:jc w:val="left"/>
      </w:pPr>
      <w:r>
        <w:rPr>
          <w:rFonts w:ascii="Arial" w:cs="Arial" w:eastAsia="Arial" w:hAnsi="Arial"/>
          <w:i w:val="false"/>
          <w:iCs w:val="false"/>
          <w:color w:val="404040"/>
          <w:sz w:val="22"/>
          <w:szCs w:val="22"/>
        </w:rPr>
        <w:t xml:space="preserve">The following positions should be updated to require a B.S. in Engineering or Engineering Technology — or equivalent qualification per the Workforce Qualification Framework — as a minimum. These are not preferences; they are driven by specific contractual obligations that cannot be met without technical-knowledge-level competency:</w:t>
      </w:r>
    </w:p>
    <w:p>
      <w:pPr>
        <w:pStyle w:val="ListParagraph"/>
        <w:numPr>
          <w:ilvl w:val="0"/>
          <w:numId w:val="2"/>
        </w:numPr>
        <w:spacing w:after="40" w:before="40"/>
      </w:pPr>
      <w:r>
        <w:rPr>
          <w:rFonts w:ascii="Arial" w:cs="Arial" w:eastAsia="Arial" w:hAnsi="Arial"/>
          <w:color w:val="404040"/>
          <w:sz w:val="22"/>
          <w:szCs w:val="22"/>
        </w:rPr>
        <w:t xml:space="preserve">CI Selection Lead — Configuration Identification (§3.2.1)</w:t>
      </w:r>
    </w:p>
    <w:p>
      <w:pPr>
        <w:pStyle w:val="ListParagraph"/>
        <w:numPr>
          <w:ilvl w:val="0"/>
          <w:numId w:val="2"/>
        </w:numPr>
        <w:spacing w:after="40" w:before="40"/>
      </w:pPr>
      <w:r>
        <w:rPr>
          <w:rFonts w:ascii="Arial" w:cs="Arial" w:eastAsia="Arial" w:hAnsi="Arial"/>
          <w:color w:val="404040"/>
          <w:sz w:val="22"/>
          <w:szCs w:val="22"/>
        </w:rPr>
        <w:t xml:space="preserve">Baseline Manager / Documentation Lead — Configuration Identification (§3.2.2)</w:t>
      </w:r>
    </w:p>
    <w:p>
      <w:pPr>
        <w:pStyle w:val="ListParagraph"/>
        <w:numPr>
          <w:ilvl w:val="0"/>
          <w:numId w:val="2"/>
        </w:numPr>
        <w:spacing w:after="40" w:before="40"/>
      </w:pPr>
      <w:r>
        <w:rPr>
          <w:rFonts w:ascii="Arial" w:cs="Arial" w:eastAsia="Arial" w:hAnsi="Arial"/>
          <w:color w:val="404040"/>
          <w:sz w:val="22"/>
          <w:szCs w:val="22"/>
        </w:rPr>
        <w:t xml:space="preserve">ECP Lead / Change Classification Authority — Configuration Change Management (§3.3.1.2)</w:t>
      </w:r>
    </w:p>
    <w:p>
      <w:pPr>
        <w:pStyle w:val="ListParagraph"/>
        <w:numPr>
          <w:ilvl w:val="0"/>
          <w:numId w:val="2"/>
        </w:numPr>
        <w:spacing w:after="40" w:before="40"/>
      </w:pPr>
      <w:r>
        <w:rPr>
          <w:rFonts w:ascii="Arial" w:cs="Arial" w:eastAsia="Arial" w:hAnsi="Arial"/>
          <w:color w:val="404040"/>
          <w:sz w:val="22"/>
          <w:szCs w:val="22"/>
        </w:rPr>
        <w:t xml:space="preserve">FCA Lead — Configuration Verification and Audits (§3.5.2)</w:t>
      </w:r>
    </w:p>
    <w:p>
      <w:pPr>
        <w:pStyle w:val="ListParagraph"/>
        <w:numPr>
          <w:ilvl w:val="0"/>
          <w:numId w:val="2"/>
        </w:numPr>
        <w:spacing w:after="40" w:before="40"/>
      </w:pPr>
      <w:r>
        <w:rPr>
          <w:rFonts w:ascii="Arial" w:cs="Arial" w:eastAsia="Arial" w:hAnsi="Arial"/>
          <w:color w:val="404040"/>
          <w:sz w:val="22"/>
          <w:szCs w:val="22"/>
        </w:rPr>
        <w:t xml:space="preserve">PCA Lead — Configuration Verification and Audits (§3.5.3)</w:t>
      </w:r>
    </w:p>
    <w:p>
      <w:pPr>
        <w:spacing w:after="0" w:before="80"/>
      </w:pPr>
    </w:p>
    <w:p>
      <w:pPr>
        <w:pStyle w:val="Heading3"/>
        <w:pBdr>
          <w:bottom w:val="single" w:color="2E5F8A" w:sz="6"/>
        </w:pBdr>
        <w:spacing w:after="80" w:before="160"/>
      </w:pPr>
      <w:r>
        <w:rPr>
          <w:rFonts w:ascii="Arial" w:cs="Arial" w:eastAsia="Arial" w:hAnsi="Arial"/>
          <w:b/>
          <w:bCs/>
          <w:color w:val="1F3864"/>
          <w:sz w:val="24"/>
          <w:szCs w:val="24"/>
        </w:rPr>
        <w:t xml:space="preserve">2.  Retain A.A.S. Eligibility for Support Roles</w:t>
      </w:r>
    </w:p>
    <w:p>
      <w:pPr>
        <w:spacing w:after="80" w:before="60"/>
        <w:jc w:val="left"/>
      </w:pPr>
      <w:r>
        <w:rPr>
          <w:rFonts w:ascii="Arial" w:cs="Arial" w:eastAsia="Arial" w:hAnsi="Arial"/>
          <w:i w:val="false"/>
          <w:iCs w:val="false"/>
          <w:color w:val="404040"/>
          <w:sz w:val="22"/>
          <w:szCs w:val="22"/>
        </w:rPr>
        <w:t xml:space="preserve">Not all CM positions require a technical bachelor's degree. The following support roles remain appropriate for A.A.S. personnel working under direction of technically-degreed leads:</w:t>
      </w:r>
    </w:p>
    <w:p>
      <w:pPr>
        <w:pStyle w:val="ListParagraph"/>
        <w:numPr>
          <w:ilvl w:val="0"/>
          <w:numId w:val="2"/>
        </w:numPr>
        <w:spacing w:after="40" w:before="40"/>
      </w:pPr>
      <w:r>
        <w:rPr>
          <w:rFonts w:ascii="Arial" w:cs="Arial" w:eastAsia="Arial" w:hAnsi="Arial"/>
          <w:color w:val="404040"/>
          <w:sz w:val="22"/>
          <w:szCs w:val="22"/>
        </w:rPr>
        <w:t xml:space="preserve">CM Administrative Support (CMP distribution, CDRL tracking, meeting minutes)</w:t>
      </w:r>
    </w:p>
    <w:p>
      <w:pPr>
        <w:pStyle w:val="ListParagraph"/>
        <w:numPr>
          <w:ilvl w:val="0"/>
          <w:numId w:val="2"/>
        </w:numPr>
        <w:spacing w:after="40" w:before="40"/>
      </w:pPr>
      <w:r>
        <w:rPr>
          <w:rFonts w:ascii="Arial" w:cs="Arial" w:eastAsia="Arial" w:hAnsi="Arial"/>
          <w:color w:val="404040"/>
          <w:sz w:val="22"/>
          <w:szCs w:val="22"/>
        </w:rPr>
        <w:t xml:space="preserve">Change Processing Support (ECP/RFV routing, form population, log maintenance)</w:t>
      </w:r>
    </w:p>
    <w:p>
      <w:pPr>
        <w:pStyle w:val="ListParagraph"/>
        <w:numPr>
          <w:ilvl w:val="0"/>
          <w:numId w:val="2"/>
        </w:numPr>
        <w:spacing w:after="40" w:before="40"/>
      </w:pPr>
      <w:r>
        <w:rPr>
          <w:rFonts w:ascii="Arial" w:cs="Arial" w:eastAsia="Arial" w:hAnsi="Arial"/>
          <w:color w:val="404040"/>
          <w:sz w:val="22"/>
          <w:szCs w:val="22"/>
        </w:rPr>
        <w:t xml:space="preserve">CSA Data Entry / Status Reporting (under direction of technical CSA lead)</w:t>
      </w:r>
    </w:p>
    <w:p>
      <w:pPr>
        <w:pStyle w:val="ListParagraph"/>
        <w:numPr>
          <w:ilvl w:val="0"/>
          <w:numId w:val="2"/>
        </w:numPr>
        <w:spacing w:after="40" w:before="40"/>
      </w:pPr>
      <w:r>
        <w:rPr>
          <w:rFonts w:ascii="Arial" w:cs="Arial" w:eastAsia="Arial" w:hAnsi="Arial"/>
          <w:color w:val="404040"/>
          <w:sz w:val="22"/>
          <w:szCs w:val="22"/>
        </w:rPr>
        <w:t xml:space="preserve">Audit Coordination Support (scheduling, agenda preparation, action tracking)</w:t>
      </w:r>
    </w:p>
    <w:p>
      <w:pPr>
        <w:spacing w:after="0" w:before="80"/>
      </w:pPr>
    </w:p>
    <w:p>
      <w:pPr>
        <w:pStyle w:val="Heading3"/>
        <w:pBdr>
          <w:bottom w:val="single" w:color="2E5F8A" w:sz="6"/>
        </w:pBdr>
        <w:spacing w:after="80" w:before="160"/>
      </w:pPr>
      <w:r>
        <w:rPr>
          <w:rFonts w:ascii="Arial" w:cs="Arial" w:eastAsia="Arial" w:hAnsi="Arial"/>
          <w:b/>
          <w:bCs/>
          <w:color w:val="1F3864"/>
          <w:sz w:val="24"/>
          <w:szCs w:val="24"/>
        </w:rPr>
        <w:t xml:space="preserve">3.  Invest in CSA Tool Acquisition</w:t>
      </w:r>
    </w:p>
    <w:p>
      <w:pPr>
        <w:spacing w:after="100" w:before="60"/>
        <w:jc w:val="left"/>
      </w:pPr>
      <w:r>
        <w:rPr>
          <w:rFonts w:ascii="Arial" w:cs="Arial" w:eastAsia="Arial" w:hAnsi="Arial"/>
          <w:i w:val="false"/>
          <w:iCs w:val="false"/>
          <w:color w:val="404040"/>
          <w:sz w:val="22"/>
          <w:szCs w:val="22"/>
        </w:rPr>
        <w:t xml:space="preserve">The absence of a CSA automation tool artificially inflates the technical complexity of the Configuration Status Accounting function (§3.4). Acquiring a CM/PDM tool that automates Design-to-Procurement-to-Build reconciliation would (a) reduce the technical degree requirement for CSA from strongly recommended to minimum, (b) increase accuracy and audit-readiness, and (c) free technical personnel for higher-value work in CI Identification and Audits. The cost of a CSA tool is far lower than the cost of a contract non-compliance finding, failed audit, or safety incident traceable to inaccurate as-built records.</w:t>
      </w:r>
    </w:p>
    <w:p>
      <w:pPr>
        <w:pStyle w:val="Heading3"/>
        <w:pBdr>
          <w:bottom w:val="single" w:color="2E5F8A" w:sz="6"/>
        </w:pBdr>
        <w:spacing w:after="80" w:before="160"/>
      </w:pPr>
      <w:r>
        <w:rPr>
          <w:rFonts w:ascii="Arial" w:cs="Arial" w:eastAsia="Arial" w:hAnsi="Arial"/>
          <w:b/>
          <w:bCs/>
          <w:color w:val="1F3864"/>
          <w:sz w:val="24"/>
          <w:szCs w:val="24"/>
        </w:rPr>
        <w:t xml:space="preserve">4.  Formally Recognize the Equivalent Qualification Pathway</w:t>
      </w:r>
    </w:p>
    <w:p>
      <w:pPr>
        <w:spacing w:after="100" w:before="60"/>
        <w:jc w:val="left"/>
      </w:pPr>
      <w:r>
        <w:rPr>
          <w:rFonts w:ascii="Arial" w:cs="Arial" w:eastAsia="Arial" w:hAnsi="Arial"/>
          <w:i w:val="false"/>
          <w:iCs w:val="false"/>
          <w:color w:val="404040"/>
          <w:sz w:val="22"/>
          <w:szCs w:val="22"/>
        </w:rPr>
        <w:t xml:space="preserve">HR position descriptions and hiring panels should explicitly recognize the Two-Gate Equivalency Test defined in the Workforce Qualification Framework section of this document. Non-traditional advanced degrees with direct domain proximity to defense manufacturing, nuclear systems, logistics, and related fields should be evaluated on their merit against the equivalency criteria — not screened out by an engineering-degree filter. The company already has at least one example of a Tier 4 SME whose credential is a Ph.D. in History with a dissertation on nuclear weapons manufacturing. That practitioner should not be an undocumented exception; they should be the template for a formal equivalency pathway.</w:t>
      </w:r>
    </w:p>
    <w:p>
      <w:pPr>
        <w:pStyle w:val="Heading3"/>
        <w:pBdr>
          <w:bottom w:val="single" w:color="2E5F8A" w:sz="6"/>
        </w:pBdr>
        <w:spacing w:after="80" w:before="160"/>
      </w:pPr>
      <w:r>
        <w:rPr>
          <w:rFonts w:ascii="Arial" w:cs="Arial" w:eastAsia="Arial" w:hAnsi="Arial"/>
          <w:b/>
          <w:bCs/>
          <w:color w:val="1F3864"/>
          <w:sz w:val="24"/>
          <w:szCs w:val="24"/>
        </w:rPr>
        <w:t xml:space="preserve">5.  Establish a CM Career Path with Targeted Development</w:t>
      </w:r>
    </w:p>
    <w:p>
      <w:pPr>
        <w:spacing w:after="100" w:before="60"/>
        <w:jc w:val="left"/>
      </w:pPr>
      <w:r>
        <w:rPr>
          <w:rFonts w:ascii="Arial" w:cs="Arial" w:eastAsia="Arial" w:hAnsi="Arial"/>
          <w:i w:val="false"/>
          <w:iCs w:val="false"/>
          <w:color w:val="404040"/>
          <w:sz w:val="22"/>
          <w:szCs w:val="22"/>
        </w:rPr>
        <w:t xml:space="preserve">Create a formal CM career ladder aligned to the Four-Tier Model: CM Technician (A.A.S.), CM Specialist (B.S.E.T. or equivalent), CM Engineer (B.S.E. or equivalent), and Senior CM Engineer/SME (advanced degree or demonstrated competency). Align position descriptions, compensation bands, and development programs to this ladder. Fund education assistance for Tier 1 employees pursuing Tier 2 credentials.</w:t>
      </w:r>
    </w:p>
    <w:p>
      <w:pPr>
        <w:pStyle w:val="Heading3"/>
        <w:pBdr>
          <w:bottom w:val="single" w:color="2E5F8A" w:sz="6"/>
        </w:pBdr>
        <w:spacing w:after="80" w:before="160"/>
      </w:pPr>
      <w:r>
        <w:rPr>
          <w:rFonts w:ascii="Arial" w:cs="Arial" w:eastAsia="Arial" w:hAnsi="Arial"/>
          <w:b/>
          <w:bCs/>
          <w:color w:val="1F3864"/>
          <w:sz w:val="24"/>
          <w:szCs w:val="24"/>
        </w:rPr>
        <w:t xml:space="preserve">6.  Require EIA-649-1 Training for All CM Personnel</w:t>
      </w:r>
    </w:p>
    <w:p>
      <w:pPr>
        <w:spacing w:after="100" w:before="60"/>
        <w:jc w:val="left"/>
      </w:pPr>
      <w:r>
        <w:rPr>
          <w:rFonts w:ascii="Arial" w:cs="Arial" w:eastAsia="Arial" w:hAnsi="Arial"/>
          <w:i w:val="false"/>
          <w:iCs w:val="false"/>
          <w:color w:val="404040"/>
          <w:sz w:val="22"/>
          <w:szCs w:val="22"/>
        </w:rPr>
        <w:t xml:space="preserve">All CM personnel — regardless of education level — should complete formal EIA-649-1 training as a condition of employment in the CM organization. This training closes procedural knowledge gaps and ensures every team member understands the contractual framework in which they operate. CMII, DAU CM courses, and NCMA resources are available options.</w:t>
      </w:r>
    </w:p>
    <w:p>
      <w:pPr>
        <w:spacing w:after="0" w:before="80"/>
      </w:pPr>
    </w:p>
    <w:tbl>
      <w:tblPr>
        <w:tblW w:type="dxa" w:w="9360"/>
        <w:tblBorders>
          <w:top w:val="single" w:color="2E5F8A" w:sz="8"/>
          <w:left w:val="single" w:color="2E5F8A" w:sz="8"/>
          <w:bottom w:val="single" w:color="2E5F8A" w:sz="8"/>
          <w:right w:val="single" w:color="2E5F8A" w:sz="8"/>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BDD7EE" w:val="clear"/>
            <w:tcMar>
              <w:top w:type="dxa" w:w="100"/>
              <w:left w:type="dxa" w:w="200"/>
              <w:bottom w:type="dxa" w:w="100"/>
              <w:right w:type="dxa" w:w="200"/>
            </w:tcMar>
          </w:tcPr>
          <w:p>
            <w:pPr>
              <w:spacing w:after="40" w:before="40"/>
            </w:pPr>
            <w:r>
              <w:rPr>
                <w:rFonts w:ascii="Arial" w:cs="Arial" w:eastAsia="Arial" w:hAnsi="Arial"/>
                <w:b/>
                <w:bCs/>
                <w:color w:val="1F3864"/>
                <w:sz w:val="22"/>
                <w:szCs w:val="22"/>
              </w:rPr>
              <w:t xml:space="preserve">Bottom Line for Leadership</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EIA-649-1 is not an administrative standard — it is a technical compliance framework for defense contracts.</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Three of its five functions contain requirements that are not executable by personnel without engineering-level education.</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The current associate's-degree-only hiring model creates structural non-compliance risk in CI selection (§3.2.1),</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change classification (§3.3.1.2), and configuration audit conduct (§3.5.2, §3.5.3).</w:t>
            </w:r>
          </w:p>
        </w:tc>
      </w:tr>
      <w:tr>
        <w:tc>
          <w:tcPr>
            <w:tcW w:type="dxa" w:w="9360"/>
            <w:tcBorders>
              <w:top w:val="none" w:color="FFFFFF" w:sz="0"/>
              <w:left w:val="none" w:color="FFFFFF" w:sz="0"/>
              <w:bottom w:val="none" w:color="FFFFFF" w:sz="0"/>
              <w:right w:val="none" w:color="FFFFFF" w:sz="0"/>
            </w:tcBorders>
            <w:shd w:fill="D5E8F0" w:val="clear"/>
            <w:tcMar>
              <w:top w:type="dxa" w:w="80"/>
              <w:left w:type="dxa" w:w="200"/>
              <w:bottom w:type="dxa" w:w="80"/>
              <w:right w:type="dxa" w:w="200"/>
            </w:tcMar>
          </w:tcPr>
          <w:p>
            <w:pPr>
              <w:spacing w:after="40" w:before="40"/>
            </w:pPr>
            <w:r>
              <w:rPr>
                <w:rFonts w:ascii="Arial" w:cs="Arial" w:eastAsia="Arial" w:hAnsi="Arial"/>
                <w:color w:val="404040"/>
                <w:sz w:val="20"/>
                <w:szCs w:val="20"/>
              </w:rPr>
              <w:t xml:space="preserve">The investment in technical talent is significantly less costly than a failed FCA, PCA, or DCMA audit finding.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8A" w:sz="4"/>
      </w:pBdr>
      <w:spacing w:after="0" w:before="80"/>
    </w:pPr>
    <w:r>
      <w:rPr>
        <w:rFonts w:ascii="Arial" w:cs="Arial" w:eastAsia="Arial" w:hAnsi="Arial"/>
        <w:color w:val="595959"/>
        <w:sz w:val="16"/>
        <w:szCs w:val="16"/>
      </w:rPr>
      <w:t xml:space="preserve">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of </w:t>
    </w:r>
    <w:r>
      <w:rPr>
        <w:rFonts w:ascii="Arial" w:cs="Arial" w:eastAsia="Arial" w:hAnsi="Arial"/>
        <w:color w:val="595959"/>
        <w:sz w:val="16"/>
        <w:szCs w:val="16"/>
      </w:rPr>
      <w:fldChar w:fldCharType="begin"/>
      <w:instrText xml:space="preserve">NUMPAGES</w:instrText>
      <w:fldChar w:fldCharType="separate"/>
      <w:fldChar w:fldCharType="end"/>
    </w:r>
    <w:r>
      <w:rPr>
        <w:rFonts w:ascii="Arial" w:cs="Arial" w:eastAsia="Arial" w:hAnsi="Arial"/>
        <w:color w:val="595959"/>
        <w:sz w:val="16"/>
        <w:szCs w:val="16"/>
      </w:rPr>
      <w:t xml:space="preserve">          Configuration Management Workforce Analysis — EIA-649-1 Requirements Traceability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8A" w:sz="4"/>
      </w:pBdr>
      <w:spacing w:after="80" w:before="0"/>
    </w:pPr>
    <w:r>
      <w:rPr>
        <w:rFonts w:ascii="Arial" w:cs="Arial" w:eastAsia="Arial" w:hAnsi="Arial"/>
        <w:color w:val="595959"/>
        <w:sz w:val="16"/>
        <w:szCs w:val="16"/>
      </w:rPr>
      <w:t xml:space="preserve">CM Workforce Competency Analysis — EIA-649-1 | COMPANY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FFFFFF"/>
      <w:sz w:val="36"/>
      <w:szCs w:val="36"/>
    </w:rPr>
  </w:style>
  <w:style w:type="paragraph" w:styleId="Heading2">
    <w:name w:val="Heading 2"/>
    <w:basedOn w:val="Normal"/>
    <w:next w:val="Normal"/>
    <w:qFormat/>
    <w:pPr>
      <w:spacing w:after="80" w:before="200"/>
      <w:outlineLvl w:val="1"/>
    </w:pPr>
    <w:rPr>
      <w:rFonts w:ascii="Arial" w:cs="Arial" w:eastAsia="Arial" w:hAnsi="Arial"/>
      <w:b/>
      <w:bCs/>
      <w:color w:val="FFFFFF"/>
      <w:sz w:val="28"/>
      <w:szCs w:val="28"/>
    </w:rPr>
  </w:style>
  <w:style w:type="paragraph" w:styleId="Heading3">
    <w:name w:val="Heading 3"/>
    <w:basedOn w:val="Normal"/>
    <w:next w:val="Normal"/>
    <w:qFormat/>
    <w:pPr>
      <w:spacing w:after="80" w:before="16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2026-05-22T18:35:35.710Z</dcterms:created>
  <dcterms:modified xsi:type="dcterms:W3CDTF">2026-05-22T18:35:35.710Z</dcterms:modified>
</cp:coreProperties>
</file>

<file path=docProps/custom.xml><?xml version="1.0" encoding="utf-8"?>
<Properties xmlns="http://schemas.openxmlformats.org/officeDocument/2006/custom-properties" xmlns:vt="http://schemas.openxmlformats.org/officeDocument/2006/docPropsVTypes"/>
</file>