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sz w:val="64"/>
          <w:szCs w:val="64"/>
        </w:rPr>
        <w:t xml:space="preserve">BOM COMPARATOR</w:t>
      </w:r>
    </w:p>
    <w:p>
      <w:pPr>
        <w:spacing w:before="200"/>
        <w:jc w:val="center"/>
      </w:pPr>
      <w:r>
        <w:rPr>
          <w:sz w:val="36"/>
          <w:szCs w:val="36"/>
        </w:rPr>
        <w:t xml:space="preserve">Configuration Status Accounting Tool</w:t>
      </w:r>
    </w:p>
    <w:p>
      <w:pPr>
        <w:spacing w:before="400"/>
        <w:jc w:val="center"/>
      </w:pPr>
      <w:r>
        <w:rPr>
          <w:b/>
          <w:bCs/>
          <w:sz w:val="44"/>
          <w:szCs w:val="44"/>
        </w:rPr>
        <w:t xml:space="preserve">User Guide</w:t>
      </w:r>
    </w:p>
    <w:p>
      <w:pPr>
        <w:spacing w:before="300"/>
        <w:jc w:val="center"/>
      </w:pPr>
      <w:r>
        <w:rPr>
          <w:color w:val="555555"/>
          <w:sz w:val="24"/>
          <w:szCs w:val="24"/>
        </w:rPr>
        <w:t xml:space="preserve">For build v150 (offline build 50) — July 2026</w:t>
      </w:r>
    </w:p>
    <w:p>
      <w:r>
        <w:br w:type="page"/>
      </w:r>
    </w:p>
    <w:p>
      <w:pPr>
        <w:pStyle w:val="Heading1"/>
        <w:spacing w:after="160" w:before="3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i/>
          <w:iCs/>
        </w:rPr>
        <w:t xml:space="preserve">(In Word: right-click the table of contents and choose "Update Field" to populate page numbers.)</w:t>
      </w:r>
    </w:p>
    <w:p>
      <w:r>
        <w:br w:type="page"/>
      </w:r>
    </w:p>
    <w:p>
      <w:pPr>
        <w:pStyle w:val="Heading1"/>
        <w:spacing w:after="160" w:before="320"/>
      </w:pPr>
      <w:r>
        <w:t xml:space="preserve">1. What Comparator Is</w:t>
      </w:r>
    </w:p>
    <w:p>
      <w:pPr>
        <w:spacing w:after="120"/>
      </w:pPr>
      <w:r>
        <w:t xml:space="preserve">Comparator is a </w:t>
      </w:r>
      <w:r>
        <w:rPr>
          <w:b/>
          <w:bCs/>
        </w:rPr>
        <w:t xml:space="preserve">Configuration Status Accounting (CSA)</w:t>
      </w:r>
      <w:r>
        <w:t xml:space="preserve"> tool. It answers the fundamental configuration-management question for a build program: </w:t>
      </w:r>
      <w:r>
        <w:rPr>
          <w:b/>
          <w:bCs/>
        </w:rPr>
        <w:t xml:space="preserve">does what we built match what we designed, and can we prove it?</w:t>
      </w:r>
      <w:r>
        <w:t xml:space="preserve"> It does this by reconciling your Engineering Bill of Materials (the design) against your Manufacturing Bill of Materials (the plan) and your As-Built Bill of Materials (the physical record), then layering in change history, work orders, nonconformances, variances, and your Configuration Items list.</w:t>
      </w:r>
    </w:p>
    <w:p>
      <w:pPr>
        <w:spacing w:after="120"/>
      </w:pPr>
      <w:r>
        <w:t xml:space="preserve">The tool is a </w:t>
      </w:r>
      <w:r>
        <w:rPr>
          <w:b/>
          <w:bCs/>
        </w:rPr>
        <w:t xml:space="preserve">single file that runs entirely in your web browser</w:t>
      </w:r>
      <w:r>
        <w:t xml:space="preserve">. Nothing is uploaded to any server — your BOMs never leave your computer. There is no installation: open the HTML file in a modern browser (Chrome or Edge recommended) and you are running it. It works with no network connection at all.</w:t>
      </w:r>
    </w:p>
    <w:p>
      <w:pPr>
        <w:pStyle w:val="Heading3"/>
        <w:spacing w:after="100" w:before="180"/>
      </w:pPr>
      <w:r>
        <w:t xml:space="preserve">The one-sentence version of what it computes</w:t>
      </w:r>
    </w:p>
    <w:p>
      <w:pPr>
        <w:spacing w:after="120"/>
      </w:pPr>
      <w:r>
        <w:t xml:space="preserve">For every line in your EBOM, Comparator asks: </w:t>
      </w:r>
      <w:r>
        <w:rPr>
          <w:i/>
          <w:iCs/>
        </w:rPr>
        <w:t xml:space="preserve">is this part accounted for in the plan (MBOM), and physically embodied in the article (ABOM) — directly, as a parent assembly, or through a reconciled ancestor — in the right quantity, under closed work orders?</w:t>
      </w:r>
      <w:r>
        <w:t xml:space="preserve"> Everything on the dashboard is some rollup or breakdown of that question.</w:t>
      </w:r>
    </w:p>
    <w:p>
      <w:pPr>
        <w:pStyle w:val="Heading1"/>
        <w:spacing w:after="160" w:before="320"/>
      </w:pPr>
      <w:r>
        <w:t xml:space="preserve">2. Quick Start</w:t>
      </w:r>
    </w:p>
    <w:p>
      <w:pPr>
        <w:pStyle w:val="ListParagraph"/>
        <w:numPr>
          <w:ilvl w:val="0"/>
          <w:numId w:val="2"/>
        </w:numPr>
        <w:spacing w:after="80"/>
      </w:pPr>
      <w:r>
        <w:rPr>
          <w:b/>
          <w:bCs/>
        </w:rPr>
        <w:t xml:space="preserve">Open the HTML file</w:t>
      </w:r>
      <w:r>
        <w:t xml:space="preserve"> in Chrome or Edge.</w:t>
      </w:r>
    </w:p>
    <w:p>
      <w:pPr>
        <w:pStyle w:val="ListParagraph"/>
        <w:numPr>
          <w:ilvl w:val="0"/>
          <w:numId w:val="2"/>
        </w:numPr>
        <w:spacing w:after="80"/>
      </w:pPr>
      <w:r>
        <w:rPr>
          <w:b/>
          <w:bCs/>
        </w:rPr>
        <w:t xml:space="preserve">Choose a comparison mode</w:t>
      </w:r>
      <w:r>
        <w:t xml:space="preserve"> (EBOM↔MBOM, EBOM↔ABOM, MBOM↔ABOM, or the combined three-way). The mode controls which upload zones are active.</w:t>
      </w:r>
    </w:p>
    <w:p>
      <w:pPr>
        <w:pStyle w:val="ListParagraph"/>
        <w:numPr>
          <w:ilvl w:val="0"/>
          <w:numId w:val="2"/>
        </w:numPr>
        <w:spacing w:after="80"/>
      </w:pPr>
      <w:r>
        <w:rPr>
          <w:b/>
          <w:bCs/>
        </w:rPr>
        <w:t xml:space="preserve">Load your files</w:t>
      </w:r>
      <w:r>
        <w:t xml:space="preserve"> into the upload zones (Section 01). At minimum, load the two or three BOMs your mode requires. Add CP, WO5, NCR, CI, RFV, and ACN files for richer traceability — each unlocks additional columns, cards, and reports.</w:t>
      </w:r>
    </w:p>
    <w:p>
      <w:pPr>
        <w:pStyle w:val="ListParagraph"/>
        <w:numPr>
          <w:ilvl w:val="0"/>
          <w:numId w:val="2"/>
        </w:numPr>
        <w:spacing w:after="80"/>
      </w:pPr>
      <w:r>
        <w:rPr>
          <w:b/>
          <w:bCs/>
        </w:rPr>
        <w:t xml:space="preserve">Check the column mapping</w:t>
      </w:r>
      <w:r>
        <w:t xml:space="preserve"> if your files use a non-standard layout (see 3.2).</w:t>
      </w:r>
    </w:p>
    <w:p>
      <w:pPr>
        <w:pStyle w:val="ListParagraph"/>
        <w:numPr>
          <w:ilvl w:val="0"/>
          <w:numId w:val="2"/>
        </w:numPr>
        <w:spacing w:after="80"/>
      </w:pPr>
      <w:r>
        <w:rPr>
          <w:b/>
          <w:bCs/>
        </w:rPr>
        <w:t xml:space="preserve">Run the comparison.</w:t>
      </w:r>
      <w:r>
        <w:t xml:space="preserve"> The KPI sections, charts, and the Detailed View table populate.</w:t>
      </w:r>
    </w:p>
    <w:p>
      <w:pPr>
        <w:pStyle w:val="ListParagraph"/>
        <w:numPr>
          <w:ilvl w:val="0"/>
          <w:numId w:val="2"/>
        </w:numPr>
        <w:spacing w:after="80"/>
      </w:pPr>
      <w:r>
        <w:rPr>
          <w:b/>
          <w:bCs/>
        </w:rPr>
        <w:t xml:space="preserve">Read the dashboard</w:t>
      </w:r>
      <w:r>
        <w:t xml:space="preserve"> top-down: headline percentages first, then the issue cards, then drill into anything by clicking its card, and finally work the row-level detail in Section 03.</w:t>
      </w:r>
    </w:p>
    <w:p>
      <w:pPr>
        <w:pStyle w:val="ListParagraph"/>
        <w:numPr>
          <w:ilvl w:val="0"/>
          <w:numId w:val="2"/>
        </w:numPr>
        <w:spacing w:after="80"/>
      </w:pPr>
      <w:r>
        <w:rPr>
          <w:b/>
          <w:bCs/>
        </w:rPr>
        <w:t xml:space="preserve">Export</w:t>
      </w:r>
      <w:r>
        <w:t xml:space="preserve"> what you need (Section 9) and </w:t>
      </w:r>
      <w:r>
        <w:rPr>
          <w:b/>
          <w:bCs/>
        </w:rPr>
        <w:t xml:space="preserve">save your session</w:t>
      </w:r>
      <w:r>
        <w:t xml:space="preserve"> (Section 10) so you can return to exactly this state later.</w:t>
      </w:r>
    </w:p>
    <w:p>
      <w:pPr>
        <w:pStyle w:val="Heading1"/>
        <w:spacing w:after="160" w:before="320"/>
      </w:pPr>
      <w:r>
        <w:t xml:space="preserve">3. Loading Your Data</w:t>
      </w:r>
    </w:p>
    <w:p>
      <w:pPr>
        <w:pStyle w:val="Heading2"/>
        <w:spacing w:after="120" w:before="240"/>
      </w:pPr>
      <w:r>
        <w:t xml:space="preserve">3.1 The nine data sources</w:t>
      </w:r>
    </w:p>
    <w:p>
      <w:pPr>
        <w:spacing w:after="120"/>
      </w:pPr>
      <w:r>
        <w:t xml:space="preserve">Each upload zone accepts an Excel file. The three BOMs drive the reconciliation; the other six enrich it. A zone that your comparison mode does not use is disabled.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160"/>
      </w:tblGrid>
      <w:tr>
        <w:trPr>
          <w:tblHeader/>
        </w:trPr>
        <w:tc>
          <w:tcPr>
            <w:tcW w:type="dxa" w:w="900"/>
            <w:shd w:fill="E8EAF0" w:val="clear"/>
            <w:tcMar>
              <w:top w:type="dxa" w:w="60"/>
              <w:left w:type="dxa" w:w="100"/>
              <w:bottom w:type="dxa" w:w="60"/>
              <w:right w:type="dxa" w:w="100"/>
            </w:tcMar>
          </w:tcPr>
          <w:p>
            <w:pPr>
              <w:spacing w:after="0"/>
            </w:pPr>
            <w:r>
              <w:t xml:space="preserve">Zone</w:t>
            </w:r>
          </w:p>
        </w:tc>
        <w:tc>
          <w:tcPr>
            <w:tcW w:type="dxa" w:w="2300"/>
            <w:shd w:fill="E8EAF0" w:val="clear"/>
            <w:tcMar>
              <w:top w:type="dxa" w:w="60"/>
              <w:left w:type="dxa" w:w="100"/>
              <w:bottom w:type="dxa" w:w="60"/>
              <w:right w:type="dxa" w:w="100"/>
            </w:tcMar>
          </w:tcPr>
          <w:p>
            <w:pPr>
              <w:spacing w:after="0"/>
            </w:pPr>
            <w:r>
              <w:t xml:space="preserve">File</w:t>
            </w:r>
          </w:p>
        </w:tc>
        <w:tc>
          <w:tcPr>
            <w:tcW w:type="dxa" w:w="6160"/>
            <w:shd w:fill="E8EAF0" w:val="clear"/>
            <w:tcMar>
              <w:top w:type="dxa" w:w="60"/>
              <w:left w:type="dxa" w:w="100"/>
              <w:bottom w:type="dxa" w:w="60"/>
              <w:right w:type="dxa" w:w="100"/>
            </w:tcMar>
          </w:tcPr>
          <w:p>
            <w:pPr>
              <w:spacing w:after="0"/>
            </w:pPr>
            <w:r>
              <w:t xml:space="preserve">What it contributes</w:t>
            </w:r>
          </w:p>
        </w:tc>
      </w:tr>
      <w:tr>
        <w:tc>
          <w:tcPr>
            <w:tcW w:type="dxa" w:w="900"/>
            <w:tcMar>
              <w:top w:type="dxa" w:w="60"/>
              <w:left w:type="dxa" w:w="100"/>
              <w:bottom w:type="dxa" w:w="60"/>
              <w:right w:type="dxa" w:w="100"/>
            </w:tcMar>
          </w:tcPr>
          <w:p>
            <w:pPr>
              <w:spacing w:after="0"/>
            </w:pPr>
            <w:r>
              <w:t xml:space="preserve">EBOM</w:t>
            </w:r>
          </w:p>
        </w:tc>
        <w:tc>
          <w:tcPr>
            <w:tcW w:type="dxa" w:w="2300"/>
            <w:tcMar>
              <w:top w:type="dxa" w:w="60"/>
              <w:left w:type="dxa" w:w="100"/>
              <w:bottom w:type="dxa" w:w="60"/>
              <w:right w:type="dxa" w:w="100"/>
            </w:tcMar>
          </w:tcPr>
          <w:p>
            <w:pPr>
              <w:spacing w:after="0"/>
            </w:pPr>
            <w:r>
              <w:t xml:space="preserve">Engineering BOM</w:t>
            </w:r>
          </w:p>
        </w:tc>
        <w:tc>
          <w:tcPr>
            <w:tcW w:type="dxa" w:w="6160"/>
            <w:tcMar>
              <w:top w:type="dxa" w:w="60"/>
              <w:left w:type="dxa" w:w="100"/>
              <w:bottom w:type="dxa" w:w="60"/>
              <w:right w:type="dxa" w:w="100"/>
            </w:tcMar>
          </w:tcPr>
          <w:p>
            <w:pPr>
              <w:spacing w:after="0"/>
            </w:pPr>
            <w:r>
              <w:t xml:space="preserve">The as-designed baseline. Every reconciliation is anchored to EBOM line items.</w:t>
            </w:r>
          </w:p>
        </w:tc>
      </w:tr>
      <w:tr>
        <w:tc>
          <w:tcPr>
            <w:tcW w:type="dxa" w:w="900"/>
            <w:tcMar>
              <w:top w:type="dxa" w:w="60"/>
              <w:left w:type="dxa" w:w="100"/>
              <w:bottom w:type="dxa" w:w="60"/>
              <w:right w:type="dxa" w:w="100"/>
            </w:tcMar>
          </w:tcPr>
          <w:p>
            <w:pPr>
              <w:spacing w:after="0"/>
            </w:pPr>
            <w:r>
              <w:t xml:space="preserve">MBOM</w:t>
            </w:r>
          </w:p>
        </w:tc>
        <w:tc>
          <w:tcPr>
            <w:tcW w:type="dxa" w:w="2300"/>
            <w:tcMar>
              <w:top w:type="dxa" w:w="60"/>
              <w:left w:type="dxa" w:w="100"/>
              <w:bottom w:type="dxa" w:w="60"/>
              <w:right w:type="dxa" w:w="100"/>
            </w:tcMar>
          </w:tcPr>
          <w:p>
            <w:pPr>
              <w:spacing w:after="0"/>
            </w:pPr>
            <w:r>
              <w:t xml:space="preserve">Manufacturing BOM</w:t>
            </w:r>
          </w:p>
        </w:tc>
        <w:tc>
          <w:tcPr>
            <w:tcW w:type="dxa" w:w="6160"/>
            <w:tcMar>
              <w:top w:type="dxa" w:w="60"/>
              <w:left w:type="dxa" w:w="100"/>
              <w:bottom w:type="dxa" w:w="60"/>
              <w:right w:type="dxa" w:w="100"/>
            </w:tcMar>
          </w:tcPr>
          <w:p>
            <w:pPr>
              <w:spacing w:after="0"/>
            </w:pPr>
            <w:r>
              <w:t xml:space="preserve">The as-planned build structure. Answers "was it planned?"</w:t>
            </w:r>
          </w:p>
        </w:tc>
      </w:tr>
      <w:tr>
        <w:tc>
          <w:tcPr>
            <w:tcW w:type="dxa" w:w="900"/>
            <w:tcMar>
              <w:top w:type="dxa" w:w="60"/>
              <w:left w:type="dxa" w:w="100"/>
              <w:bottom w:type="dxa" w:w="60"/>
              <w:right w:type="dxa" w:w="100"/>
            </w:tcMar>
          </w:tcPr>
          <w:p>
            <w:pPr>
              <w:spacing w:after="0"/>
            </w:pPr>
            <w:r>
              <w:t xml:space="preserve">ABOM</w:t>
            </w:r>
          </w:p>
        </w:tc>
        <w:tc>
          <w:tcPr>
            <w:tcW w:type="dxa" w:w="2300"/>
            <w:tcMar>
              <w:top w:type="dxa" w:w="60"/>
              <w:left w:type="dxa" w:w="100"/>
              <w:bottom w:type="dxa" w:w="60"/>
              <w:right w:type="dxa" w:w="100"/>
            </w:tcMar>
          </w:tcPr>
          <w:p>
            <w:pPr>
              <w:spacing w:after="0"/>
            </w:pPr>
            <w:r>
              <w:t xml:space="preserve">As-Built BOM</w:t>
            </w:r>
          </w:p>
        </w:tc>
        <w:tc>
          <w:tcPr>
            <w:tcW w:type="dxa" w:w="6160"/>
            <w:tcMar>
              <w:top w:type="dxa" w:w="60"/>
              <w:left w:type="dxa" w:w="100"/>
              <w:bottom w:type="dxa" w:w="60"/>
              <w:right w:type="dxa" w:w="100"/>
            </w:tcMar>
          </w:tcPr>
          <w:p>
            <w:pPr>
              <w:spacing w:after="0"/>
            </w:pPr>
            <w:r>
              <w:t xml:space="preserve">The as-built record. Answers "was it physically embodied, and under what work orders?"</w:t>
            </w:r>
          </w:p>
        </w:tc>
      </w:tr>
      <w:tr>
        <w:tc>
          <w:tcPr>
            <w:tcW w:type="dxa" w:w="900"/>
            <w:tcMar>
              <w:top w:type="dxa" w:w="60"/>
              <w:left w:type="dxa" w:w="100"/>
              <w:bottom w:type="dxa" w:w="60"/>
              <w:right w:type="dxa" w:w="100"/>
            </w:tcMar>
          </w:tcPr>
          <w:p>
            <w:pPr>
              <w:spacing w:after="0"/>
            </w:pPr>
            <w:r>
              <w:t xml:space="preserve">CP</w:t>
            </w:r>
          </w:p>
        </w:tc>
        <w:tc>
          <w:tcPr>
            <w:tcW w:type="dxa" w:w="2300"/>
            <w:tcMar>
              <w:top w:type="dxa" w:w="60"/>
              <w:left w:type="dxa" w:w="100"/>
              <w:bottom w:type="dxa" w:w="60"/>
              <w:right w:type="dxa" w:w="100"/>
            </w:tcMar>
          </w:tcPr>
          <w:p>
            <w:pPr>
              <w:spacing w:after="0"/>
            </w:pPr>
            <w:r>
              <w:t xml:space="preserve">Change Pedigree</w:t>
            </w:r>
          </w:p>
        </w:tc>
        <w:tc>
          <w:tcPr>
            <w:tcW w:type="dxa" w:w="6160"/>
            <w:tcMar>
              <w:top w:type="dxa" w:w="60"/>
              <w:left w:type="dxa" w:w="100"/>
              <w:bottom w:type="dxa" w:w="60"/>
              <w:right w:type="dxa" w:w="100"/>
            </w:tcMar>
          </w:tcPr>
          <w:p>
            <w:pPr>
              <w:spacing w:after="0"/>
            </w:pPr>
            <w:r>
              <w:t xml:space="preserve">DCN / ECN / ECR change history traced to part numbers; feeds the Drawing and change columns.</w:t>
            </w:r>
          </w:p>
        </w:tc>
      </w:tr>
      <w:tr>
        <w:tc>
          <w:tcPr>
            <w:tcW w:type="dxa" w:w="900"/>
            <w:tcMar>
              <w:top w:type="dxa" w:w="60"/>
              <w:left w:type="dxa" w:w="100"/>
              <w:bottom w:type="dxa" w:w="60"/>
              <w:right w:type="dxa" w:w="100"/>
            </w:tcMar>
          </w:tcPr>
          <w:p>
            <w:pPr>
              <w:spacing w:after="0"/>
            </w:pPr>
            <w:r>
              <w:t xml:space="preserve">WO5</w:t>
            </w:r>
          </w:p>
        </w:tc>
        <w:tc>
          <w:tcPr>
            <w:tcW w:type="dxa" w:w="2300"/>
            <w:tcMar>
              <w:top w:type="dxa" w:w="60"/>
              <w:left w:type="dxa" w:w="100"/>
              <w:bottom w:type="dxa" w:w="60"/>
              <w:right w:type="dxa" w:w="100"/>
            </w:tcMar>
          </w:tcPr>
          <w:p>
            <w:pPr>
              <w:spacing w:after="0"/>
            </w:pPr>
            <w:r>
              <w:t xml:space="preserve">Installed/Removed Report</w:t>
            </w:r>
          </w:p>
        </w:tc>
        <w:tc>
          <w:tcPr>
            <w:tcW w:type="dxa" w:w="6160"/>
            <w:tcMar>
              <w:top w:type="dxa" w:w="60"/>
              <w:left w:type="dxa" w:w="100"/>
              <w:bottom w:type="dxa" w:w="60"/>
              <w:right w:type="dxa" w:w="100"/>
            </w:tcMar>
          </w:tcPr>
          <w:p>
            <w:pPr>
              <w:spacing w:after="0"/>
            </w:pPr>
            <w:r>
              <w:t xml:space="preserve">Work-order install/remove actions with serials and dates.</w:t>
            </w:r>
          </w:p>
        </w:tc>
      </w:tr>
      <w:tr>
        <w:tc>
          <w:tcPr>
            <w:tcW w:type="dxa" w:w="900"/>
            <w:tcMar>
              <w:top w:type="dxa" w:w="60"/>
              <w:left w:type="dxa" w:w="100"/>
              <w:bottom w:type="dxa" w:w="60"/>
              <w:right w:type="dxa" w:w="100"/>
            </w:tcMar>
          </w:tcPr>
          <w:p>
            <w:pPr>
              <w:spacing w:after="0"/>
            </w:pPr>
            <w:r>
              <w:t xml:space="preserve">NCR</w:t>
            </w:r>
          </w:p>
        </w:tc>
        <w:tc>
          <w:tcPr>
            <w:tcW w:type="dxa" w:w="2300"/>
            <w:tcMar>
              <w:top w:type="dxa" w:w="60"/>
              <w:left w:type="dxa" w:w="100"/>
              <w:bottom w:type="dxa" w:w="60"/>
              <w:right w:type="dxa" w:w="100"/>
            </w:tcMar>
          </w:tcPr>
          <w:p>
            <w:pPr>
              <w:spacing w:after="0"/>
            </w:pPr>
            <w:r>
              <w:t xml:space="preserve">Nonconformance Records</w:t>
            </w:r>
          </w:p>
        </w:tc>
        <w:tc>
          <w:tcPr>
            <w:tcW w:type="dxa" w:w="6160"/>
            <w:tcMar>
              <w:top w:type="dxa" w:w="60"/>
              <w:left w:type="dxa" w:w="100"/>
              <w:bottom w:type="dxa" w:w="60"/>
              <w:right w:type="dxa" w:w="100"/>
            </w:tcMar>
          </w:tcPr>
          <w:p>
            <w:pPr>
              <w:spacing w:after="0"/>
            </w:pPr>
            <w:r>
              <w:t xml:space="preserve">Discrepant parts, dispositions, cause and defect codes; feeds the NCR columns, charts, and CI cards.</w:t>
            </w:r>
          </w:p>
        </w:tc>
      </w:tr>
      <w:tr>
        <w:tc>
          <w:tcPr>
            <w:tcW w:type="dxa" w:w="900"/>
            <w:tcMar>
              <w:top w:type="dxa" w:w="60"/>
              <w:left w:type="dxa" w:w="100"/>
              <w:bottom w:type="dxa" w:w="60"/>
              <w:right w:type="dxa" w:w="100"/>
            </w:tcMar>
          </w:tcPr>
          <w:p>
            <w:pPr>
              <w:spacing w:after="0"/>
            </w:pPr>
            <w:r>
              <w:t xml:space="preserve">CI</w:t>
            </w:r>
          </w:p>
        </w:tc>
        <w:tc>
          <w:tcPr>
            <w:tcW w:type="dxa" w:w="2300"/>
            <w:tcMar>
              <w:top w:type="dxa" w:w="60"/>
              <w:left w:type="dxa" w:w="100"/>
              <w:bottom w:type="dxa" w:w="60"/>
              <w:right w:type="dxa" w:w="100"/>
            </w:tcMar>
          </w:tcPr>
          <w:p>
            <w:pPr>
              <w:spacing w:after="0"/>
            </w:pPr>
            <w:r>
              <w:t xml:space="preserve">Configuration Items List</w:t>
            </w:r>
          </w:p>
        </w:tc>
        <w:tc>
          <w:tcPr>
            <w:tcW w:type="dxa" w:w="6160"/>
            <w:tcMar>
              <w:top w:type="dxa" w:w="60"/>
              <w:left w:type="dxa" w:w="100"/>
              <w:bottom w:type="dxa" w:w="60"/>
              <w:right w:type="dxa" w:w="100"/>
            </w:tcMar>
          </w:tcPr>
          <w:p>
            <w:pPr>
              <w:spacing w:after="0"/>
            </w:pPr>
            <w:r>
              <w:t xml:space="preserve">The acquirer-designated CI list (CI ID, PN, Next Higher). Unlocks the entire CI Status section.</w:t>
            </w:r>
          </w:p>
        </w:tc>
      </w:tr>
      <w:tr>
        <w:tc>
          <w:tcPr>
            <w:tcW w:type="dxa" w:w="900"/>
            <w:tcMar>
              <w:top w:type="dxa" w:w="60"/>
              <w:left w:type="dxa" w:w="100"/>
              <w:bottom w:type="dxa" w:w="60"/>
              <w:right w:type="dxa" w:w="100"/>
            </w:tcMar>
          </w:tcPr>
          <w:p>
            <w:pPr>
              <w:spacing w:after="0"/>
            </w:pPr>
            <w:r>
              <w:t xml:space="preserve">RFV</w:t>
            </w:r>
          </w:p>
        </w:tc>
        <w:tc>
          <w:tcPr>
            <w:tcW w:type="dxa" w:w="2300"/>
            <w:tcMar>
              <w:top w:type="dxa" w:w="60"/>
              <w:left w:type="dxa" w:w="100"/>
              <w:bottom w:type="dxa" w:w="60"/>
              <w:right w:type="dxa" w:w="100"/>
            </w:tcMar>
          </w:tcPr>
          <w:p>
            <w:pPr>
              <w:spacing w:after="0"/>
            </w:pPr>
            <w:r>
              <w:t xml:space="preserve">Request for Variance</w:t>
            </w:r>
          </w:p>
        </w:tc>
        <w:tc>
          <w:tcPr>
            <w:tcW w:type="dxa" w:w="6160"/>
            <w:tcMar>
              <w:top w:type="dxa" w:w="60"/>
              <w:left w:type="dxa" w:w="100"/>
              <w:bottom w:type="dxa" w:w="60"/>
              <w:right w:type="dxa" w:w="100"/>
            </w:tcMar>
          </w:tcPr>
          <w:p>
            <w:pPr>
              <w:spacing w:after="0"/>
            </w:pPr>
            <w:r>
              <w:t xml:space="preserve">Approved deviations/waivers. Unlocks RFV coverage cards and the RFV report.</w:t>
            </w:r>
          </w:p>
        </w:tc>
      </w:tr>
      <w:tr>
        <w:tc>
          <w:tcPr>
            <w:tcW w:type="dxa" w:w="900"/>
            <w:tcMar>
              <w:top w:type="dxa" w:w="60"/>
              <w:left w:type="dxa" w:w="100"/>
              <w:bottom w:type="dxa" w:w="60"/>
              <w:right w:type="dxa" w:w="100"/>
            </w:tcMar>
          </w:tcPr>
          <w:p>
            <w:pPr>
              <w:spacing w:after="0"/>
            </w:pPr>
            <w:r>
              <w:t xml:space="preserve">ACN</w:t>
            </w:r>
          </w:p>
        </w:tc>
        <w:tc>
          <w:tcPr>
            <w:tcW w:type="dxa" w:w="2300"/>
            <w:tcMar>
              <w:top w:type="dxa" w:w="60"/>
              <w:left w:type="dxa" w:w="100"/>
              <w:bottom w:type="dxa" w:w="60"/>
              <w:right w:type="dxa" w:w="100"/>
            </w:tcMar>
          </w:tcPr>
          <w:p>
            <w:pPr>
              <w:spacing w:after="0"/>
            </w:pPr>
            <w:r>
              <w:t xml:space="preserve">Authorized Clearance Notice</w:t>
            </w:r>
          </w:p>
        </w:tc>
        <w:tc>
          <w:tcPr>
            <w:tcW w:type="dxa" w:w="6160"/>
            <w:tcMar>
              <w:top w:type="dxa" w:w="60"/>
              <w:left w:type="dxa" w:w="100"/>
              <w:bottom w:type="dxa" w:w="60"/>
              <w:right w:type="dxa" w:w="100"/>
            </w:tcMar>
          </w:tcPr>
          <w:p>
            <w:pPr>
              <w:spacing w:after="0"/>
            </w:pPr>
            <w:r>
              <w:t xml:space="preserve">Qualification/conditional-use status. Unlocks the ACN section and report.</w:t>
            </w:r>
          </w:p>
        </w:tc>
      </w:tr>
    </w:tbl>
    <w:p>
      <w:pPr>
        <w:pStyle w:val="Heading2"/>
        <w:spacing w:after="120" w:before="240"/>
      </w:pPr>
      <w:r>
        <w:t xml:space="preserve">3.2 Column mappings</w:t>
      </w:r>
    </w:p>
    <w:p>
      <w:pPr>
        <w:spacing w:after="120"/>
      </w:pPr>
      <w:r>
        <w:t xml:space="preserve">EBOM and ABOM support preset layouts (</w:t>
      </w:r>
      <w:r>
        <w:rPr>
          <w:b/>
          <w:bCs/>
        </w:rPr>
        <w:t xml:space="preserve">Mapping 1</w:t>
      </w:r>
      <w:r>
        <w:t xml:space="preserve">, </w:t>
      </w:r>
      <w:r>
        <w:rPr>
          <w:b/>
          <w:bCs/>
        </w:rPr>
        <w:t xml:space="preserve">Mapping 2</w:t>
      </w:r>
      <w:r>
        <w:t xml:space="preserve">) and a </w:t>
      </w:r>
      <w:r>
        <w:rPr>
          <w:b/>
          <w:bCs/>
        </w:rPr>
        <w:t xml:space="preserve">Manual</w:t>
      </w:r>
      <w:r>
        <w:t xml:space="preserve"> remapper; MBOM, CP, NCR, and ACN support a Default layout plus a Manual map. If your file’s columns are in different positions than the default, set the mapping before running — the tool reads by position, not by header name. Your chosen mappings are saved and restored with the session.</w:t>
      </w:r>
    </w:p>
    <w:p>
      <w:pPr>
        <w:spacing w:after="120"/>
      </w:pPr>
      <w:r>
        <w:rPr>
          <w:i/>
          <w:iCs/>
        </w:rPr>
        <w:t xml:space="preserve">A note on documentation:</w:t>
      </w:r>
      <w:r>
        <w:t xml:space="preserve"> wherever this guide or the tool cites a column letter (for example "EBOM column D"), that letter describes the </w:t>
      </w:r>
      <w:r>
        <w:rPr>
          <w:b/>
          <w:bCs/>
        </w:rPr>
        <w:t xml:space="preserve">default Mapping 1 layout</w:t>
      </w:r>
      <w:r>
        <w:t xml:space="preserve">. If you use Mapping 2 or a manual map, the letters in your file will differ.</w:t>
      </w:r>
    </w:p>
    <w:p>
      <w:pPr>
        <w:pStyle w:val="Heading2"/>
        <w:spacing w:after="120" w:before="240"/>
      </w:pPr>
      <w:r>
        <w:t xml:space="preserve">3.3 Proc code behavior (ABOM)</w:t>
      </w:r>
    </w:p>
    <w:p>
      <w:pPr>
        <w:spacing w:after="120"/>
      </w:pPr>
      <w:r>
        <w:t xml:space="preserve">Every as-built row carries a </w:t>
      </w:r>
      <w:r>
        <w:rPr>
          <w:b/>
          <w:bCs/>
        </w:rPr>
        <w:t xml:space="preserve">proc code</w:t>
      </w:r>
      <w:r>
        <w:t xml:space="preserve"> that tells the engine what the row did to the build: added a part, removed one, or temporarily removed and reinstalled it. Comparator ships with the proc codes of the program it was originally built for. Other programs use different codes, so the set is editable.</w:t>
      </w:r>
    </w:p>
    <w:p>
      <w:pPr>
        <w:spacing w:after="120"/>
      </w:pPr>
      <w:r>
        <w:t xml:space="preserve">The </w:t>
      </w:r>
      <w:r>
        <w:rPr>
          <w:b/>
          <w:bCs/>
        </w:rPr>
        <w:t xml:space="preserve">Proc Code Behavior</w:t>
      </w:r>
      <w:r>
        <w:t xml:space="preserve"> panel sits directly beneath the three BOM upload zones. Load an ABOM and it lists every distinct proc code found in that file — deduplicated, so a code written inconsistently (BR, br, "BR ") appears once with the combined row count. Tag the codes that mean removal or swap. Everything you leave untagged is treated as an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E8EAF0" w:val="clear"/>
            <w:tcMar>
              <w:top w:type="dxa" w:w="60"/>
              <w:left w:type="dxa" w:w="100"/>
              <w:bottom w:type="dxa" w:w="60"/>
              <w:right w:type="dxa" w:w="100"/>
            </w:tcMar>
          </w:tcPr>
          <w:p>
            <w:pPr>
              <w:spacing w:after="0"/>
            </w:pPr>
            <w:r>
              <w:t xml:space="preserve">Behavior</w:t>
            </w:r>
          </w:p>
        </w:tc>
        <w:tc>
          <w:tcPr>
            <w:tcW w:type="dxa" w:w="7460"/>
            <w:shd w:fill="E8EAF0" w:val="clear"/>
            <w:tcMar>
              <w:top w:type="dxa" w:w="60"/>
              <w:left w:type="dxa" w:w="100"/>
              <w:bottom w:type="dxa" w:w="60"/>
              <w:right w:type="dxa" w:w="100"/>
            </w:tcMar>
          </w:tcPr>
          <w:p>
            <w:pPr>
              <w:spacing w:after="0"/>
            </w:pPr>
            <w:r>
              <w:t xml:space="preserve">What it means to the engine</w:t>
            </w:r>
          </w:p>
        </w:tc>
      </w:tr>
      <w:tr>
        <w:tc>
          <w:tcPr>
            <w:tcW w:type="dxa" w:w="1900"/>
            <w:tcMar>
              <w:top w:type="dxa" w:w="60"/>
              <w:left w:type="dxa" w:w="100"/>
              <w:bottom w:type="dxa" w:w="60"/>
              <w:right w:type="dxa" w:w="100"/>
            </w:tcMar>
          </w:tcPr>
          <w:p>
            <w:pPr>
              <w:spacing w:after="0"/>
            </w:pPr>
            <w:r>
              <w:rPr>
                <w:b/>
                <w:bCs/>
              </w:rPr>
              <w:t xml:space="preserve">Install</w:t>
            </w:r>
          </w:p>
        </w:tc>
        <w:tc>
          <w:tcPr>
            <w:tcW w:type="dxa" w:w="7460"/>
            <w:tcMar>
              <w:top w:type="dxa" w:w="60"/>
              <w:left w:type="dxa" w:w="100"/>
              <w:bottom w:type="dxa" w:w="60"/>
              <w:right w:type="dxa" w:w="100"/>
            </w:tcMar>
          </w:tcPr>
          <w:p>
            <w:pPr>
              <w:spacing w:after="0"/>
            </w:pPr>
            <w:r>
              <w:t xml:space="preserve">Adds its quantity to the build. This is the default for any code you do not tag, including codes the tool has never seen and rows with no proc code at all.</w:t>
            </w:r>
          </w:p>
        </w:tc>
      </w:tr>
      <w:tr>
        <w:tc>
          <w:tcPr>
            <w:tcW w:type="dxa" w:w="1900"/>
            <w:tcMar>
              <w:top w:type="dxa" w:w="60"/>
              <w:left w:type="dxa" w:w="100"/>
              <w:bottom w:type="dxa" w:w="60"/>
              <w:right w:type="dxa" w:w="100"/>
            </w:tcMar>
          </w:tcPr>
          <w:p>
            <w:pPr>
              <w:spacing w:after="0"/>
            </w:pPr>
            <w:r>
              <w:rPr>
                <w:b/>
                <w:bCs/>
              </w:rPr>
              <w:t xml:space="preserve">Remove</w:t>
            </w:r>
          </w:p>
        </w:tc>
        <w:tc>
          <w:tcPr>
            <w:tcW w:type="dxa" w:w="7460"/>
            <w:tcMar>
              <w:top w:type="dxa" w:w="60"/>
              <w:left w:type="dxa" w:w="100"/>
              <w:bottom w:type="dxa" w:w="60"/>
              <w:right w:type="dxa" w:w="100"/>
            </w:tcMar>
          </w:tcPr>
          <w:p>
            <w:pPr>
              <w:spacing w:after="0"/>
            </w:pPr>
            <w:r>
              <w:t xml:space="preserve">Subtracts its quantity. If every as-built record for a line is a removal, the line is flagged ⊘ Proc Removed and drops out of the embodied count.</w:t>
            </w:r>
          </w:p>
        </w:tc>
      </w:tr>
      <w:tr>
        <w:tc>
          <w:tcPr>
            <w:tcW w:type="dxa" w:w="1900"/>
            <w:tcMar>
              <w:top w:type="dxa" w:w="60"/>
              <w:left w:type="dxa" w:w="100"/>
              <w:bottom w:type="dxa" w:w="60"/>
              <w:right w:type="dxa" w:w="100"/>
            </w:tcMar>
          </w:tcPr>
          <w:p>
            <w:pPr>
              <w:spacing w:after="0"/>
            </w:pPr>
            <w:r>
              <w:rPr>
                <w:b/>
                <w:bCs/>
              </w:rPr>
              <w:t xml:space="preserve">Swap</w:t>
            </w:r>
          </w:p>
        </w:tc>
        <w:tc>
          <w:tcPr>
            <w:tcW w:type="dxa" w:w="7460"/>
            <w:tcMar>
              <w:top w:type="dxa" w:w="60"/>
              <w:left w:type="dxa" w:w="100"/>
              <w:bottom w:type="dxa" w:w="60"/>
              <w:right w:type="dxa" w:w="100"/>
            </w:tcMar>
          </w:tcPr>
          <w:p>
            <w:pPr>
              <w:spacing w:after="0"/>
            </w:pPr>
            <w:r>
              <w:t xml:space="preserve">Removed and reinstalled within the same work order — net zero. A line whose only records are swaps is treated as present, not removed.</w:t>
            </w:r>
          </w:p>
        </w:tc>
      </w:tr>
    </w:tbl>
    <w:p>
      <w:pPr>
        <w:spacing w:after="120"/>
      </w:pPr>
      <w:r>
        <w:t xml:space="preserve">The tool cannot tell a removal code from an install code by looking at it — only someone on the program knows. That is why untagged means install: it is the safe, unchanged default rather than a guess. Where the descriptions on a code’s rows read like removal instructions, the panel shows an advisory </w:t>
      </w:r>
      <w:r>
        <w:rPr>
          <w:b/>
          <w:bCs/>
        </w:rPr>
        <w:t xml:space="preserve">desc says removal</w:t>
      </w:r>
      <w:r>
        <w:t xml:space="preserve"> marker. It is a prompt to look, never applied automatically.</w:t>
      </w:r>
    </w:p>
    <w:p>
      <w:pPr>
        <w:spacing w:after="120"/>
      </w:pPr>
      <w:r>
        <w:t xml:space="preserve">Three things are worth knowing about how the panel behaves:</w:t>
      </w:r>
    </w:p>
    <w:p>
      <w:pPr>
        <w:pStyle w:val="ListParagraph"/>
        <w:numPr>
          <w:ilvl w:val="0"/>
          <w:numId w:val="2"/>
        </w:numPr>
        <w:spacing w:after="80"/>
      </w:pPr>
      <w:r>
        <w:rPr>
          <w:b/>
          <w:bCs/>
        </w:rPr>
        <w:t xml:space="preserve">Changes apply on the next run, not on upload.</w:t>
      </w:r>
      <w:r>
        <w:t xml:space="preserve"> Unlike a column mapping, proc codes are read when you press Run Comparison, so you never need to re-upload a file. If results are already on screen, the panel reminds you to run again.</w:t>
      </w:r>
    </w:p>
    <w:p>
      <w:pPr>
        <w:pStyle w:val="ListParagraph"/>
        <w:numPr>
          <w:ilvl w:val="0"/>
          <w:numId w:val="2"/>
        </w:numPr>
        <w:spacing w:after="80"/>
      </w:pPr>
      <w:r>
        <w:rPr>
          <w:b/>
          <w:bCs/>
        </w:rPr>
        <w:t xml:space="preserve">Your tagging travels with the session.</w:t>
      </w:r>
      <w:r>
        <w:t xml:space="preserve"> It is written into the session JSON and restored on import, so a re-imported session reproduces the same numbers. Reset returns to the shipped baseline.</w:t>
      </w:r>
    </w:p>
    <w:p>
      <w:pPr>
        <w:pStyle w:val="ListParagraph"/>
        <w:numPr>
          <w:ilvl w:val="0"/>
          <w:numId w:val="2"/>
        </w:numPr>
        <w:spacing w:after="80"/>
      </w:pPr>
      <w:r>
        <w:rPr>
          <w:b/>
          <w:bCs/>
        </w:rPr>
        <w:t xml:space="preserve">Non-default tagging is disclosed.</w:t>
      </w:r>
      <w:r>
        <w:t xml:space="preserve"> The panel header shows Program baseline or a profile name, the panel border turns amber, and the profile is stamped on the Audit Certificate sheet of the exports.</w:t>
      </w:r>
    </w:p>
    <w:p>
      <w:pPr>
        <w:spacing w:after="120"/>
      </w:pPr>
      <w:r>
        <w:rPr>
          <w:b/>
          <w:bCs/>
        </w:rPr>
        <w:t xml:space="preserve">Sharing a profile.</w:t>
      </w:r>
      <w:r>
        <w:t xml:space="preserve"> Rather than have everyone on a program tag the same codes independently — and risk disagreeing — one person can tag once and use </w:t>
      </w:r>
      <w:r>
        <w:rPr>
          <w:b/>
          <w:bCs/>
        </w:rPr>
        <w:t xml:space="preserve">⬇ Export profile</w:t>
      </w:r>
      <w:r>
        <w:t xml:space="preserve"> to write a small JSON file. Everyone else loads it with </w:t>
      </w:r>
      <w:r>
        <w:rPr>
          <w:b/>
          <w:bCs/>
        </w:rPr>
        <w:t xml:space="preserve">⬆ Load profile</w:t>
      </w:r>
      <w:r>
        <w:t xml:space="preserve"> and never sees the panel again. Profiles are plain files: no server, nothing stored in your browser.</w:t>
      </w:r>
    </w:p>
    <w:p>
      <w:pPr>
        <w:spacing w:after="120"/>
      </w:pPr>
      <w:r>
        <w:t xml:space="preserve">If your program uses the original code set, this panel needs no attention. Open it, confirm your codes are already tagged, and carry on.</w:t>
      </w:r>
    </w:p>
    <w:p>
      <w:pPr>
        <w:pStyle w:val="Heading2"/>
        <w:spacing w:after="120" w:before="240"/>
      </w:pPr>
      <w:r>
        <w:t xml:space="preserve">3.4 Comparison modes</w:t>
      </w:r>
    </w:p>
    <w:p>
      <w:pPr>
        <w:spacing w:after="120"/>
      </w:pPr>
      <w:r>
        <w:rPr>
          <w:b/>
          <w:bCs/>
        </w:rPr>
        <w:t xml:space="preserve">EBOM↔MBOM</w:t>
      </w:r>
      <w:r>
        <w:t xml:space="preserve"> measures planning coverage. </w:t>
      </w:r>
      <w:r>
        <w:rPr>
          <w:b/>
          <w:bCs/>
        </w:rPr>
        <w:t xml:space="preserve">EBOM↔ABOM</w:t>
      </w:r>
      <w:r>
        <w:t xml:space="preserve"> measures physical embodiment. </w:t>
      </w:r>
      <w:r>
        <w:rPr>
          <w:b/>
          <w:bCs/>
        </w:rPr>
        <w:t xml:space="preserve">EBOM↔MBOM↔ABOM</w:t>
      </w:r>
      <w:r>
        <w:t xml:space="preserve"> runs both against the same EBOM baseline. </w:t>
      </w:r>
      <w:r>
        <w:rPr>
          <w:b/>
          <w:bCs/>
        </w:rPr>
        <w:t xml:space="preserve">MBOM↔ABOM</w:t>
      </w:r>
      <w:r>
        <w:t xml:space="preserve"> compares plan to build without a design anchor; in this mode the EBOM-anchored passes and sections are disabled.</w:t>
      </w:r>
    </w:p>
    <w:p>
      <w:pPr>
        <w:pStyle w:val="Heading1"/>
        <w:spacing w:after="160" w:before="320"/>
      </w:pPr>
      <w:r>
        <w:t xml:space="preserve">4. How the Reconciliation Works (Read This Once)</w:t>
      </w:r>
    </w:p>
    <w:p>
      <w:pPr>
        <w:spacing w:after="120"/>
      </w:pPr>
      <w:r>
        <w:t xml:space="preserve">Five ideas explain almost everything you will see on screen. Ten minutes here saves hours of misreading later.</w:t>
      </w:r>
    </w:p>
    <w:p>
      <w:pPr>
        <w:pStyle w:val="Heading2"/>
        <w:spacing w:after="120" w:before="240"/>
      </w:pPr>
      <w:r>
        <w:t xml:space="preserve">4.1 The three passes</w:t>
      </w:r>
    </w:p>
    <w:p>
      <w:pPr>
        <w:spacing w:after="120"/>
      </w:pPr>
      <w:r>
        <w:t xml:space="preserve">Every active EBOM line item is tested three independent ways against the target BOM. An item can satisfy more than one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shd w:fill="E8EAF0" w:val="clear"/>
            <w:tcMar>
              <w:top w:type="dxa" w:w="60"/>
              <w:left w:type="dxa" w:w="100"/>
              <w:bottom w:type="dxa" w:w="60"/>
              <w:right w:type="dxa" w:w="100"/>
            </w:tcMar>
          </w:tcPr>
          <w:p>
            <w:pPr>
              <w:spacing w:after="0"/>
            </w:pPr>
            <w:r>
              <w:t xml:space="preserve">Pass</w:t>
            </w:r>
          </w:p>
        </w:tc>
        <w:tc>
          <w:tcPr>
            <w:tcW w:type="dxa" w:w="3700"/>
            <w:shd w:fill="E8EAF0" w:val="clear"/>
            <w:tcMar>
              <w:top w:type="dxa" w:w="60"/>
              <w:left w:type="dxa" w:w="100"/>
              <w:bottom w:type="dxa" w:w="60"/>
              <w:right w:type="dxa" w:w="100"/>
            </w:tcMar>
          </w:tcPr>
          <w:p>
            <w:pPr>
              <w:spacing w:after="0"/>
            </w:pPr>
            <w:r>
              <w:t xml:space="preserve">Question it asks</w:t>
            </w:r>
          </w:p>
        </w:tc>
        <w:tc>
          <w:tcPr>
            <w:tcW w:type="dxa" w:w="3960"/>
            <w:shd w:fill="E8EAF0" w:val="clear"/>
            <w:tcMar>
              <w:top w:type="dxa" w:w="60"/>
              <w:left w:type="dxa" w:w="100"/>
              <w:bottom w:type="dxa" w:w="60"/>
              <w:right w:type="dxa" w:w="100"/>
            </w:tcMar>
          </w:tcPr>
          <w:p>
            <w:pPr>
              <w:spacing w:after="0"/>
            </w:pPr>
            <w:r>
              <w:t xml:space="preserve">Plain reading</w:t>
            </w:r>
          </w:p>
        </w:tc>
      </w:tr>
      <w:tr>
        <w:tc>
          <w:tcPr>
            <w:tcW w:type="dxa" w:w="1700"/>
            <w:tcMar>
              <w:top w:type="dxa" w:w="60"/>
              <w:left w:type="dxa" w:w="100"/>
              <w:bottom w:type="dxa" w:w="60"/>
              <w:right w:type="dxa" w:w="100"/>
            </w:tcMar>
          </w:tcPr>
          <w:p>
            <w:pPr>
              <w:spacing w:after="0"/>
            </w:pPr>
            <w:r>
              <w:t xml:space="preserve">Pass 1 — Direct</w:t>
            </w:r>
          </w:p>
        </w:tc>
        <w:tc>
          <w:tcPr>
            <w:tcW w:type="dxa" w:w="3700"/>
            <w:tcMar>
              <w:top w:type="dxa" w:w="60"/>
              <w:left w:type="dxa" w:w="100"/>
              <w:bottom w:type="dxa" w:w="60"/>
              <w:right w:type="dxa" w:w="100"/>
            </w:tcMar>
          </w:tcPr>
          <w:p>
            <w:pPr>
              <w:spacing w:after="0"/>
            </w:pPr>
            <w:r>
              <w:t xml:space="preserve">Does an exact Part Number + Next Higher match exist, with sufficient quantity?</w:t>
            </w:r>
          </w:p>
        </w:tc>
        <w:tc>
          <w:tcPr>
            <w:tcW w:type="dxa" w:w="3960"/>
            <w:tcMar>
              <w:top w:type="dxa" w:w="60"/>
              <w:left w:type="dxa" w:w="100"/>
              <w:bottom w:type="dxa" w:w="60"/>
              <w:right w:type="dxa" w:w="100"/>
            </w:tcMar>
          </w:tcPr>
          <w:p>
            <w:pPr>
              <w:spacing w:after="0"/>
            </w:pPr>
            <w:r>
              <w:t xml:space="preserve">The part is there, as its own line, where the design says, in the right amount.</w:t>
            </w:r>
          </w:p>
        </w:tc>
      </w:tr>
      <w:tr>
        <w:tc>
          <w:tcPr>
            <w:tcW w:type="dxa" w:w="1700"/>
            <w:tcMar>
              <w:top w:type="dxa" w:w="60"/>
              <w:left w:type="dxa" w:w="100"/>
              <w:bottom w:type="dxa" w:w="60"/>
              <w:right w:type="dxa" w:w="100"/>
            </w:tcMar>
          </w:tcPr>
          <w:p>
            <w:pPr>
              <w:spacing w:after="0"/>
            </w:pPr>
            <w:r>
              <w:t xml:space="preserve">Pass 2 — Used-On</w:t>
            </w:r>
          </w:p>
        </w:tc>
        <w:tc>
          <w:tcPr>
            <w:tcW w:type="dxa" w:w="3700"/>
            <w:tcMar>
              <w:top w:type="dxa" w:w="60"/>
              <w:left w:type="dxa" w:w="100"/>
              <w:bottom w:type="dxa" w:w="60"/>
              <w:right w:type="dxa" w:w="100"/>
            </w:tcMar>
          </w:tcPr>
          <w:p>
            <w:pPr>
              <w:spacing w:after="0"/>
            </w:pPr>
            <w:r>
              <w:t xml:space="preserve">Does the part’s number appear as a </w:t>
            </w:r>
            <w:r>
              <w:rPr>
                <w:i/>
                <w:iCs/>
              </w:rPr>
              <w:t xml:space="preserve">parent assembly</w:t>
            </w:r>
            <w:r>
              <w:t xml:space="preserve"> (Used-On) value?</w:t>
            </w:r>
          </w:p>
        </w:tc>
        <w:tc>
          <w:tcPr>
            <w:tcW w:type="dxa" w:w="3960"/>
            <w:tcMar>
              <w:top w:type="dxa" w:w="60"/>
              <w:left w:type="dxa" w:w="100"/>
              <w:bottom w:type="dxa" w:w="60"/>
              <w:right w:type="dxa" w:w="100"/>
            </w:tcMar>
          </w:tcPr>
          <w:p>
            <w:pPr>
              <w:spacing w:after="0"/>
            </w:pPr>
            <w:r>
              <w:t xml:space="preserve">The part is present as an assembly that other parts were built into.</w:t>
            </w:r>
          </w:p>
        </w:tc>
      </w:tr>
      <w:tr>
        <w:tc>
          <w:tcPr>
            <w:tcW w:type="dxa" w:w="1700"/>
            <w:tcMar>
              <w:top w:type="dxa" w:w="60"/>
              <w:left w:type="dxa" w:w="100"/>
              <w:bottom w:type="dxa" w:w="60"/>
              <w:right w:type="dxa" w:w="100"/>
            </w:tcMar>
          </w:tcPr>
          <w:p>
            <w:pPr>
              <w:spacing w:after="0"/>
            </w:pPr>
            <w:r>
              <w:t xml:space="preserve">Pass 3 — Ancestor</w:t>
            </w:r>
          </w:p>
        </w:tc>
        <w:tc>
          <w:tcPr>
            <w:tcW w:type="dxa" w:w="3700"/>
            <w:tcMar>
              <w:top w:type="dxa" w:w="60"/>
              <w:left w:type="dxa" w:w="100"/>
              <w:bottom w:type="dxa" w:w="60"/>
              <w:right w:type="dxa" w:w="100"/>
            </w:tcMar>
          </w:tcPr>
          <w:p>
            <w:pPr>
              <w:spacing w:after="0"/>
            </w:pPr>
            <w:r>
              <w:t xml:space="preserve">Is a parent up the indenture chain reconciled?</w:t>
            </w:r>
          </w:p>
        </w:tc>
        <w:tc>
          <w:tcPr>
            <w:tcW w:type="dxa" w:w="3960"/>
            <w:tcMar>
              <w:top w:type="dxa" w:w="60"/>
              <w:left w:type="dxa" w:w="100"/>
              <w:bottom w:type="dxa" w:w="60"/>
              <w:right w:type="dxa" w:w="100"/>
            </w:tcMar>
          </w:tcPr>
          <w:p>
            <w:pPr>
              <w:spacing w:after="0"/>
            </w:pPr>
            <w:r>
              <w:t xml:space="preserve">The part itself isn’t listed, but a higher assembly containing it is accounted for.</w:t>
            </w:r>
          </w:p>
        </w:tc>
      </w:tr>
    </w:tbl>
    <w:p>
      <w:pPr>
        <w:spacing w:after="120"/>
      </w:pPr>
      <w:r>
        <w:t xml:space="preserve">Quantity is checked at Pass 1 only. Passes 2 and 3 establish presence/coverage, not amounts.</w:t>
      </w:r>
    </w:p>
    <w:p>
      <w:pPr>
        <w:pStyle w:val="Heading2"/>
        <w:spacing w:after="120" w:before="240"/>
      </w:pPr>
      <w:r>
        <w:t xml:space="preserve">4.2 Closed vs. open work orders (ABOM side)</w:t>
      </w:r>
    </w:p>
    <w:p>
      <w:pPr>
        <w:spacing w:after="120"/>
      </w:pPr>
      <w:r>
        <w:t xml:space="preserve">The as-built record is split into two pools: rows under </w:t>
      </w:r>
      <w:r>
        <w:rPr>
          <w:b/>
          <w:bCs/>
        </w:rPr>
        <w:t xml:space="preserve">CLOSED</w:t>
      </w:r>
      <w:r>
        <w:t xml:space="preserve"> work orders and rows under any other status. The three passes run against the </w:t>
      </w:r>
      <w:r>
        <w:rPr>
          <w:b/>
          <w:bCs/>
        </w:rPr>
        <w:t xml:space="preserve">closed</w:t>
      </w:r>
      <w:r>
        <w:t xml:space="preserve"> pool — embodiment only "counts" when the paperwork is finished. Items found only under open work orders are surfaced separately (the "WO Not Closed" cards and statuses) so you can see work in progress without letting it inflate closure numbers. "Missing" means the item failed every path against </w:t>
      </w:r>
      <w:r>
        <w:rPr>
          <w:i/>
          <w:iCs/>
        </w:rPr>
        <w:t xml:space="preserve">both</w:t>
      </w:r>
      <w:r>
        <w:t xml:space="preserve"> pools.</w:t>
      </w:r>
    </w:p>
    <w:p>
      <w:pPr>
        <w:pStyle w:val="Heading2"/>
        <w:spacing w:after="120" w:before="240"/>
      </w:pPr>
      <w:r>
        <w:t xml:space="preserve">4.3 ABOM quantities: Roll Up vs. per WO</w:t>
      </w:r>
    </w:p>
    <w:p>
      <w:pPr>
        <w:spacing w:after="120"/>
      </w:pPr>
      <w:r>
        <w:t xml:space="preserve">One part under one assembly may have many as-built records — installs, removals, swaps across work orders. The engine computes a </w:t>
      </w:r>
      <w:r>
        <w:rPr>
          <w:b/>
          <w:bCs/>
        </w:rPr>
        <w:t xml:space="preserve">net</w:t>
      </w:r>
      <w:r>
        <w:t xml:space="preserve"> quantity per line (adds minus removes; a swap with no other add counts as an add). Which codes count as removals and swaps is set by the Proc Code Behavior panel (3.3). That net is the </w:t>
      </w:r>
      <w:r>
        <w:rPr>
          <w:b/>
          <w:bCs/>
        </w:rPr>
        <w:t xml:space="preserve">"Roll Up"</w:t>
      </w:r>
      <w:r>
        <w:t xml:space="preserve"> figure and is what all quantity checks use. The individual raw records are preserved and shown as </w:t>
      </w:r>
      <w:r>
        <w:rPr>
          <w:b/>
          <w:bCs/>
        </w:rPr>
        <w:t xml:space="preserve">"per WO"</w:t>
      </w:r>
      <w:r>
        <w:t xml:space="preserve"> values, each aligned with its own work order, proc code, WO status, and Job Number. The per-WO values will </w:t>
      </w:r>
      <w:r>
        <w:rPr>
          <w:i/>
          <w:iCs/>
        </w:rPr>
        <w:t xml:space="preserve">not</w:t>
      </w:r>
      <w:r>
        <w:t xml:space="preserve"> always sum to the Roll Up when removals or swaps are present — that is correct, and both views are shown so you can see why.</w:t>
      </w:r>
    </w:p>
    <w:p>
      <w:pPr>
        <w:pStyle w:val="Heading2"/>
        <w:spacing w:after="120" w:before="240"/>
      </w:pPr>
      <w:r>
        <w:t xml:space="preserve">4.4 Duplicate EBOM lines are merged — and numbered</w:t>
      </w:r>
    </w:p>
    <w:p>
      <w:pPr>
        <w:spacing w:after="120"/>
      </w:pPr>
      <w:r>
        <w:t xml:space="preserve">The summary table shows </w:t>
      </w:r>
      <w:r>
        <w:rPr>
          <w:b/>
          <w:bCs/>
        </w:rPr>
        <w:t xml:space="preserve">one row per unique Part Number + Next Higher combination</w:t>
      </w:r>
      <w:r>
        <w:t xml:space="preserve">. If your EBOM contains the same part under the same assembly on two lines (e.g., two find numbers), those lines are </w:t>
      </w:r>
      <w:r>
        <w:rPr>
          <w:b/>
          <w:bCs/>
        </w:rPr>
        <w:t xml:space="preserve">merged into a single row</w:t>
      </w:r>
      <w:r>
        <w:t xml:space="preserve">: its EBOM Qty is their </w:t>
      </w:r>
      <w:r>
        <w:rPr>
          <w:b/>
          <w:bCs/>
        </w:rPr>
        <w:t xml:space="preserve">sum</w:t>
      </w:r>
      <w:r>
        <w:t xml:space="preserve"> (and all quantity checks compare against that sum), and its Part Qty Text shows whichever duplicate appeared </w:t>
      </w:r>
      <w:r>
        <w:rPr>
          <w:i/>
          <w:iCs/>
        </w:rPr>
        <w:t xml:space="preserve">last</w:t>
      </w:r>
      <w:r>
        <w:t xml:space="preserve"> in the file. To keep the original lines visible, every physical EBOM row is assigned a permanent </w:t>
      </w:r>
      <w:r>
        <w:rPr>
          <w:b/>
          <w:bCs/>
        </w:rPr>
        <w:t xml:space="preserve">EBOM Line #</w:t>
      </w:r>
      <w:r>
        <w:t xml:space="preserve"> at load time; a merged row carries all of its source numbers (e.g., "12; 47") in the Excel exports.</w:t>
      </w:r>
    </w:p>
    <w:p>
      <w:pPr>
        <w:pStyle w:val="Heading2"/>
        <w:spacing w:after="120" w:before="240"/>
      </w:pPr>
      <w:r>
        <w:t xml:space="preserve">4.5 What the statuses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EAF0" w:val="clear"/>
            <w:tcMar>
              <w:top w:type="dxa" w:w="60"/>
              <w:left w:type="dxa" w:w="100"/>
              <w:bottom w:type="dxa" w:w="60"/>
              <w:right w:type="dxa" w:w="100"/>
            </w:tcMar>
          </w:tcPr>
          <w:p>
            <w:pPr>
              <w:spacing w:after="0"/>
            </w:pPr>
            <w:r>
              <w:t xml:space="preserve">Status / badge</w:t>
            </w:r>
          </w:p>
        </w:tc>
        <w:tc>
          <w:tcPr>
            <w:tcW w:type="dxa" w:w="6760"/>
            <w:shd w:fill="E8EAF0" w:val="clear"/>
            <w:tcMar>
              <w:top w:type="dxa" w:w="60"/>
              <w:left w:type="dxa" w:w="100"/>
              <w:bottom w:type="dxa" w:w="60"/>
              <w:right w:type="dxa" w:w="100"/>
            </w:tcMar>
          </w:tcPr>
          <w:p>
            <w:pPr>
              <w:spacing w:after="0"/>
            </w:pPr>
            <w:r>
              <w:t xml:space="preserve">Meaning</w:t>
            </w:r>
          </w:p>
        </w:tc>
      </w:tr>
      <w:tr>
        <w:tc>
          <w:tcPr>
            <w:tcW w:type="dxa" w:w="2600"/>
            <w:tcMar>
              <w:top w:type="dxa" w:w="60"/>
              <w:left w:type="dxa" w:w="100"/>
              <w:bottom w:type="dxa" w:w="60"/>
              <w:right w:type="dxa" w:w="100"/>
            </w:tcMar>
          </w:tcPr>
          <w:p>
            <w:pPr>
              <w:spacing w:after="0"/>
            </w:pPr>
            <w:r>
              <w:t xml:space="preserve">✓ DIRECT (ok / flex ok)</w:t>
            </w:r>
          </w:p>
        </w:tc>
        <w:tc>
          <w:tcPr>
            <w:tcW w:type="dxa" w:w="6760"/>
            <w:tcMar>
              <w:top w:type="dxa" w:w="60"/>
              <w:left w:type="dxa" w:w="100"/>
              <w:bottom w:type="dxa" w:w="60"/>
              <w:right w:type="dxa" w:w="100"/>
            </w:tcMar>
          </w:tcPr>
          <w:p>
            <w:pPr>
              <w:spacing w:after="0"/>
            </w:pPr>
            <w:r>
              <w:t xml:space="preserve">Pass 1 success. "Flex" means the line is SUB or AR — any quantity is acceptable by design.</w:t>
            </w:r>
          </w:p>
        </w:tc>
      </w:tr>
      <w:tr>
        <w:tc>
          <w:tcPr>
            <w:tcW w:type="dxa" w:w="2600"/>
            <w:tcMar>
              <w:top w:type="dxa" w:w="60"/>
              <w:left w:type="dxa" w:w="100"/>
              <w:bottom w:type="dxa" w:w="60"/>
              <w:right w:type="dxa" w:w="100"/>
            </w:tcMar>
          </w:tcPr>
          <w:p>
            <w:pPr>
              <w:spacing w:after="0"/>
            </w:pPr>
            <w:r>
              <w:t xml:space="preserve">↗ PN USED-ON MATCH</w:t>
            </w:r>
          </w:p>
        </w:tc>
        <w:tc>
          <w:tcPr>
            <w:tcW w:type="dxa" w:w="6760"/>
            <w:tcMar>
              <w:top w:type="dxa" w:w="60"/>
              <w:left w:type="dxa" w:w="100"/>
              <w:bottom w:type="dxa" w:w="60"/>
              <w:right w:type="dxa" w:w="100"/>
            </w:tcMar>
          </w:tcPr>
          <w:p>
            <w:pPr>
              <w:spacing w:after="0"/>
            </w:pPr>
            <w:r>
              <w:t xml:space="preserve">Pass 2 success — the part is present as a parent assembly.</w:t>
            </w:r>
          </w:p>
        </w:tc>
      </w:tr>
      <w:tr>
        <w:tc>
          <w:tcPr>
            <w:tcW w:type="dxa" w:w="2600"/>
            <w:tcMar>
              <w:top w:type="dxa" w:w="60"/>
              <w:left w:type="dxa" w:w="100"/>
              <w:bottom w:type="dxa" w:w="60"/>
              <w:right w:type="dxa" w:w="100"/>
            </w:tcMar>
          </w:tcPr>
          <w:p>
            <w:pPr>
              <w:spacing w:after="0"/>
            </w:pPr>
            <w:r>
              <w:t xml:space="preserve">↑ PARENT IND. (covered)</w:t>
            </w:r>
          </w:p>
        </w:tc>
        <w:tc>
          <w:tcPr>
            <w:tcW w:type="dxa" w:w="6760"/>
            <w:tcMar>
              <w:top w:type="dxa" w:w="60"/>
              <w:left w:type="dxa" w:w="100"/>
              <w:bottom w:type="dxa" w:w="60"/>
              <w:right w:type="dxa" w:w="100"/>
            </w:tcMar>
          </w:tcPr>
          <w:p>
            <w:pPr>
              <w:spacing w:after="0"/>
            </w:pPr>
            <w:r>
              <w:t xml:space="preserve">Pass 3 success — reconciled through an indenture ancestor.</w:t>
            </w:r>
          </w:p>
        </w:tc>
      </w:tr>
      <w:tr>
        <w:tc>
          <w:tcPr>
            <w:tcW w:type="dxa" w:w="2600"/>
            <w:tcMar>
              <w:top w:type="dxa" w:w="60"/>
              <w:left w:type="dxa" w:w="100"/>
              <w:bottom w:type="dxa" w:w="60"/>
              <w:right w:type="dxa" w:w="100"/>
            </w:tcMar>
          </w:tcPr>
          <w:p>
            <w:pPr>
              <w:spacing w:after="0"/>
            </w:pPr>
            <w:r>
              <w:t xml:space="preserve">⚠ QTY MISMATCH</w:t>
            </w:r>
          </w:p>
        </w:tc>
        <w:tc>
          <w:tcPr>
            <w:tcW w:type="dxa" w:w="6760"/>
            <w:tcMar>
              <w:top w:type="dxa" w:w="60"/>
              <w:left w:type="dxa" w:w="100"/>
              <w:bottom w:type="dxa" w:w="60"/>
              <w:right w:type="dxa" w:w="100"/>
            </w:tcMar>
          </w:tcPr>
          <w:p>
            <w:pPr>
              <w:spacing w:after="0"/>
            </w:pPr>
            <w:r>
              <w:t xml:space="preserve">Found directly, but the target quantity is short of the EBOM quantity. Only shortfalls flag; surplus does not.</w:t>
            </w:r>
          </w:p>
        </w:tc>
      </w:tr>
      <w:tr>
        <w:tc>
          <w:tcPr>
            <w:tcW w:type="dxa" w:w="2600"/>
            <w:tcMar>
              <w:top w:type="dxa" w:w="60"/>
              <w:left w:type="dxa" w:w="100"/>
              <w:bottom w:type="dxa" w:w="60"/>
              <w:right w:type="dxa" w:w="100"/>
            </w:tcMar>
          </w:tcPr>
          <w:p>
            <w:pPr>
              <w:spacing w:after="0"/>
            </w:pPr>
            <w:r>
              <w:t xml:space="preserve">⚠ WO NOT CLOSED</w:t>
            </w:r>
          </w:p>
        </w:tc>
        <w:tc>
          <w:tcPr>
            <w:tcW w:type="dxa" w:w="6760"/>
            <w:tcMar>
              <w:top w:type="dxa" w:w="60"/>
              <w:left w:type="dxa" w:w="100"/>
              <w:bottom w:type="dxa" w:w="60"/>
              <w:right w:type="dxa" w:w="100"/>
            </w:tcMar>
          </w:tcPr>
          <w:p>
            <w:pPr>
              <w:spacing w:after="0"/>
            </w:pPr>
            <w:r>
              <w:t xml:space="preserve">Present in the ABOM, but only under a work order that is not closed. In-progress, not final.</w:t>
            </w:r>
          </w:p>
        </w:tc>
      </w:tr>
      <w:tr>
        <w:tc>
          <w:tcPr>
            <w:tcW w:type="dxa" w:w="2600"/>
            <w:tcMar>
              <w:top w:type="dxa" w:w="60"/>
              <w:left w:type="dxa" w:w="100"/>
              <w:bottom w:type="dxa" w:w="60"/>
              <w:right w:type="dxa" w:w="100"/>
            </w:tcMar>
          </w:tcPr>
          <w:p>
            <w:pPr>
              <w:spacing w:after="0"/>
            </w:pPr>
            <w:r>
              <w:t xml:space="preserve">⊘ PROC REMOVED</w:t>
            </w:r>
          </w:p>
        </w:tc>
        <w:tc>
          <w:tcPr>
            <w:tcW w:type="dxa" w:w="6760"/>
            <w:tcMar>
              <w:top w:type="dxa" w:w="60"/>
              <w:left w:type="dxa" w:w="100"/>
              <w:bottom w:type="dxa" w:w="60"/>
              <w:right w:type="dxa" w:w="100"/>
            </w:tcMar>
          </w:tcPr>
          <w:p>
            <w:pPr>
              <w:spacing w:after="0"/>
            </w:pPr>
            <w:r>
              <w:t xml:space="preserve">Every as-built record for the line nets to a removal — it was taken out and nothing effective remains. Which proc codes mean removal is configurable (3.3).</w:t>
            </w:r>
          </w:p>
        </w:tc>
      </w:tr>
      <w:tr>
        <w:tc>
          <w:tcPr>
            <w:tcW w:type="dxa" w:w="2600"/>
            <w:tcMar>
              <w:top w:type="dxa" w:w="60"/>
              <w:left w:type="dxa" w:w="100"/>
              <w:bottom w:type="dxa" w:w="60"/>
              <w:right w:type="dxa" w:w="100"/>
            </w:tcMar>
          </w:tcPr>
          <w:p>
            <w:pPr>
              <w:spacing w:after="0"/>
            </w:pPr>
            <w:r>
              <w:t xml:space="preserve">✗ MISSING</w:t>
            </w:r>
          </w:p>
        </w:tc>
        <w:tc>
          <w:tcPr>
            <w:tcW w:type="dxa" w:w="6760"/>
            <w:tcMar>
              <w:top w:type="dxa" w:w="60"/>
              <w:left w:type="dxa" w:w="100"/>
              <w:bottom w:type="dxa" w:w="60"/>
              <w:right w:type="dxa" w:w="100"/>
            </w:tcMar>
          </w:tcPr>
          <w:p>
            <w:pPr>
              <w:spacing w:after="0"/>
            </w:pPr>
            <w:r>
              <w:t xml:space="preserve">Failed all three passes against both WO pools.</w:t>
            </w:r>
          </w:p>
        </w:tc>
      </w:tr>
      <w:tr>
        <w:tc>
          <w:tcPr>
            <w:tcW w:type="dxa" w:w="2600"/>
            <w:tcMar>
              <w:top w:type="dxa" w:w="60"/>
              <w:left w:type="dxa" w:w="100"/>
              <w:bottom w:type="dxa" w:w="60"/>
              <w:right w:type="dxa" w:w="100"/>
            </w:tcMar>
          </w:tcPr>
          <w:p>
            <w:pPr>
              <w:spacing w:after="0"/>
            </w:pPr>
            <w:r>
              <w:t xml:space="preserve">◆ COLLECTOR (A/B)</w:t>
            </w:r>
          </w:p>
        </w:tc>
        <w:tc>
          <w:tcPr>
            <w:tcW w:type="dxa" w:w="6760"/>
            <w:tcMar>
              <w:top w:type="dxa" w:w="60"/>
              <w:left w:type="dxa" w:w="100"/>
              <w:bottom w:type="dxa" w:w="60"/>
              <w:right w:type="dxa" w:w="100"/>
            </w:tcMar>
          </w:tcPr>
          <w:p>
            <w:pPr>
              <w:spacing w:after="0"/>
            </w:pPr>
            <w:r>
              <w:t xml:space="preserve">A structural indenture level A/B row (including the top-level apex). Outside reconciliation scope by design.</w:t>
            </w:r>
          </w:p>
        </w:tc>
      </w:tr>
      <w:tr>
        <w:tc>
          <w:tcPr>
            <w:tcW w:type="dxa" w:w="2600"/>
            <w:tcMar>
              <w:top w:type="dxa" w:w="60"/>
              <w:left w:type="dxa" w:w="100"/>
              <w:bottom w:type="dxa" w:w="60"/>
              <w:right w:type="dxa" w:w="100"/>
            </w:tcMar>
          </w:tcPr>
          <w:p>
            <w:pPr>
              <w:spacing w:after="0"/>
            </w:pPr>
            <w:r>
              <w:t xml:space="preserve">⚑ ADJ (purple)</w:t>
            </w:r>
          </w:p>
        </w:tc>
        <w:tc>
          <w:tcPr>
            <w:tcW w:type="dxa" w:w="6760"/>
            <w:tcMar>
              <w:top w:type="dxa" w:w="60"/>
              <w:left w:type="dxa" w:w="100"/>
              <w:bottom w:type="dxa" w:w="60"/>
              <w:right w:type="dxa" w:w="100"/>
            </w:tcMar>
          </w:tcPr>
          <w:p>
            <w:pPr>
              <w:spacing w:after="0"/>
            </w:pPr>
            <w:r>
              <w:t xml:space="preserve">The status was set or affected by a manual SME adjudication claim (Section 8). Purple always means "a human decided this."</w:t>
            </w:r>
          </w:p>
        </w:tc>
      </w:tr>
    </w:tbl>
    <w:p>
      <w:pPr>
        <w:spacing w:after="120"/>
      </w:pPr>
      <w:r>
        <w:t xml:space="preserve">Structural rows (collectors, REFERENCE / BULK MATL part types, REF-quantity lines, removal-instruction blocks) are shown for context but </w:t>
      </w:r>
      <w:r>
        <w:rPr>
          <w:b/>
          <w:bCs/>
        </w:rPr>
        <w:t xml:space="preserve">excluded from every percentage and KPI count</w:t>
      </w:r>
      <w:r>
        <w:t xml:space="preserve">.</w:t>
      </w:r>
    </w:p>
    <w:p>
      <w:r>
        <w:br w:type="page"/>
      </w:r>
    </w:p>
    <w:p>
      <w:pPr>
        <w:pStyle w:val="Heading1"/>
        <w:spacing w:after="160" w:before="320"/>
      </w:pPr>
      <w:r>
        <w:t xml:space="preserve">5. Reading the Dashboard (Section 02)</w:t>
      </w:r>
    </w:p>
    <w:p>
      <w:pPr>
        <w:spacing w:after="120"/>
      </w:pPr>
      <w:r>
        <w:t xml:space="preserve">Each KPI section has an </w:t>
      </w:r>
      <w:r>
        <w:rPr>
          <w:b/>
          <w:bCs/>
        </w:rPr>
        <w:t xml:space="preserve">Explanation</w:t>
      </w:r>
      <w:r>
        <w:t xml:space="preserve"> button in its header that opens a plain-language description of every card — the authoritative in-tool reference. This chapter is the tour.</w:t>
      </w:r>
    </w:p>
    <w:p>
      <w:pPr>
        <w:spacing w:after="120"/>
      </w:pPr>
      <w:r>
        <w:rPr>
          <w:b/>
          <w:bCs/>
        </w:rPr>
        <w:t xml:space="preserve">Card conventions:</w:t>
      </w:r>
      <w:r>
        <w:t xml:space="preserve"> clickable cards show a hand cursor and lift on hover — clicking opens a drill-down list of the exact rows behind the number. Cards that are not clickable give no hover cue. Green = reconciled (three tiers for the three passes), amber = a non-missing discrepancy, red = missing, teal = RFV, orange = NCR, </w:t>
      </w:r>
      <w:r>
        <w:rPr>
          <w:b/>
          <w:bCs/>
        </w:rPr>
        <w:t xml:space="preserve">purple = manual adjudication</w:t>
      </w:r>
      <w:r>
        <w:t xml:space="preserve">, gray = structural/informational. A dashed sub-line on a card shows how much of its number came from SME claims.</w:t>
      </w:r>
    </w:p>
    <w:p>
      <w:pPr>
        <w:pStyle w:val="Heading2"/>
        <w:spacing w:after="120" w:before="240"/>
      </w:pPr>
      <w:r>
        <w:t xml:space="preserve">5.1 EBOM → MBOM section (planning coverage)</w:t>
      </w:r>
    </w:p>
    <w:p>
      <w:pPr>
        <w:pStyle w:val="ListParagraph"/>
        <w:numPr>
          <w:ilvl w:val="0"/>
          <w:numId w:val="2"/>
        </w:numPr>
        <w:spacing w:after="80"/>
      </w:pPr>
      <w:r>
        <w:rPr>
          <w:b/>
          <w:bCs/>
        </w:rPr>
        <w:t xml:space="preserve">% EBOM Line-Items Directly Accounted For</w:t>
      </w:r>
      <w:r>
        <w:t xml:space="preserve"> — the strict number: Pass 1 only. The most audit-defensible planning figure.</w:t>
      </w:r>
    </w:p>
    <w:p>
      <w:pPr>
        <w:pStyle w:val="ListParagraph"/>
        <w:numPr>
          <w:ilvl w:val="0"/>
          <w:numId w:val="2"/>
        </w:numPr>
        <w:spacing w:after="80"/>
      </w:pPr>
      <w:r>
        <w:rPr>
          <w:b/>
          <w:bCs/>
        </w:rPr>
        <w:t xml:space="preserve">% Accounted For (Any Path)</w:t>
      </w:r>
      <w:r>
        <w:t xml:space="preserve"> — Pass 1, 2, or 3. The gap between this and 100% decomposes exactly into the Missing, Qty Mismatch, and SUB/AR cards below it.</w:t>
      </w:r>
    </w:p>
    <w:p>
      <w:pPr>
        <w:pStyle w:val="ListParagraph"/>
        <w:numPr>
          <w:ilvl w:val="0"/>
          <w:numId w:val="2"/>
        </w:numPr>
        <w:spacing w:after="80"/>
      </w:pPr>
      <w:r>
        <w:rPr>
          <w:b/>
          <w:bCs/>
        </w:rPr>
        <w:t xml:space="preserve">Direct / Used-On / Parent Indenture counts</w:t>
      </w:r>
      <w:r>
        <w:t xml:space="preserve"> — the same coverage split out by pass.</w:t>
      </w:r>
    </w:p>
    <w:p>
      <w:pPr>
        <w:pStyle w:val="ListParagraph"/>
        <w:numPr>
          <w:ilvl w:val="0"/>
          <w:numId w:val="2"/>
        </w:numPr>
        <w:spacing w:after="80"/>
      </w:pPr>
      <w:r>
        <w:rPr>
          <w:b/>
          <w:bCs/>
        </w:rPr>
        <w:t xml:space="preserve">Missing in MBOM</w:t>
      </w:r>
      <w:r>
        <w:t xml:space="preserve"> (red) — failed every path. Click for the row list; the modal also links to adjudication candidates.</w:t>
      </w:r>
    </w:p>
    <w:p>
      <w:pPr>
        <w:pStyle w:val="ListParagraph"/>
        <w:numPr>
          <w:ilvl w:val="0"/>
          <w:numId w:val="2"/>
        </w:numPr>
        <w:spacing w:after="80"/>
      </w:pPr>
      <w:r>
        <w:rPr>
          <w:b/>
          <w:bCs/>
        </w:rPr>
        <w:t xml:space="preserve">EBOM-MBOM Part Qty Mismatch</w:t>
      </w:r>
      <w:r>
        <w:t xml:space="preserve"> (amber) — planned quantity short of design quantity.</w:t>
      </w:r>
    </w:p>
    <w:p>
      <w:pPr>
        <w:pStyle w:val="ListParagraph"/>
        <w:numPr>
          <w:ilvl w:val="0"/>
          <w:numId w:val="2"/>
        </w:numPr>
        <w:spacing w:after="80"/>
      </w:pPr>
      <w:r>
        <w:rPr>
          <w:b/>
          <w:bCs/>
        </w:rPr>
        <w:t xml:space="preserve">SUB/AR Items Not Used</w:t>
      </w:r>
      <w:r>
        <w:t xml:space="preserve"> — flex-quantity lines absent everywhere. Informational: absence may be by design.</w:t>
      </w:r>
    </w:p>
    <w:p>
      <w:pPr>
        <w:pStyle w:val="ListParagraph"/>
        <w:numPr>
          <w:ilvl w:val="0"/>
          <w:numId w:val="2"/>
        </w:numPr>
        <w:spacing w:after="80"/>
      </w:pPr>
      <w:r>
        <w:rPr>
          <w:b/>
          <w:bCs/>
        </w:rPr>
        <w:t xml:space="preserve">Missing APEX Assemblies</w:t>
      </w:r>
      <w:r>
        <w:t xml:space="preserve"> — top-of-tree assemblies with no plan presence; these gate everything beneath them.</w:t>
      </w:r>
    </w:p>
    <w:p>
      <w:pPr>
        <w:pStyle w:val="Heading2"/>
        <w:spacing w:after="120" w:before="240"/>
      </w:pPr>
      <w:r>
        <w:t xml:space="preserve">5.2 EBOM → ABOM section (physical embodiment)</w:t>
      </w:r>
    </w:p>
    <w:p>
      <w:pPr>
        <w:spacing w:after="120"/>
      </w:pPr>
      <w:r>
        <w:t xml:space="preserve">The same structure as the MBOM section, measured against closed-work-order as-built records, plus ABOM-only cards:</w:t>
      </w:r>
    </w:p>
    <w:p>
      <w:pPr>
        <w:pStyle w:val="ListParagraph"/>
        <w:numPr>
          <w:ilvl w:val="0"/>
          <w:numId w:val="2"/>
        </w:numPr>
        <w:spacing w:after="80"/>
      </w:pPr>
      <w:r>
        <w:rPr>
          <w:b/>
          <w:bCs/>
        </w:rPr>
        <w:t xml:space="preserve">% EBOM Line-Items Directly Embodied</w:t>
      </w:r>
      <w:r>
        <w:t xml:space="preserve"> and </w:t>
      </w:r>
      <w:r>
        <w:rPr>
          <w:b/>
          <w:bCs/>
        </w:rPr>
        <w:t xml:space="preserve">% Embodied (Any Path)</w:t>
      </w:r>
      <w:r>
        <w:t xml:space="preserve"> — the Physical Configuration Audit closure numbers. SME-adjudicated items count as reconciled in both; the dashed sub-line shows the claim-derived share.</w:t>
      </w:r>
    </w:p>
    <w:p>
      <w:pPr>
        <w:pStyle w:val="ListParagraph"/>
        <w:numPr>
          <w:ilvl w:val="0"/>
          <w:numId w:val="2"/>
        </w:numPr>
        <w:spacing w:after="80"/>
      </w:pPr>
      <w:r>
        <w:rPr>
          <w:b/>
          <w:bCs/>
        </w:rPr>
        <w:t xml:space="preserve">Part WO Status: Not Closed</w:t>
      </w:r>
      <w:r>
        <w:t xml:space="preserve"> (amber) — present in the ABOM (either pool role) but gated by an unfinished work order. This is your "waiting on paperwork" list.</w:t>
      </w:r>
    </w:p>
    <w:p>
      <w:pPr>
        <w:pStyle w:val="ListParagraph"/>
        <w:numPr>
          <w:ilvl w:val="0"/>
          <w:numId w:val="2"/>
        </w:numPr>
        <w:spacing w:after="80"/>
      </w:pPr>
      <w:r>
        <w:rPr>
          <w:b/>
          <w:bCs/>
        </w:rPr>
        <w:t xml:space="preserve">Used-On WO Not Closed</w:t>
      </w:r>
      <w:r>
        <w:t xml:space="preserve"> — the parent-assembly version of the same. Together with "Embodied as Used On Parts," the two sum to the total used-on population.</w:t>
      </w:r>
    </w:p>
    <w:p>
      <w:pPr>
        <w:pStyle w:val="ListParagraph"/>
        <w:numPr>
          <w:ilvl w:val="0"/>
          <w:numId w:val="2"/>
        </w:numPr>
        <w:spacing w:after="80"/>
      </w:pPr>
      <w:r>
        <w:rPr>
          <w:b/>
          <w:bCs/>
        </w:rPr>
        <w:t xml:space="preserve">Proc Code: Removed from Build</w:t>
      </w:r>
      <w:r>
        <w:t xml:space="preserve"> (⊘) — items whose as-built records net to removal, per the proc code behavior in force (3.3).</w:t>
      </w:r>
    </w:p>
    <w:p>
      <w:pPr>
        <w:pStyle w:val="ListParagraph"/>
        <w:numPr>
          <w:ilvl w:val="0"/>
          <w:numId w:val="2"/>
        </w:numPr>
        <w:spacing w:after="80"/>
      </w:pPr>
      <w:r>
        <w:rPr>
          <w:b/>
          <w:bCs/>
        </w:rPr>
        <w:t xml:space="preserve">Missing in ABOM / Qty Mismatch / SUB/AR / APEX</w:t>
      </w:r>
      <w:r>
        <w:t xml:space="preserve"> — as in the MBOM section, but against the build record.</w:t>
      </w:r>
    </w:p>
    <w:p>
      <w:pPr>
        <w:pStyle w:val="Heading2"/>
        <w:spacing w:after="120" w:before="240"/>
      </w:pPr>
      <w:r>
        <w:t xml:space="preserve">5.3 CI Status section</w:t>
      </w:r>
    </w:p>
    <w:p>
      <w:pPr>
        <w:spacing w:after="120"/>
      </w:pPr>
      <w:r>
        <w:t xml:space="preserve">Everything here counts </w:t>
      </w:r>
      <w:r>
        <w:rPr>
          <w:b/>
          <w:bCs/>
        </w:rPr>
        <w:t xml:space="preserve">distinct Configuration Items</w:t>
      </w:r>
      <w:r>
        <w:t xml:space="preserve"> (CI ID + PN + Next Higher rows from your CI file) rather than EBOM lines. The section only appears when a CI file is loaded.</w:t>
      </w:r>
    </w:p>
    <w:p>
      <w:pPr>
        <w:pStyle w:val="ListParagraph"/>
        <w:numPr>
          <w:ilvl w:val="0"/>
          <w:numId w:val="2"/>
        </w:numPr>
        <w:spacing w:after="80"/>
      </w:pPr>
      <w:r>
        <w:rPr>
          <w:b/>
          <w:bCs/>
        </w:rPr>
        <w:t xml:space="preserve">% CIs Directly Embodied</w:t>
      </w:r>
      <w:r>
        <w:t xml:space="preserve"> and </w:t>
      </w:r>
      <w:r>
        <w:rPr>
          <w:b/>
          <w:bCs/>
        </w:rPr>
        <w:t xml:space="preserve">% CIs Embodied (Any Path)</w:t>
      </w:r>
      <w:r>
        <w:t xml:space="preserve"> — CI-scoped versions of the ABOM headline numbers.</w:t>
      </w:r>
    </w:p>
    <w:p>
      <w:pPr>
        <w:pStyle w:val="ListParagraph"/>
        <w:numPr>
          <w:ilvl w:val="0"/>
          <w:numId w:val="2"/>
        </w:numPr>
        <w:spacing w:after="80"/>
      </w:pPr>
      <w:r>
        <w:rPr>
          <w:b/>
          <w:bCs/>
        </w:rPr>
        <w:t xml:space="preserve">Coverage tier</w:t>
      </w:r>
      <w:r>
        <w:t xml:space="preserve"> (Direct / Used On / Higher Parent) and </w:t>
      </w:r>
      <w:r>
        <w:rPr>
          <w:b/>
          <w:bCs/>
        </w:rPr>
        <w:t xml:space="preserve">issue tier</w:t>
      </w:r>
      <w:r>
        <w:t xml:space="preserve"> (CIs Missing in ABOM, CIs — Open WOs, CIs — ABOM Part Qty Mismatch). The issue cards use independent per-leg tests and may overlap.</w:t>
      </w:r>
    </w:p>
    <w:p>
      <w:pPr>
        <w:pStyle w:val="ListParagraph"/>
        <w:numPr>
          <w:ilvl w:val="0"/>
          <w:numId w:val="2"/>
        </w:numPr>
        <w:spacing w:after="80"/>
      </w:pPr>
      <w:r>
        <w:rPr>
          <w:b/>
          <w:bCs/>
        </w:rPr>
        <w:t xml:space="preserve">CI Scope</w:t>
      </w:r>
      <w:r>
        <w:t xml:space="preserve"> — the denominator: distinct CIs in your file. Not clickable.</w:t>
      </w:r>
    </w:p>
    <w:p>
      <w:pPr>
        <w:pStyle w:val="ListParagraph"/>
        <w:numPr>
          <w:ilvl w:val="0"/>
          <w:numId w:val="2"/>
        </w:numPr>
        <w:spacing w:after="80"/>
      </w:pPr>
      <w:r>
        <w:rPr>
          <w:b/>
          <w:bCs/>
        </w:rPr>
        <w:t xml:space="preserve">CIs Missing from EBOM</w:t>
      </w:r>
      <w:r>
        <w:t xml:space="preserve"> — CIs whose PN + Next Higher combination never appears in the design baseline; a data-quality alarm.</w:t>
      </w:r>
    </w:p>
    <w:p>
      <w:pPr>
        <w:pStyle w:val="ListParagraph"/>
        <w:numPr>
          <w:ilvl w:val="0"/>
          <w:numId w:val="2"/>
        </w:numPr>
        <w:spacing w:after="80"/>
      </w:pPr>
      <w:r>
        <w:rPr>
          <w:b/>
          <w:bCs/>
        </w:rPr>
        <w:t xml:space="preserve">CIs with Closed / Open NCR Dispositions</w:t>
      </w:r>
      <w:r>
        <w:t xml:space="preserve"> (orange) — CIs linked to nonconformances via the automated two-path join </w:t>
      </w:r>
      <w:r>
        <w:rPr>
          <w:i/>
          <w:iCs/>
        </w:rPr>
        <w:t xml:space="preserve">plus manual SME traces</w:t>
      </w:r>
      <w:r>
        <w:t xml:space="preserve"> you record in the Adjudication Workbench.</w:t>
      </w:r>
    </w:p>
    <w:p>
      <w:pPr>
        <w:pStyle w:val="ListParagraph"/>
        <w:numPr>
          <w:ilvl w:val="0"/>
          <w:numId w:val="2"/>
        </w:numPr>
        <w:spacing w:after="80"/>
      </w:pPr>
      <w:r>
        <w:rPr>
          <w:b/>
          <w:bCs/>
        </w:rPr>
        <w:t xml:space="preserve">The four RFV cards</w:t>
      </w:r>
      <w:r>
        <w:t xml:space="preserve"> (teal, ordered Any | P1 | P2 | P3) — CIs with variance coverage directly (P1), via an NCR disposition (P2), or via a work order (P3). Manual SME traces contribute to these too, and appear purple in the drill-downs.</w:t>
      </w:r>
    </w:p>
    <w:p>
      <w:pPr>
        <w:pStyle w:val="Heading2"/>
        <w:spacing w:after="120" w:before="240"/>
      </w:pPr>
      <w:r>
        <w:t xml:space="preserve">5.4 Charts</w:t>
      </w:r>
    </w:p>
    <w:p>
      <w:pPr>
        <w:pStyle w:val="ListParagraph"/>
        <w:numPr>
          <w:ilvl w:val="0"/>
          <w:numId w:val="2"/>
        </w:numPr>
        <w:spacing w:after="80"/>
      </w:pPr>
      <w:r>
        <w:rPr>
          <w:b/>
          <w:bCs/>
        </w:rPr>
        <w:t xml:space="preserve">WO Status Roll-Up</w:t>
      </w:r>
      <w:r>
        <w:t xml:space="preserve"> — unique ABOM work orders by status (a WO’s status is taken from its first appearance in the file). Teal segments and ◈ markers flag WOs that are RFV-authorized — documented open status, lower chase priority.</w:t>
      </w:r>
    </w:p>
    <w:p>
      <w:pPr>
        <w:pStyle w:val="ListParagraph"/>
        <w:numPr>
          <w:ilvl w:val="0"/>
          <w:numId w:val="2"/>
        </w:numPr>
        <w:spacing w:after="80"/>
      </w:pPr>
      <w:r>
        <w:rPr>
          <w:b/>
          <w:bCs/>
        </w:rPr>
        <w:t xml:space="preserve">NCR Cause Code</w:t>
      </w:r>
      <w:r>
        <w:t xml:space="preserve"> (top 6) and </w:t>
      </w:r>
      <w:r>
        <w:rPr>
          <w:b/>
          <w:bCs/>
        </w:rPr>
        <w:t xml:space="preserve">NCR Disposition Status</w:t>
      </w:r>
      <w:r>
        <w:t xml:space="preserve"> — the shape of your nonconformance population.</w:t>
      </w:r>
    </w:p>
    <w:p>
      <w:pPr>
        <w:pStyle w:val="ListParagraph"/>
        <w:numPr>
          <w:ilvl w:val="0"/>
          <w:numId w:val="2"/>
        </w:numPr>
        <w:spacing w:after="80"/>
      </w:pPr>
      <w:r>
        <w:rPr>
          <w:b/>
          <w:bCs/>
        </w:rPr>
        <w:t xml:space="preserve">Coverage Funnel</w:t>
      </w:r>
      <w:r>
        <w:t xml:space="preserve"> — the stepwise ladder from total scope to fully-closed, with a delta column comparing the MBOM and ABOM funnels.</w:t>
      </w:r>
    </w:p>
    <w:p>
      <w:pPr>
        <w:pStyle w:val="Heading2"/>
        <w:spacing w:after="120" w:before="240"/>
      </w:pPr>
      <w:r>
        <w:t xml:space="preserve">5.5 ACN section</w:t>
      </w:r>
    </w:p>
    <w:p>
      <w:pPr>
        <w:spacing w:after="120"/>
      </w:pPr>
      <w:r>
        <w:t xml:space="preserve">When an ACN file is loaded: embodiment of level 4–7 ACN parts and their open-NCR exposure, with per-WO detail in the drill-downs and the ACN report.</w:t>
      </w:r>
    </w:p>
    <w:p>
      <w:r>
        <w:br w:type="page"/>
      </w:r>
    </w:p>
    <w:p>
      <w:pPr>
        <w:pStyle w:val="Heading1"/>
        <w:spacing w:after="160" w:before="320"/>
      </w:pPr>
      <w:r>
        <w:t xml:space="preserve">6. The Detailed View (Section 03)</w:t>
      </w:r>
    </w:p>
    <w:p>
      <w:pPr>
        <w:spacing w:after="120"/>
      </w:pPr>
      <w:r>
        <w:t xml:space="preserve">This is the row-level truth the cards summarize: one row per unique PN + Next Higher (see 4.4), every reconciliation leg visible. The </w:t>
      </w:r>
      <w:r>
        <w:rPr>
          <w:b/>
          <w:bCs/>
        </w:rPr>
        <w:t xml:space="preserve">Explanation</w:t>
      </w:r>
      <w:r>
        <w:t xml:space="preserve"> button at the right end of the tab strip opens the in-tool guide to reading this table. Tabs switch between the comparison summary and raw views of each loaded file.</w:t>
      </w:r>
    </w:p>
    <w:p>
      <w:pPr>
        <w:pStyle w:val="Heading2"/>
        <w:spacing w:after="120" w:before="240"/>
      </w:pPr>
      <w:r>
        <w:t xml:space="preserve">6.1 Column guide</w:t>
      </w:r>
    </w:p>
    <w:p>
      <w:pPr>
        <w:spacing w:after="120"/>
      </w:pPr>
      <w:r>
        <w:t xml:space="preserve">Columns appear left to right in data-source blocks, each with a colored header stripe identifying its source. Columns for files you have not loaded are absent.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E8EAF0" w:val="clear"/>
            <w:tcMar>
              <w:top w:type="dxa" w:w="60"/>
              <w:left w:type="dxa" w:w="100"/>
              <w:bottom w:type="dxa" w:w="60"/>
              <w:right w:type="dxa" w:w="100"/>
            </w:tcMar>
          </w:tcPr>
          <w:p>
            <w:pPr>
              <w:spacing w:after="0"/>
            </w:pPr>
            <w:r>
              <w:t xml:space="preserve">Column(s)</w:t>
            </w:r>
          </w:p>
        </w:tc>
        <w:tc>
          <w:tcPr>
            <w:tcW w:type="dxa" w:w="5960"/>
            <w:shd w:fill="E8EAF0" w:val="clear"/>
            <w:tcMar>
              <w:top w:type="dxa" w:w="60"/>
              <w:left w:type="dxa" w:w="100"/>
              <w:bottom w:type="dxa" w:w="60"/>
              <w:right w:type="dxa" w:w="100"/>
            </w:tcMar>
          </w:tcPr>
          <w:p>
            <w:pPr>
              <w:spacing w:after="0"/>
            </w:pPr>
            <w:r>
              <w:t xml:space="preserve">How to read them</w:t>
            </w:r>
          </w:p>
        </w:tc>
      </w:tr>
      <w:tr>
        <w:tc>
          <w:tcPr>
            <w:tcW w:type="dxa" w:w="3400"/>
            <w:tcMar>
              <w:top w:type="dxa" w:w="60"/>
              <w:left w:type="dxa" w:w="100"/>
              <w:bottom w:type="dxa" w:w="60"/>
              <w:right w:type="dxa" w:w="100"/>
            </w:tcMar>
          </w:tcPr>
          <w:p>
            <w:pPr>
              <w:spacing w:after="0"/>
            </w:pPr>
            <w:r>
              <w:t xml:space="preserve">Ind. / Part Number / Description / Next Higher / Part Type</w:t>
            </w:r>
          </w:p>
        </w:tc>
        <w:tc>
          <w:tcPr>
            <w:tcW w:type="dxa" w:w="5960"/>
            <w:tcMar>
              <w:top w:type="dxa" w:w="60"/>
              <w:left w:type="dxa" w:w="100"/>
              <w:bottom w:type="dxa" w:w="60"/>
              <w:right w:type="dxa" w:w="100"/>
            </w:tcMar>
          </w:tcPr>
          <w:p>
            <w:pPr>
              <w:spacing w:after="0"/>
            </w:pPr>
            <w:r>
              <w:t xml:space="preserve">EBOM identity. Structural part types (COLLECTOR, REFERENCE, BULK MATL) carry a ◆ badge.</w:t>
            </w:r>
          </w:p>
        </w:tc>
      </w:tr>
      <w:tr>
        <w:tc>
          <w:tcPr>
            <w:tcW w:type="dxa" w:w="3400"/>
            <w:tcMar>
              <w:top w:type="dxa" w:w="60"/>
              <w:left w:type="dxa" w:w="100"/>
              <w:bottom w:type="dxa" w:w="60"/>
              <w:right w:type="dxa" w:w="100"/>
            </w:tcMar>
          </w:tcPr>
          <w:p>
            <w:pPr>
              <w:spacing w:after="0"/>
            </w:pPr>
            <w:r>
              <w:t xml:space="preserve">EBOM Qty / Part Qty Text (EBOM)</w:t>
            </w:r>
          </w:p>
        </w:tc>
        <w:tc>
          <w:tcPr>
            <w:tcW w:type="dxa" w:w="5960"/>
            <w:tcMar>
              <w:top w:type="dxa" w:w="60"/>
              <w:left w:type="dxa" w:w="100"/>
              <w:bottom w:type="dxa" w:w="60"/>
              <w:right w:type="dxa" w:w="100"/>
            </w:tcMar>
          </w:tcPr>
          <w:p>
            <w:pPr>
              <w:spacing w:after="0"/>
            </w:pPr>
            <w:r>
              <w:t xml:space="preserve">Design quantity. On a merged-duplicates row, Qty is the SUM of the source lines and Qty Text shows the last duplicate’s text — when they disagree, the numeric sum is what the engine used.</w:t>
            </w:r>
          </w:p>
        </w:tc>
      </w:tr>
      <w:tr>
        <w:tc>
          <w:tcPr>
            <w:tcW w:type="dxa" w:w="3400"/>
            <w:tcMar>
              <w:top w:type="dxa" w:w="60"/>
              <w:left w:type="dxa" w:w="100"/>
              <w:bottom w:type="dxa" w:w="60"/>
              <w:right w:type="dxa" w:w="100"/>
            </w:tcMar>
          </w:tcPr>
          <w:p>
            <w:pPr>
              <w:spacing w:after="0"/>
            </w:pPr>
            <w:r>
              <w:t xml:space="preserve">Δ EBOM-ABOM Part Qty (red stripe)</w:t>
            </w:r>
          </w:p>
        </w:tc>
        <w:tc>
          <w:tcPr>
            <w:tcW w:type="dxa" w:w="5960"/>
            <w:tcMar>
              <w:top w:type="dxa" w:w="60"/>
              <w:left w:type="dxa" w:w="100"/>
              <w:bottom w:type="dxa" w:w="60"/>
              <w:right w:type="dxa" w:w="100"/>
            </w:tcMar>
          </w:tcPr>
          <w:p>
            <w:pPr>
              <w:spacing w:after="0"/>
            </w:pPr>
            <w:r>
              <w:t xml:space="preserve">Signed shortfall for quantity-mismatch rows (ABOM qty − EBOM qty; negative = short). In three-way mode the header reads Δ EBOM−MBOM/ABOM and cells prefix MD:/AD: when both deltas exist. A purple "→ n adj" note shows an SME-accepted residual.</w:t>
            </w:r>
          </w:p>
        </w:tc>
      </w:tr>
      <w:tr>
        <w:tc>
          <w:tcPr>
            <w:tcW w:type="dxa" w:w="3400"/>
            <w:tcMar>
              <w:top w:type="dxa" w:w="60"/>
              <w:left w:type="dxa" w:w="100"/>
              <w:bottom w:type="dxa" w:w="60"/>
              <w:right w:type="dxa" w:w="100"/>
            </w:tcMar>
          </w:tcPr>
          <w:p>
            <w:pPr>
              <w:spacing w:after="0"/>
            </w:pPr>
            <w:r>
              <w:t xml:space="preserve">MBOM Traceability / MBOM Job Number / MBOM Reconciliation Notes</w:t>
            </w:r>
          </w:p>
        </w:tc>
        <w:tc>
          <w:tcPr>
            <w:tcW w:type="dxa" w:w="5960"/>
            <w:tcMar>
              <w:top w:type="dxa" w:w="60"/>
              <w:left w:type="dxa" w:w="100"/>
              <w:bottom w:type="dxa" w:w="60"/>
              <w:right w:type="dxa" w:w="100"/>
            </w:tcMar>
          </w:tcPr>
          <w:p>
            <w:pPr>
              <w:spacing w:after="0"/>
            </w:pPr>
            <w:r>
              <w:t xml:space="preserve">Which pass(es) the plan satisfied; the distinct MBOM Job Numbers for the line (stacked when plural); and issue badges.</w:t>
            </w:r>
          </w:p>
        </w:tc>
      </w:tr>
      <w:tr>
        <w:tc>
          <w:tcPr>
            <w:tcW w:type="dxa" w:w="3400"/>
            <w:tcMar>
              <w:top w:type="dxa" w:w="60"/>
              <w:left w:type="dxa" w:w="100"/>
              <w:bottom w:type="dxa" w:w="60"/>
              <w:right w:type="dxa" w:w="100"/>
            </w:tcMar>
          </w:tcPr>
          <w:p>
            <w:pPr>
              <w:spacing w:after="0"/>
            </w:pPr>
            <w:r>
              <w:t xml:space="preserve">MBOM Direct Qty</w:t>
            </w:r>
          </w:p>
        </w:tc>
        <w:tc>
          <w:tcPr>
            <w:tcW w:type="dxa" w:w="5960"/>
            <w:tcMar>
              <w:top w:type="dxa" w:w="60"/>
              <w:left w:type="dxa" w:w="100"/>
              <w:bottom w:type="dxa" w:w="60"/>
              <w:right w:type="dxa" w:w="100"/>
            </w:tcMar>
          </w:tcPr>
          <w:p>
            <w:pPr>
              <w:spacing w:after="0"/>
            </w:pPr>
            <w:r>
              <w:t xml:space="preserve">Planned quantity. Shows "↑ parent" in green italic when the line is covered via an ancestor (no direct qty of its own), or in muted italic on structural A/B collector rows.</w:t>
            </w:r>
          </w:p>
        </w:tc>
      </w:tr>
      <w:tr>
        <w:tc>
          <w:tcPr>
            <w:tcW w:type="dxa" w:w="3400"/>
            <w:tcMar>
              <w:top w:type="dxa" w:w="60"/>
              <w:left w:type="dxa" w:w="100"/>
              <w:bottom w:type="dxa" w:w="60"/>
              <w:right w:type="dxa" w:w="100"/>
            </w:tcMar>
          </w:tcPr>
          <w:p>
            <w:pPr>
              <w:spacing w:after="0"/>
            </w:pPr>
            <w:r>
              <w:t xml:space="preserve">ABOM Traceability / Reconciliation Notes</w:t>
            </w:r>
          </w:p>
        </w:tc>
        <w:tc>
          <w:tcPr>
            <w:tcW w:type="dxa" w:w="5960"/>
            <w:tcMar>
              <w:top w:type="dxa" w:w="60"/>
              <w:left w:type="dxa" w:w="100"/>
              <w:bottom w:type="dxa" w:w="60"/>
              <w:right w:type="dxa" w:w="100"/>
            </w:tcMar>
          </w:tcPr>
          <w:p>
            <w:pPr>
              <w:spacing w:after="0"/>
            </w:pPr>
            <w:r>
              <w:t xml:space="preserve">The build-side pass results and issue badges. ⚑ purple badges mark adjudicated legs.</w:t>
            </w:r>
          </w:p>
        </w:tc>
      </w:tr>
      <w:tr>
        <w:tc>
          <w:tcPr>
            <w:tcW w:type="dxa" w:w="3400"/>
            <w:tcMar>
              <w:top w:type="dxa" w:w="60"/>
              <w:left w:type="dxa" w:w="100"/>
              <w:bottom w:type="dxa" w:w="60"/>
              <w:right w:type="dxa" w:w="100"/>
            </w:tcMar>
          </w:tcPr>
          <w:p>
            <w:pPr>
              <w:spacing w:after="0"/>
            </w:pPr>
            <w:r>
              <w:t xml:space="preserve">ABOM Direct Qty (Roll Up) / ABOM Direct NH</w:t>
            </w:r>
          </w:p>
        </w:tc>
        <w:tc>
          <w:tcPr>
            <w:tcW w:type="dxa" w:w="5960"/>
            <w:tcMar>
              <w:top w:type="dxa" w:w="60"/>
              <w:left w:type="dxa" w:w="100"/>
              <w:bottom w:type="dxa" w:w="60"/>
              <w:right w:type="dxa" w:w="100"/>
            </w:tcMar>
          </w:tcPr>
          <w:p>
            <w:pPr>
              <w:spacing w:after="0"/>
            </w:pPr>
            <w:r>
              <w:t xml:space="preserve">The engine’s net as-built quantity (what checks use) and the Next Higher actually found. A highlighted NH means the part was found under a different parent than designed — expected in many programs, not automatically a defect.</w:t>
            </w:r>
          </w:p>
        </w:tc>
      </w:tr>
      <w:tr>
        <w:tc>
          <w:tcPr>
            <w:tcW w:type="dxa" w:w="3400"/>
            <w:tcMar>
              <w:top w:type="dxa" w:w="60"/>
              <w:left w:type="dxa" w:w="100"/>
              <w:bottom w:type="dxa" w:w="60"/>
              <w:right w:type="dxa" w:w="100"/>
            </w:tcMar>
          </w:tcPr>
          <w:p>
            <w:pPr>
              <w:spacing w:after="0"/>
            </w:pPr>
            <w:r>
              <w:t xml:space="preserve">ABOM Direct Job Number / WO# / Qty (per WO) / Proc Code / WO Status</w:t>
            </w:r>
          </w:p>
        </w:tc>
        <w:tc>
          <w:tcPr>
            <w:tcW w:type="dxa" w:w="5960"/>
            <w:tcMar>
              <w:top w:type="dxa" w:w="60"/>
              <w:left w:type="dxa" w:w="100"/>
              <w:bottom w:type="dxa" w:w="60"/>
              <w:right w:type="dxa" w:w="100"/>
            </w:tcMar>
          </w:tcPr>
          <w:p>
            <w:pPr>
              <w:spacing w:after="0"/>
            </w:pPr>
            <w:r>
              <w:t xml:space="preserve">The raw as-built records, one embedded line each, aligned across all five columns: each Job Number sits beside its own WO, its raw quantity, its proc code, and that WO’s status. A purple ⚑ line is an SME-linked WO from a claim.</w:t>
            </w:r>
          </w:p>
        </w:tc>
      </w:tr>
      <w:tr>
        <w:tc>
          <w:tcPr>
            <w:tcW w:type="dxa" w:w="3400"/>
            <w:tcMar>
              <w:top w:type="dxa" w:w="60"/>
              <w:left w:type="dxa" w:w="100"/>
              <w:bottom w:type="dxa" w:w="60"/>
              <w:right w:type="dxa" w:w="100"/>
            </w:tcMar>
          </w:tcPr>
          <w:p>
            <w:pPr>
              <w:spacing w:after="0"/>
            </w:pPr>
            <w:r>
              <w:t xml:space="preserve">ABOM Used On Job Number / WO# / WO Status</w:t>
            </w:r>
          </w:p>
        </w:tc>
        <w:tc>
          <w:tcPr>
            <w:tcW w:type="dxa" w:w="5960"/>
            <w:tcMar>
              <w:top w:type="dxa" w:w="60"/>
              <w:left w:type="dxa" w:w="100"/>
              <w:bottom w:type="dxa" w:w="60"/>
              <w:right w:type="dxa" w:w="100"/>
            </w:tcMar>
          </w:tcPr>
          <w:p>
            <w:pPr>
              <w:spacing w:after="0"/>
            </w:pPr>
            <w:r>
              <w:t xml:space="preserve">The parent-assembly (Pass 2) work orders, stacked, each Job Number aligned with its WO. One status applies to the whole stack — the engine fills this list from one WO pool at a time.</w:t>
            </w:r>
          </w:p>
        </w:tc>
      </w:tr>
      <w:tr>
        <w:tc>
          <w:tcPr>
            <w:tcW w:type="dxa" w:w="3400"/>
            <w:tcMar>
              <w:top w:type="dxa" w:w="60"/>
              <w:left w:type="dxa" w:w="100"/>
              <w:bottom w:type="dxa" w:w="60"/>
              <w:right w:type="dxa" w:w="100"/>
            </w:tcMar>
          </w:tcPr>
          <w:p>
            <w:pPr>
              <w:spacing w:after="0"/>
            </w:pPr>
            <w:r>
              <w:t xml:space="preserve">Drawing / Drawing PL Rev / DCN / ECN / ECR (+ statuses) / CP History</w:t>
            </w:r>
          </w:p>
        </w:tc>
        <w:tc>
          <w:tcPr>
            <w:tcW w:type="dxa" w:w="5960"/>
            <w:tcMar>
              <w:top w:type="dxa" w:w="60"/>
              <w:left w:type="dxa" w:w="100"/>
              <w:bottom w:type="dxa" w:w="60"/>
              <w:right w:type="dxa" w:w="100"/>
            </w:tcMar>
          </w:tcPr>
          <w:p>
            <w:pPr>
              <w:spacing w:after="0"/>
            </w:pPr>
            <w:r>
              <w:t xml:space="preserve">Change-pedigree columns (CP file). Drawing PL Rev comes from the EBOM.</w:t>
            </w:r>
          </w:p>
        </w:tc>
      </w:tr>
      <w:tr>
        <w:tc>
          <w:tcPr>
            <w:tcW w:type="dxa" w:w="3400"/>
            <w:tcMar>
              <w:top w:type="dxa" w:w="60"/>
              <w:left w:type="dxa" w:w="100"/>
              <w:bottom w:type="dxa" w:w="60"/>
              <w:right w:type="dxa" w:w="100"/>
            </w:tcMar>
          </w:tcPr>
          <w:p>
            <w:pPr>
              <w:spacing w:after="0"/>
            </w:pPr>
            <w:r>
              <w:t xml:space="preserve">WO Action / WO Serial-Meta</w:t>
            </w:r>
          </w:p>
        </w:tc>
        <w:tc>
          <w:tcPr>
            <w:tcW w:type="dxa" w:w="5960"/>
            <w:tcMar>
              <w:top w:type="dxa" w:w="60"/>
              <w:left w:type="dxa" w:w="100"/>
              <w:bottom w:type="dxa" w:w="60"/>
              <w:right w:type="dxa" w:w="100"/>
            </w:tcMar>
          </w:tcPr>
          <w:p>
            <w:pPr>
              <w:spacing w:after="0"/>
            </w:pPr>
            <w:r>
              <w:t xml:space="preserve">Install/remove actions and serials from the WO5 file.</w:t>
            </w:r>
          </w:p>
        </w:tc>
      </w:tr>
      <w:tr>
        <w:tc>
          <w:tcPr>
            <w:tcW w:type="dxa" w:w="3400"/>
            <w:tcMar>
              <w:top w:type="dxa" w:w="60"/>
              <w:left w:type="dxa" w:w="100"/>
              <w:bottom w:type="dxa" w:w="60"/>
              <w:right w:type="dxa" w:w="100"/>
            </w:tcMar>
          </w:tcPr>
          <w:p>
            <w:pPr>
              <w:spacing w:after="0"/>
            </w:pPr>
            <w:r>
              <w:t xml:space="preserve">NCR Direct … / NCR Used On …</w:t>
            </w:r>
          </w:p>
        </w:tc>
        <w:tc>
          <w:tcPr>
            <w:tcW w:type="dxa" w:w="5960"/>
            <w:tcMar>
              <w:top w:type="dxa" w:w="60"/>
              <w:left w:type="dxa" w:w="100"/>
              <w:bottom w:type="dxa" w:w="60"/>
              <w:right w:type="dxa" w:w="100"/>
            </w:tcMar>
          </w:tcPr>
          <w:p>
            <w:pPr>
              <w:spacing w:after="0"/>
            </w:pPr>
            <w:r>
              <w:t xml:space="preserve">Nonconformances where this part is the discrepant part (pool 1) or the assembly it was found on (pool 2), with disposition detail.</w:t>
            </w:r>
          </w:p>
        </w:tc>
      </w:tr>
      <w:tr>
        <w:tc>
          <w:tcPr>
            <w:tcW w:type="dxa" w:w="3400"/>
            <w:tcMar>
              <w:top w:type="dxa" w:w="60"/>
              <w:left w:type="dxa" w:w="100"/>
              <w:bottom w:type="dxa" w:w="60"/>
              <w:right w:type="dxa" w:w="100"/>
            </w:tcMar>
          </w:tcPr>
          <w:p>
            <w:pPr>
              <w:spacing w:after="0"/>
            </w:pPr>
            <w:r>
              <w:t xml:space="preserve">RFV Links / Adj Claims / Overall</w:t>
            </w:r>
          </w:p>
        </w:tc>
        <w:tc>
          <w:tcPr>
            <w:tcW w:type="dxa" w:w="5960"/>
            <w:tcMar>
              <w:top w:type="dxa" w:w="60"/>
              <w:left w:type="dxa" w:w="100"/>
              <w:bottom w:type="dxa" w:w="60"/>
              <w:right w:type="dxa" w:w="100"/>
            </w:tcMar>
          </w:tcPr>
          <w:p>
            <w:pPr>
              <w:spacing w:after="0"/>
            </w:pPr>
            <w:r>
              <w:t xml:space="preserve">Teal ◈ variance links; ⚑ claim badges; and the worst-to-best rollup of every leg.</w:t>
            </w:r>
          </w:p>
        </w:tc>
      </w:tr>
    </w:tbl>
    <w:p>
      <w:pPr>
        <w:pStyle w:val="Heading2"/>
        <w:spacing w:after="120" w:before="240"/>
      </w:pPr>
      <w:r>
        <w:t xml:space="preserve">6.2 Working the table</w:t>
      </w:r>
    </w:p>
    <w:p>
      <w:pPr>
        <w:pStyle w:val="ListParagraph"/>
        <w:numPr>
          <w:ilvl w:val="0"/>
          <w:numId w:val="2"/>
        </w:numPr>
        <w:spacing w:after="80"/>
      </w:pPr>
      <w:r>
        <w:rPr>
          <w:b/>
          <w:bCs/>
        </w:rPr>
        <w:t xml:space="preserve">Filter chips and search</w:t>
      </w:r>
      <w:r>
        <w:t xml:space="preserve"> narrow rows by status, and the </w:t>
      </w:r>
      <w:r>
        <w:rPr>
          <w:b/>
          <w:bCs/>
        </w:rPr>
        <w:t xml:space="preserve">⚑ Adjudicated</w:t>
      </w:r>
      <w:r>
        <w:t xml:space="preserve"> filter appears once any claim is applied.</w:t>
      </w:r>
    </w:p>
    <w:p>
      <w:pPr>
        <w:pStyle w:val="ListParagraph"/>
        <w:numPr>
          <w:ilvl w:val="0"/>
          <w:numId w:val="2"/>
        </w:numPr>
        <w:spacing w:after="80"/>
      </w:pPr>
      <w:r>
        <w:rPr>
          <w:b/>
          <w:bCs/>
        </w:rPr>
        <w:t xml:space="preserve">Contextual search</w:t>
      </w:r>
      <w:r>
        <w:t xml:space="preserve"> re-frames the table around one part — its ancestors and descendants — with a Relationship column, and has its own Excel export.</w:t>
      </w:r>
    </w:p>
    <w:p>
      <w:pPr>
        <w:pStyle w:val="ListParagraph"/>
        <w:numPr>
          <w:ilvl w:val="0"/>
          <w:numId w:val="2"/>
        </w:numPr>
        <w:spacing w:after="80"/>
      </w:pPr>
      <w:r>
        <w:rPr>
          <w:b/>
          <w:bCs/>
        </w:rPr>
        <w:t xml:space="preserve">Stacked cells</w:t>
      </w:r>
      <w:r>
        <w:t xml:space="preserve">: multiple values inside one cell (WOs, jobs, per-WO quantities) are embedded rows, aligned line-for-line across neighboring columns so each as-built record reads straight across.</w:t>
      </w:r>
    </w:p>
    <w:p>
      <w:r>
        <w:br w:type="page"/>
      </w:r>
    </w:p>
    <w:p>
      <w:pPr>
        <w:pStyle w:val="Heading1"/>
        <w:spacing w:after="160" w:before="320"/>
      </w:pPr>
      <w:r>
        <w:t xml:space="preserve">7. Drill-Down Windows</w:t>
      </w:r>
    </w:p>
    <w:p>
      <w:pPr>
        <w:spacing w:after="120"/>
      </w:pPr>
      <w:r>
        <w:t xml:space="preserve">Clicking any clickable card opens a window listing the exact rows behind its number — the count in the title always matches the card. Every list window gives you the same three tools:</w:t>
      </w:r>
    </w:p>
    <w:p>
      <w:pPr>
        <w:pStyle w:val="ListParagraph"/>
        <w:numPr>
          <w:ilvl w:val="0"/>
          <w:numId w:val="2"/>
        </w:numPr>
        <w:spacing w:after="80"/>
      </w:pPr>
      <w:r>
        <w:rPr>
          <w:b/>
          <w:bCs/>
        </w:rPr>
        <w:t xml:space="preserve">Type-to-filter bar</w:t>
      </w:r>
      <w:r>
        <w:t xml:space="preserve"> — filters rows live across every table in the window by any visible text (part number, WO, CI, status), with an "N of M rows match" count. Note rows are never hidden.</w:t>
      </w:r>
    </w:p>
    <w:p>
      <w:pPr>
        <w:pStyle w:val="ListParagraph"/>
        <w:numPr>
          <w:ilvl w:val="0"/>
          <w:numId w:val="2"/>
        </w:numPr>
        <w:spacing w:after="80"/>
      </w:pPr>
      <w:r>
        <w:rPr>
          <w:b/>
          <w:bCs/>
        </w:rPr>
        <w:t xml:space="preserve">⬇ Export XLSX</w:t>
      </w:r>
      <w:r>
        <w:t xml:space="preserve"> — exports the window’s table(s) to Excel.</w:t>
      </w:r>
    </w:p>
    <w:p>
      <w:pPr>
        <w:pStyle w:val="ListParagraph"/>
        <w:numPr>
          <w:ilvl w:val="0"/>
          <w:numId w:val="2"/>
        </w:numPr>
        <w:spacing w:after="80"/>
      </w:pPr>
      <w:r>
        <w:rPr>
          <w:b/>
          <w:bCs/>
        </w:rPr>
        <w:t xml:space="preserve">✕ Close / Esc / click-outside</w:t>
      </w:r>
      <w:r>
        <w:t xml:space="preserve"> — Esc closes one layer at a time when windows are stacked.</w:t>
      </w:r>
    </w:p>
    <w:p>
      <w:pPr>
        <w:spacing w:after="120"/>
      </w:pPr>
      <w:r>
        <w:t xml:space="preserve">Issue windows (Missing, Qty Mismatch) also carry a per-row </w:t>
      </w:r>
      <w:r>
        <w:rPr>
          <w:b/>
          <w:bCs/>
        </w:rPr>
        <w:t xml:space="preserve">⚑ Adjudicate</w:t>
      </w:r>
      <w:r>
        <w:t xml:space="preserve"> action that opens the claim form pre-filled for that row (Section 8).</w:t>
      </w:r>
    </w:p>
    <w:p>
      <w:pPr>
        <w:pStyle w:val="Heading1"/>
        <w:spacing w:after="160" w:before="320"/>
      </w:pPr>
      <w:r>
        <w:t xml:space="preserve">8. Making Claims — the Adjudication Workbench</w:t>
      </w:r>
    </w:p>
    <w:p>
      <w:pPr>
        <w:spacing w:after="120"/>
      </w:pPr>
      <w:r>
        <w:t xml:space="preserve">The engine reports what the data supports. When you, as the subject-matter expert, know something the data doesn’t show — a part embodied under a work order the ABOM missed, an acceptable quantity variance, a CI-to-NCR relationship — you record it as a </w:t>
      </w:r>
      <w:r>
        <w:rPr>
          <w:b/>
          <w:bCs/>
        </w:rPr>
        <w:t xml:space="preserve">claim</w:t>
      </w:r>
      <w:r>
        <w:t xml:space="preserve">. Claims never alter your raw data or the engine’s raw results; they form a reviewable overlay, and everything they touch is shown in </w:t>
      </w:r>
      <w:r>
        <w:rPr>
          <w:b/>
          <w:bCs/>
        </w:rPr>
        <w:t xml:space="preserve">purple</w:t>
      </w:r>
      <w:r>
        <w:t xml:space="preserve"> and tagged "Manual SME" wherever it appears.</w:t>
      </w:r>
    </w:p>
    <w:p>
      <w:pPr>
        <w:pStyle w:val="Heading2"/>
        <w:spacing w:after="120" w:before="240"/>
      </w:pPr>
      <w:r>
        <w:t xml:space="preserve">8.1 The claim workflow</w:t>
      </w:r>
    </w:p>
    <w:p>
      <w:pPr>
        <w:pStyle w:val="ListParagraph"/>
        <w:numPr>
          <w:ilvl w:val="0"/>
          <w:numId w:val="2"/>
        </w:numPr>
        <w:spacing w:after="80"/>
      </w:pPr>
      <w:r>
        <w:rPr>
          <w:b/>
          <w:bCs/>
        </w:rPr>
        <w:t xml:space="preserve">Find candidates.</w:t>
      </w:r>
      <w:r>
        <w:t xml:space="preserve"> The Workbench’s helper cards surface likely matches: dash-variant part numbers, next-higher near-matches, NCRs lacking an EBOM trace, MBOM/ABOM parts absent from the EBOM. Helpers are informational — nothing happens without your review.</w:t>
      </w:r>
    </w:p>
    <w:p>
      <w:pPr>
        <w:pStyle w:val="ListParagraph"/>
        <w:numPr>
          <w:ilvl w:val="0"/>
          <w:numId w:val="2"/>
        </w:numPr>
        <w:spacing w:after="80"/>
      </w:pPr>
      <w:r>
        <w:rPr>
          <w:b/>
          <w:bCs/>
        </w:rPr>
        <w:t xml:space="preserve">File the claim</w:t>
      </w:r>
      <w:r>
        <w:t xml:space="preserve"> from a helper row, from an issue window’s ⚑ Adjudicate button, or from the Manual CI Trace form (up to 6 CIs per NCR disposition). Enter your name/role and rationale; claims can carry an SME-linked work order.</w:t>
      </w:r>
    </w:p>
    <w:p>
      <w:pPr>
        <w:pStyle w:val="ListParagraph"/>
        <w:numPr>
          <w:ilvl w:val="0"/>
          <w:numId w:val="2"/>
        </w:numPr>
        <w:spacing w:after="80"/>
      </w:pPr>
      <w:r>
        <w:rPr>
          <w:b/>
          <w:bCs/>
        </w:rPr>
        <w:t xml:space="preserve">Process Adjudications.</w:t>
      </w:r>
      <w:r>
        <w:t xml:space="preserve"> Claims apply as a batch, rebuilding the overlay from the untouched raw results plus every claim. You can revert to raw at any time.</w:t>
      </w:r>
    </w:p>
    <w:p>
      <w:pPr>
        <w:pStyle w:val="Heading2"/>
        <w:spacing w:after="120" w:before="240"/>
      </w:pPr>
      <w:r>
        <w:t xml:space="preserve">8.2 Where claims show up</w:t>
      </w:r>
    </w:p>
    <w:p>
      <w:pPr>
        <w:spacing w:after="120"/>
      </w:pPr>
      <w:r>
        <w:t xml:space="preserve">Applied claims surface anywhere a status is read: ⚑ badges in the summary table, purple traceability variants, dashed "from SME claims" sub-lines on the cards, the ⚑ filter — and in the Excel reports: the CI report’s two claims sheets, the RFV report’s SME-tagged rows, Change Commitment closures (closed </w:t>
      </w:r>
      <w:r>
        <w:rPr>
          <w:i/>
          <w:iCs/>
        </w:rPr>
        <w:t xml:space="preserve">or</w:t>
      </w:r>
      <w:r>
        <w:t xml:space="preserve"> adjudicated), and the Planned Not Installed qualifying set and residuals. Headline percentages count adjudicated legs as reconciled.</w:t>
      </w:r>
    </w:p>
    <w:p>
      <w:pPr>
        <w:spacing w:after="120"/>
      </w:pPr>
      <w:r>
        <w:rPr>
          <w:i/>
          <w:iCs/>
        </w:rPr>
        <w:t xml:space="preserve">Interpretation rule:</w:t>
      </w:r>
      <w:r>
        <w:t xml:space="preserve"> purple means a human decision. Auditors can separate machine findings from SME judgment at a glance, and the claims export lists every claim with its author and rationale.</w:t>
      </w:r>
    </w:p>
    <w:p>
      <w:r>
        <w:br w:type="page"/>
      </w:r>
    </w:p>
    <w:p>
      <w:pPr>
        <w:pStyle w:val="Heading1"/>
        <w:spacing w:after="160" w:before="320"/>
      </w:pPr>
      <w:r>
        <w:t xml:space="preserve">9. Reports &amp; Exports</w:t>
      </w:r>
    </w:p>
    <w:p>
      <w:pPr>
        <w:pStyle w:val="Heading2"/>
        <w:spacing w:after="120" w:before="240"/>
      </w:pPr>
      <w:r>
        <w:t xml:space="preserve">9.1 The main comparison exports</w:t>
      </w:r>
    </w:p>
    <w:p>
      <w:pPr>
        <w:spacing w:after="120"/>
      </w:pPr>
      <w:r>
        <w:rPr>
          <w:b/>
          <w:bCs/>
        </w:rPr>
        <w:t xml:space="preserve">Excel (Comparison Summary, Issues Only, WO Status Not Closed — plus an Audit Certificate sheet once the session is frozen), CSV, and a standalone HTML report.</w:t>
      </w:r>
      <w:r>
        <w:t xml:space="preserve"> The Excel and CSV mirror the Detailed View’s columns; the HTML report mirrors the on-screen presentation with stacked cells.</w:t>
      </w:r>
    </w:p>
    <w:p>
      <w:pPr>
        <w:spacing w:after="120"/>
      </w:pPr>
      <w:r>
        <w:rPr>
          <w:b/>
          <w:bCs/>
        </w:rPr>
        <w:t xml:space="preserve">Row fanning — read this before counting anything.</w:t>
      </w:r>
      <w:r>
        <w:t xml:space="preserve"> Excel cells cannot stack, so the exports </w:t>
      </w:r>
      <w:r>
        <w:rPr>
          <w:i/>
          <w:iCs/>
        </w:rPr>
        <w:t xml:space="preserve">fan</w:t>
      </w:r>
      <w:r>
        <w:t xml:space="preserve">: one row per as-built record, with used-on work orders and MBOM Job Numbers fanned in parallel (a line’s row count is the longest of its lists, times its NCR entries). Two leading columns keep this honest:</w:t>
      </w:r>
    </w:p>
    <w:p>
      <w:pPr>
        <w:pStyle w:val="ListParagraph"/>
        <w:numPr>
          <w:ilvl w:val="0"/>
          <w:numId w:val="2"/>
        </w:numPr>
        <w:spacing w:after="80"/>
      </w:pPr>
      <w:r>
        <w:rPr>
          <w:b/>
          <w:bCs/>
        </w:rPr>
        <w:t xml:space="preserve">EBOM Line #</w:t>
      </w:r>
      <w:r>
        <w:t xml:space="preserve"> — the permanent line number(s) from your EBOM file. Repeats on every fanned row of the same line; "12; 47" marks a merged duplicate; gaps are excluded lines. On the full Comparison Summary sheet, the highest number equals your EBOM’s true data-row count.</w:t>
      </w:r>
    </w:p>
    <w:p>
      <w:pPr>
        <w:pStyle w:val="ListParagraph"/>
        <w:numPr>
          <w:ilvl w:val="0"/>
          <w:numId w:val="2"/>
        </w:numPr>
        <w:spacing w:after="80"/>
      </w:pPr>
      <w:r>
        <w:rPr>
          <w:b/>
          <w:bCs/>
        </w:rPr>
        <w:t xml:space="preserve">Export Row (not a qty)</w:t>
      </w:r>
      <w:r>
        <w:t xml:space="preserve"> — reads "Row 2 of 4": this row’s position within its line’s fan. </w:t>
      </w:r>
      <w:r>
        <w:rPr>
          <w:b/>
          <w:bCs/>
        </w:rPr>
        <w:t xml:space="preserve">Never a quantity.</w:t>
      </w:r>
      <w:r>
        <w:t xml:space="preserve"> Filter to "Row 1 of" for one row per line, or pivot on EBOM Line #.</w:t>
      </w:r>
    </w:p>
    <w:p>
      <w:pPr>
        <w:pStyle w:val="Heading2"/>
        <w:spacing w:after="120" w:before="240"/>
      </w:pPr>
      <w:r>
        <w:t xml:space="preserve">9.2 The specialty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E8EAF0" w:val="clear"/>
            <w:tcMar>
              <w:top w:type="dxa" w:w="60"/>
              <w:left w:type="dxa" w:w="100"/>
              <w:bottom w:type="dxa" w:w="60"/>
              <w:right w:type="dxa" w:w="100"/>
            </w:tcMar>
          </w:tcPr>
          <w:p>
            <w:pPr>
              <w:spacing w:after="0"/>
            </w:pPr>
            <w:r>
              <w:t xml:space="preserve">Report</w:t>
            </w:r>
          </w:p>
        </w:tc>
        <w:tc>
          <w:tcPr>
            <w:tcW w:type="dxa" w:w="6660"/>
            <w:shd w:fill="E8EAF0" w:val="clear"/>
            <w:tcMar>
              <w:top w:type="dxa" w:w="60"/>
              <w:left w:type="dxa" w:w="100"/>
              <w:bottom w:type="dxa" w:w="60"/>
              <w:right w:type="dxa" w:w="100"/>
            </w:tcMar>
          </w:tcPr>
          <w:p>
            <w:pPr>
              <w:spacing w:after="0"/>
            </w:pPr>
            <w:r>
              <w:t xml:space="preserve">What it answers</w:t>
            </w:r>
          </w:p>
        </w:tc>
      </w:tr>
      <w:tr>
        <w:tc>
          <w:tcPr>
            <w:tcW w:type="dxa" w:w="2700"/>
            <w:tcMar>
              <w:top w:type="dxa" w:w="60"/>
              <w:left w:type="dxa" w:w="100"/>
              <w:bottom w:type="dxa" w:w="60"/>
              <w:right w:type="dxa" w:w="100"/>
            </w:tcMar>
          </w:tcPr>
          <w:p>
            <w:pPr>
              <w:spacing w:after="0"/>
            </w:pPr>
            <w:r>
              <w:t xml:space="preserve">CI Traceability Report</w:t>
            </w:r>
          </w:p>
        </w:tc>
        <w:tc>
          <w:tcPr>
            <w:tcW w:type="dxa" w:w="6660"/>
            <w:tcMar>
              <w:top w:type="dxa" w:w="60"/>
              <w:left w:type="dxa" w:w="100"/>
              <w:bottom w:type="dxa" w:w="60"/>
              <w:right w:type="dxa" w:w="100"/>
            </w:tcMar>
          </w:tcPr>
          <w:p>
            <w:pPr>
              <w:spacing w:after="0"/>
            </w:pPr>
            <w:r>
              <w:t xml:space="preserve">The full CSA pedigree per Configuration Item across ~15 sheets: per-line detail, one-row-per-CI summary, embodiment paths, NCR/drawing/change traces, and the two processed-claims sheets.</w:t>
            </w:r>
          </w:p>
        </w:tc>
      </w:tr>
      <w:tr>
        <w:tc>
          <w:tcPr>
            <w:tcW w:type="dxa" w:w="2700"/>
            <w:tcMar>
              <w:top w:type="dxa" w:w="60"/>
              <w:left w:type="dxa" w:w="100"/>
              <w:bottom w:type="dxa" w:w="60"/>
              <w:right w:type="dxa" w:w="100"/>
            </w:tcMar>
          </w:tcPr>
          <w:p>
            <w:pPr>
              <w:spacing w:after="0"/>
            </w:pPr>
            <w:r>
              <w:t xml:space="preserve">CI As-Built Records Guide</w:t>
            </w:r>
          </w:p>
        </w:tc>
        <w:tc>
          <w:tcPr>
            <w:tcW w:type="dxa" w:w="6660"/>
            <w:tcMar>
              <w:top w:type="dxa" w:w="60"/>
              <w:left w:type="dxa" w:w="100"/>
              <w:bottom w:type="dxa" w:w="60"/>
              <w:right w:type="dxa" w:w="100"/>
            </w:tcMar>
          </w:tcPr>
          <w:p>
            <w:pPr>
              <w:spacing w:after="0"/>
            </w:pPr>
            <w:r>
              <w:t xml:space="preserve">A per-CI yes/no flag matrix (columns F–M) indexing the Traceability Report: physical presence by path, NCR and RFV linkage, manual-trace flags, and overall presence. The legend on the sheet explains each column and how it relates to the dashboard KPIs.</w:t>
            </w:r>
          </w:p>
        </w:tc>
      </w:tr>
      <w:tr>
        <w:tc>
          <w:tcPr>
            <w:tcW w:type="dxa" w:w="2700"/>
            <w:tcMar>
              <w:top w:type="dxa" w:w="60"/>
              <w:left w:type="dxa" w:w="100"/>
              <w:bottom w:type="dxa" w:w="60"/>
              <w:right w:type="dxa" w:w="100"/>
            </w:tcMar>
          </w:tcPr>
          <w:p>
            <w:pPr>
              <w:spacing w:after="0"/>
            </w:pPr>
            <w:r>
              <w:t xml:space="preserve">RFV Traceability Report</w:t>
            </w:r>
          </w:p>
        </w:tc>
        <w:tc>
          <w:tcPr>
            <w:tcW w:type="dxa" w:w="6660"/>
            <w:tcMar>
              <w:top w:type="dxa" w:w="60"/>
              <w:left w:type="dxa" w:w="100"/>
              <w:bottom w:type="dxa" w:w="60"/>
              <w:right w:type="dxa" w:w="100"/>
            </w:tcMar>
          </w:tcPr>
          <w:p>
            <w:pPr>
              <w:spacing w:after="0"/>
            </w:pPr>
            <w:r>
              <w:t xml:space="preserve">Four sheets: variances matched by part (A), via NCR disposition (B), via work order — physical and SME-linked (C), and unmatched (D).</w:t>
            </w:r>
          </w:p>
        </w:tc>
      </w:tr>
      <w:tr>
        <w:tc>
          <w:tcPr>
            <w:tcW w:type="dxa" w:w="2700"/>
            <w:tcMar>
              <w:top w:type="dxa" w:w="60"/>
              <w:left w:type="dxa" w:w="100"/>
              <w:bottom w:type="dxa" w:w="60"/>
              <w:right w:type="dxa" w:w="100"/>
            </w:tcMar>
          </w:tcPr>
          <w:p>
            <w:pPr>
              <w:spacing w:after="0"/>
            </w:pPr>
            <w:r>
              <w:t xml:space="preserve">Planned Not Installed</w:t>
            </w:r>
          </w:p>
        </w:tc>
        <w:tc>
          <w:tcPr>
            <w:tcW w:type="dxa" w:w="6660"/>
            <w:tcMar>
              <w:top w:type="dxa" w:w="60"/>
              <w:left w:type="dxa" w:w="100"/>
              <w:bottom w:type="dxa" w:w="60"/>
              <w:right w:type="dxa" w:w="100"/>
            </w:tcMar>
          </w:tcPr>
          <w:p>
            <w:pPr>
              <w:spacing w:after="0"/>
            </w:pPr>
            <w:r>
              <w:t xml:space="preserve">Items complete in the plan (including SME-adjudicated legs) but missing or short in the build — your open-work list.</w:t>
            </w:r>
          </w:p>
        </w:tc>
      </w:tr>
      <w:tr>
        <w:tc>
          <w:tcPr>
            <w:tcW w:type="dxa" w:w="2700"/>
            <w:tcMar>
              <w:top w:type="dxa" w:w="60"/>
              <w:left w:type="dxa" w:w="100"/>
              <w:bottom w:type="dxa" w:w="60"/>
              <w:right w:type="dxa" w:w="100"/>
            </w:tcMar>
          </w:tcPr>
          <w:p>
            <w:pPr>
              <w:spacing w:after="0"/>
            </w:pPr>
            <w:r>
              <w:t xml:space="preserve">Unplanned Not Installed</w:t>
            </w:r>
          </w:p>
        </w:tc>
        <w:tc>
          <w:tcPr>
            <w:tcW w:type="dxa" w:w="6660"/>
            <w:tcMar>
              <w:top w:type="dxa" w:w="60"/>
              <w:left w:type="dxa" w:w="100"/>
              <w:bottom w:type="dxa" w:w="60"/>
              <w:right w:type="dxa" w:w="100"/>
            </w:tcMar>
          </w:tcPr>
          <w:p>
            <w:pPr>
              <w:spacing w:after="0"/>
            </w:pPr>
            <w:r>
              <w:t xml:space="preserve">The complement: design lines never planned. Together the two reports partition the gaps.</w:t>
            </w:r>
          </w:p>
        </w:tc>
      </w:tr>
      <w:tr>
        <w:tc>
          <w:tcPr>
            <w:tcW w:type="dxa" w:w="2700"/>
            <w:tcMar>
              <w:top w:type="dxa" w:w="60"/>
              <w:left w:type="dxa" w:w="100"/>
              <w:bottom w:type="dxa" w:w="60"/>
              <w:right w:type="dxa" w:w="100"/>
            </w:tcMar>
          </w:tcPr>
          <w:p>
            <w:pPr>
              <w:spacing w:after="0"/>
            </w:pPr>
            <w:r>
              <w:t xml:space="preserve">Change Commitment List</w:t>
            </w:r>
          </w:p>
        </w:tc>
        <w:tc>
          <w:tcPr>
            <w:tcW w:type="dxa" w:w="6660"/>
            <w:tcMar>
              <w:top w:type="dxa" w:w="60"/>
              <w:left w:type="dxa" w:w="100"/>
              <w:bottom w:type="dxa" w:w="60"/>
              <w:right w:type="dxa" w:w="100"/>
            </w:tcMar>
          </w:tcPr>
          <w:p>
            <w:pPr>
              <w:spacing w:after="0"/>
            </w:pPr>
            <w:r>
              <w:t xml:space="preserve">ECNs whose entire EBOM footprint is embodied under closed WOs or SME adjudication — recommended closures.</w:t>
            </w:r>
          </w:p>
        </w:tc>
      </w:tr>
      <w:tr>
        <w:tc>
          <w:tcPr>
            <w:tcW w:type="dxa" w:w="2700"/>
            <w:tcMar>
              <w:top w:type="dxa" w:w="60"/>
              <w:left w:type="dxa" w:w="100"/>
              <w:bottom w:type="dxa" w:w="60"/>
              <w:right w:type="dxa" w:w="100"/>
            </w:tcMar>
          </w:tcPr>
          <w:p>
            <w:pPr>
              <w:spacing w:after="0"/>
            </w:pPr>
            <w:r>
              <w:t xml:space="preserve">ACN Report</w:t>
            </w:r>
          </w:p>
        </w:tc>
        <w:tc>
          <w:tcPr>
            <w:tcW w:type="dxa" w:w="6660"/>
            <w:tcMar>
              <w:top w:type="dxa" w:w="60"/>
              <w:left w:type="dxa" w:w="100"/>
              <w:bottom w:type="dxa" w:w="60"/>
              <w:right w:type="dxa" w:w="100"/>
            </w:tcMar>
          </w:tcPr>
          <w:p>
            <w:pPr>
              <w:spacing w:after="0"/>
            </w:pPr>
            <w:r>
              <w:t xml:space="preserve">Level 4–7 ACN embodiment with per-WO detail and open-NCR exposure.</w:t>
            </w:r>
          </w:p>
        </w:tc>
      </w:tr>
      <w:tr>
        <w:tc>
          <w:tcPr>
            <w:tcW w:type="dxa" w:w="2700"/>
            <w:tcMar>
              <w:top w:type="dxa" w:w="60"/>
              <w:left w:type="dxa" w:w="100"/>
              <w:bottom w:type="dxa" w:w="60"/>
              <w:right w:type="dxa" w:w="100"/>
            </w:tcMar>
          </w:tcPr>
          <w:p>
            <w:pPr>
              <w:spacing w:after="0"/>
            </w:pPr>
            <w:r>
              <w:t xml:space="preserve">WO5/ABOM Discrepancy, Apex, Ranked WOs, and others</w:t>
            </w:r>
          </w:p>
        </w:tc>
        <w:tc>
          <w:tcPr>
            <w:tcW w:type="dxa" w:w="6660"/>
            <w:tcMar>
              <w:top w:type="dxa" w:w="60"/>
              <w:left w:type="dxa" w:w="100"/>
              <w:bottom w:type="dxa" w:w="60"/>
              <w:right w:type="dxa" w:w="100"/>
            </w:tcMar>
          </w:tcPr>
          <w:p>
            <w:pPr>
              <w:spacing w:after="0"/>
            </w:pPr>
            <w:r>
              <w:t xml:space="preserve">Focused lists exported from their cards and windows; the Ranked Non-Closed WOs report orders open work by how many residual items each WO is gating.</w:t>
            </w:r>
          </w:p>
        </w:tc>
      </w:tr>
    </w:tbl>
    <w:p>
      <w:pPr>
        <w:pStyle w:val="Heading1"/>
        <w:spacing w:after="160" w:before="320"/>
      </w:pPr>
      <w:r>
        <w:t xml:space="preserve">10. Saving Your Work — Sessions and the Audit Certificate</w:t>
      </w:r>
    </w:p>
    <w:p>
      <w:pPr>
        <w:pStyle w:val="Heading2"/>
        <w:spacing w:after="120" w:before="240"/>
      </w:pPr>
      <w:r>
        <w:t xml:space="preserve">10.1 Session export / import</w:t>
      </w:r>
    </w:p>
    <w:p>
      <w:pPr>
        <w:spacing w:after="120"/>
      </w:pPr>
      <w:r>
        <w:rPr>
          <w:b/>
          <w:bCs/>
        </w:rPr>
        <w:t xml:space="preserve">Export Session</w:t>
      </w:r>
      <w:r>
        <w:t xml:space="preserve"> writes one JSON file containing everything: your uploaded data, the full results, every claim, your column mappings, and your proc code behavior. </w:t>
      </w:r>
      <w:r>
        <w:rPr>
          <w:b/>
          <w:bCs/>
        </w:rPr>
        <w:t xml:space="preserve">Import Session</w:t>
      </w:r>
      <w:r>
        <w:t xml:space="preserve"> restores it exactly — including on a different computer. Very large sessions import in a streaming mode (the tool tells you; allow a minute or two). Sessions saved by older builds import cleanly and gain newer features, such as EBOM line numbers, automatically.</w:t>
      </w:r>
    </w:p>
    <w:p>
      <w:pPr>
        <w:pStyle w:val="Heading2"/>
        <w:spacing w:after="120" w:before="240"/>
      </w:pPr>
      <w:r>
        <w:t xml:space="preserve">10.2 Finalize &amp; Freeze</w:t>
      </w:r>
    </w:p>
    <w:p>
      <w:pPr>
        <w:spacing w:after="120"/>
      </w:pPr>
      <w:r>
        <w:t xml:space="preserve">When the reconciliation is done and claims are processed, </w:t>
      </w:r>
      <w:r>
        <w:rPr>
          <w:b/>
          <w:bCs/>
        </w:rPr>
        <w:t xml:space="preserve">Finalize &amp; Freeze</w:t>
      </w:r>
      <w:r>
        <w:t xml:space="preserve"> locks the session and produces a </w:t>
      </w:r>
      <w:r>
        <w:rPr>
          <w:b/>
          <w:bCs/>
        </w:rPr>
        <w:t xml:space="preserve">Certificate of Configuration Audit</w:t>
      </w:r>
      <w:r>
        <w:t xml:space="preserve">: auditor name, timestamp, comparison mode, the proc code profile in force, and a cryptographic hash covering the raw results, the effective (adjudicated) results, every claim, and the proc code table. Two auditors with the same files can reach different numbers if they classified proc codes differently, so that classification is part of what the certificate attests to. A frozen session disables further uploads and re-runs, making the exported record defensible — any change to data or claims after freezing would no longer match the certificate.</w:t>
      </w:r>
    </w:p>
    <w:p>
      <w:r>
        <w:br w:type="page"/>
      </w:r>
    </w:p>
    <w:p>
      <w:pPr>
        <w:pStyle w:val="Heading1"/>
        <w:spacing w:after="160" w:before="320"/>
      </w:pPr>
      <w:r>
        <w:t xml:space="preserve">11. Interpreting What You See — Common Questions</w:t>
      </w:r>
    </w:p>
    <w:p>
      <w:pPr>
        <w:pStyle w:val="Heading3"/>
        <w:spacing w:after="100" w:before="180"/>
      </w:pPr>
      <w:r>
        <w:t xml:space="preserve">"The Excel export has far more rows than my EBOM."</w:t>
      </w:r>
    </w:p>
    <w:p>
      <w:pPr>
        <w:spacing w:after="120"/>
      </w:pPr>
      <w:r>
        <w:t xml:space="preserve">That is the row fanning (9.1). Count with EBOM Line #, never by counting rows.</w:t>
      </w:r>
    </w:p>
    <w:p>
      <w:pPr>
        <w:pStyle w:val="Heading3"/>
        <w:spacing w:after="100" w:before="180"/>
      </w:pPr>
      <w:r>
        <w:t xml:space="preserve">"Two columns disagree about quantity on one row."</w:t>
      </w:r>
    </w:p>
    <w:p>
      <w:pPr>
        <w:spacing w:after="120"/>
      </w:pPr>
      <w:r>
        <w:t xml:space="preserve">Probably a merged-duplicates row (4.4): EBOM Qty is the sum of the merged lines; Part Qty Text is one line’s text. The sum is what the engine used.</w:t>
      </w:r>
    </w:p>
    <w:p>
      <w:pPr>
        <w:pStyle w:val="Heading3"/>
        <w:spacing w:after="100" w:before="180"/>
      </w:pPr>
      <w:r>
        <w:t xml:space="preserve">"A part shows a different Next Higher than designed."</w:t>
      </w:r>
    </w:p>
    <w:p>
      <w:pPr>
        <w:spacing w:after="120"/>
      </w:pPr>
      <w:r>
        <w:t xml:space="preserve">Manufacturing structure legitimately need not mirror design structure. The parentage highlight is information, not automatically a defect.</w:t>
      </w:r>
    </w:p>
    <w:p>
      <w:pPr>
        <w:pStyle w:val="Heading3"/>
        <w:spacing w:after="100" w:before="180"/>
      </w:pPr>
      <w:r>
        <w:t xml:space="preserve">"This program uses proc codes Comparator doesn’t recognize."</w:t>
      </w:r>
    </w:p>
    <w:p>
      <w:pPr>
        <w:spacing w:after="120"/>
      </w:pPr>
      <w:r>
        <w:t xml:space="preserve">Open the Proc Code Behavior panel under the upload zones (3.3). It lists every proc code in your ABOM; tag the removals and swaps and leave the rest. Until you do, unrecognized codes are treated as installs — which is what the tool has always done — so a removal code left untagged will make parts look present when they were taken out. If someone on your program has already done this, ask them for the profile file and load it.</w:t>
      </w:r>
    </w:p>
    <w:p>
      <w:pPr>
        <w:pStyle w:val="Heading3"/>
        <w:spacing w:after="100" w:before="180"/>
      </w:pPr>
      <w:r>
        <w:t xml:space="preserve">"The per-WO quantities don’t add up to the Roll Up."</w:t>
      </w:r>
    </w:p>
    <w:p>
      <w:pPr>
        <w:spacing w:after="120"/>
      </w:pPr>
      <w:r>
        <w:t xml:space="preserve">Removals and swaps net out (4.3). The per-WO column shows raw history; the Roll Up shows the effective net.</w:t>
      </w:r>
    </w:p>
    <w:p>
      <w:pPr>
        <w:pStyle w:val="Heading3"/>
        <w:spacing w:after="100" w:before="180"/>
      </w:pPr>
      <w:r>
        <w:t xml:space="preserve">"An item is on the WO Not Closed card — is it missing?"</w:t>
      </w:r>
    </w:p>
    <w:p>
      <w:pPr>
        <w:spacing w:after="120"/>
      </w:pPr>
      <w:r>
        <w:t xml:space="preserve">No. It is physically present but its work order isn’t closed. It moves to embodied when the WO closes. A teal ◈ means the open WO is RFV-authorized — documented, lower priority to chase.</w:t>
      </w:r>
    </w:p>
    <w:p>
      <w:pPr>
        <w:pStyle w:val="Heading3"/>
        <w:spacing w:after="100" w:before="180"/>
      </w:pPr>
      <w:r>
        <w:t xml:space="preserve">"Why is a CI on the Missing list when the Guide says it’s present?"</w:t>
      </w:r>
    </w:p>
    <w:p>
      <w:pPr>
        <w:spacing w:after="120"/>
      </w:pPr>
      <w:r>
        <w:t xml:space="preserve">The Guide’s presence columns ignore work-order status; the dashboard’s missing KPI requires a </w:t>
      </w:r>
      <w:r>
        <w:rPr>
          <w:i/>
          <w:iCs/>
        </w:rPr>
        <w:t xml:space="preserve">closed</w:t>
      </w:r>
      <w:r>
        <w:t xml:space="preserve">-WO ancestor. A CI covered only by an open-WO ancestor is "present" in the Guide and still "missing" (pending) on the dashboard — the drill-down flags exactly these.</w:t>
      </w:r>
    </w:p>
    <w:p>
      <w:pPr>
        <w:pStyle w:val="Heading3"/>
        <w:spacing w:after="100" w:before="180"/>
      </w:pPr>
      <w:r>
        <w:t xml:space="preserve">"The top-level aircraft row shows ◆ COLLECTOR — is that a problem?"</w:t>
      </w:r>
    </w:p>
    <w:p>
      <w:pPr>
        <w:spacing w:after="120"/>
      </w:pPr>
      <w:r>
        <w:t xml:space="preserve">No. Indenture A/B rows are structural context, deliberately outside reconciliation scope and excluded from every percentage.</w:t>
      </w:r>
    </w:p>
    <w:p>
      <w:pPr>
        <w:pStyle w:val="Heading3"/>
        <w:spacing w:after="100" w:before="180"/>
      </w:pPr>
      <w:r>
        <w:t xml:space="preserve">"Numbers changed after I processed claims."</w:t>
      </w:r>
    </w:p>
    <w:p>
      <w:pPr>
        <w:spacing w:after="120"/>
      </w:pPr>
      <w:r>
        <w:t xml:space="preserve">That is the point: adjudicated legs count as reconciled. Every affected surface shows purple provenance, and Revert restores the raw view.</w:t>
      </w:r>
    </w:p>
    <w:p>
      <w:pPr>
        <w:pStyle w:val="Heading1"/>
        <w:spacing w:after="160" w:before="320"/>
      </w:pPr>
      <w:r>
        <w:t xml:space="preserve">12. Symbol &amp; Color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EAF0" w:val="clear"/>
            <w:tcMar>
              <w:top w:type="dxa" w:w="60"/>
              <w:left w:type="dxa" w:w="100"/>
              <w:bottom w:type="dxa" w:w="60"/>
              <w:right w:type="dxa" w:w="100"/>
            </w:tcMar>
          </w:tcPr>
          <w:p>
            <w:pPr>
              <w:spacing w:after="0"/>
            </w:pPr>
            <w:r>
              <w:t xml:space="preserve">Symbol / color</w:t>
            </w:r>
          </w:p>
        </w:tc>
        <w:tc>
          <w:tcPr>
            <w:tcW w:type="dxa" w:w="6760"/>
            <w:shd w:fill="E8EAF0" w:val="clear"/>
            <w:tcMar>
              <w:top w:type="dxa" w:w="60"/>
              <w:left w:type="dxa" w:w="100"/>
              <w:bottom w:type="dxa" w:w="60"/>
              <w:right w:type="dxa" w:w="100"/>
            </w:tcMar>
          </w:tcPr>
          <w:p>
            <w:pPr>
              <w:spacing w:after="0"/>
            </w:pPr>
            <w:r>
              <w:t xml:space="preserve">Meaning — everywhere in the tool</w:t>
            </w:r>
          </w:p>
        </w:tc>
      </w:tr>
      <w:tr>
        <w:tc>
          <w:tcPr>
            <w:tcW w:type="dxa" w:w="2600"/>
            <w:tcMar>
              <w:top w:type="dxa" w:w="60"/>
              <w:left w:type="dxa" w:w="100"/>
              <w:bottom w:type="dxa" w:w="60"/>
              <w:right w:type="dxa" w:w="100"/>
            </w:tcMar>
          </w:tcPr>
          <w:p>
            <w:pPr>
              <w:spacing w:after="0"/>
            </w:pPr>
            <w:r>
              <w:t xml:space="preserve">Green (three tiers)</w:t>
            </w:r>
          </w:p>
        </w:tc>
        <w:tc>
          <w:tcPr>
            <w:tcW w:type="dxa" w:w="6760"/>
            <w:tcMar>
              <w:top w:type="dxa" w:w="60"/>
              <w:left w:type="dxa" w:w="100"/>
              <w:bottom w:type="dxa" w:w="60"/>
              <w:right w:type="dxa" w:w="100"/>
            </w:tcMar>
          </w:tcPr>
          <w:p>
            <w:pPr>
              <w:spacing w:after="0"/>
            </w:pPr>
            <w:r>
              <w:t xml:space="preserve">Reconciled — direct, used-on, ancestor.</w:t>
            </w:r>
          </w:p>
        </w:tc>
      </w:tr>
      <w:tr>
        <w:tc>
          <w:tcPr>
            <w:tcW w:type="dxa" w:w="2600"/>
            <w:tcMar>
              <w:top w:type="dxa" w:w="60"/>
              <w:left w:type="dxa" w:w="100"/>
              <w:bottom w:type="dxa" w:w="60"/>
              <w:right w:type="dxa" w:w="100"/>
            </w:tcMar>
          </w:tcPr>
          <w:p>
            <w:pPr>
              <w:spacing w:after="0"/>
            </w:pPr>
            <w:r>
              <w:t xml:space="preserve">Amber</w:t>
            </w:r>
          </w:p>
        </w:tc>
        <w:tc>
          <w:tcPr>
            <w:tcW w:type="dxa" w:w="6760"/>
            <w:tcMar>
              <w:top w:type="dxa" w:w="60"/>
              <w:left w:type="dxa" w:w="100"/>
              <w:bottom w:type="dxa" w:w="60"/>
              <w:right w:type="dxa" w:w="100"/>
            </w:tcMar>
          </w:tcPr>
          <w:p>
            <w:pPr>
              <w:spacing w:after="0"/>
            </w:pPr>
            <w:r>
              <w:t xml:space="preserve">A non-missing discrepancy (quantity short, WO open).</w:t>
            </w:r>
          </w:p>
        </w:tc>
      </w:tr>
      <w:tr>
        <w:tc>
          <w:tcPr>
            <w:tcW w:type="dxa" w:w="2600"/>
            <w:tcMar>
              <w:top w:type="dxa" w:w="60"/>
              <w:left w:type="dxa" w:w="100"/>
              <w:bottom w:type="dxa" w:w="60"/>
              <w:right w:type="dxa" w:w="100"/>
            </w:tcMar>
          </w:tcPr>
          <w:p>
            <w:pPr>
              <w:spacing w:after="0"/>
            </w:pPr>
            <w:r>
              <w:t xml:space="preserve">Red</w:t>
            </w:r>
          </w:p>
        </w:tc>
        <w:tc>
          <w:tcPr>
            <w:tcW w:type="dxa" w:w="6760"/>
            <w:tcMar>
              <w:top w:type="dxa" w:w="60"/>
              <w:left w:type="dxa" w:w="100"/>
              <w:bottom w:type="dxa" w:w="60"/>
              <w:right w:type="dxa" w:w="100"/>
            </w:tcMar>
          </w:tcPr>
          <w:p>
            <w:pPr>
              <w:spacing w:after="0"/>
            </w:pPr>
            <w:r>
              <w:t xml:space="preserve">Missing / failed every path.</w:t>
            </w:r>
          </w:p>
        </w:tc>
      </w:tr>
      <w:tr>
        <w:tc>
          <w:tcPr>
            <w:tcW w:type="dxa" w:w="2600"/>
            <w:tcMar>
              <w:top w:type="dxa" w:w="60"/>
              <w:left w:type="dxa" w:w="100"/>
              <w:bottom w:type="dxa" w:w="60"/>
              <w:right w:type="dxa" w:w="100"/>
            </w:tcMar>
          </w:tcPr>
          <w:p>
            <w:pPr>
              <w:spacing w:after="0"/>
            </w:pPr>
            <w:r>
              <w:t xml:space="preserve">Purple ⚑</w:t>
            </w:r>
          </w:p>
        </w:tc>
        <w:tc>
          <w:tcPr>
            <w:tcW w:type="dxa" w:w="6760"/>
            <w:tcMar>
              <w:top w:type="dxa" w:w="60"/>
              <w:left w:type="dxa" w:w="100"/>
              <w:bottom w:type="dxa" w:w="60"/>
              <w:right w:type="dxa" w:w="100"/>
            </w:tcMar>
          </w:tcPr>
          <w:p>
            <w:pPr>
              <w:spacing w:after="0"/>
            </w:pPr>
            <w:r>
              <w:t xml:space="preserve">Manual SME adjudication — a human decision, always attributed.</w:t>
            </w:r>
          </w:p>
        </w:tc>
      </w:tr>
      <w:tr>
        <w:tc>
          <w:tcPr>
            <w:tcW w:type="dxa" w:w="2600"/>
            <w:tcMar>
              <w:top w:type="dxa" w:w="60"/>
              <w:left w:type="dxa" w:w="100"/>
              <w:bottom w:type="dxa" w:w="60"/>
              <w:right w:type="dxa" w:w="100"/>
            </w:tcMar>
          </w:tcPr>
          <w:p>
            <w:pPr>
              <w:spacing w:after="0"/>
            </w:pPr>
            <w:r>
              <w:t xml:space="preserve">Teal ◈</w:t>
            </w:r>
          </w:p>
        </w:tc>
        <w:tc>
          <w:tcPr>
            <w:tcW w:type="dxa" w:w="6760"/>
            <w:tcMar>
              <w:top w:type="dxa" w:w="60"/>
              <w:left w:type="dxa" w:w="100"/>
              <w:bottom w:type="dxa" w:w="60"/>
              <w:right w:type="dxa" w:w="100"/>
            </w:tcMar>
          </w:tcPr>
          <w:p>
            <w:pPr>
              <w:spacing w:after="0"/>
            </w:pPr>
            <w:r>
              <w:t xml:space="preserve">RFV — variance coverage or RFV-authorized work orders.</w:t>
            </w:r>
          </w:p>
        </w:tc>
      </w:tr>
      <w:tr>
        <w:tc>
          <w:tcPr>
            <w:tcW w:type="dxa" w:w="2600"/>
            <w:tcMar>
              <w:top w:type="dxa" w:w="60"/>
              <w:left w:type="dxa" w:w="100"/>
              <w:bottom w:type="dxa" w:w="60"/>
              <w:right w:type="dxa" w:w="100"/>
            </w:tcMar>
          </w:tcPr>
          <w:p>
            <w:pPr>
              <w:spacing w:after="0"/>
            </w:pPr>
            <w:r>
              <w:t xml:space="preserve">Orange</w:t>
            </w:r>
          </w:p>
        </w:tc>
        <w:tc>
          <w:tcPr>
            <w:tcW w:type="dxa" w:w="6760"/>
            <w:tcMar>
              <w:top w:type="dxa" w:w="60"/>
              <w:left w:type="dxa" w:w="100"/>
              <w:bottom w:type="dxa" w:w="60"/>
              <w:right w:type="dxa" w:w="100"/>
            </w:tcMar>
          </w:tcPr>
          <w:p>
            <w:pPr>
              <w:spacing w:after="0"/>
            </w:pPr>
            <w:r>
              <w:t xml:space="preserve">NCR — nonconformance linkage.</w:t>
            </w:r>
          </w:p>
        </w:tc>
      </w:tr>
      <w:tr>
        <w:tc>
          <w:tcPr>
            <w:tcW w:type="dxa" w:w="2600"/>
            <w:tcMar>
              <w:top w:type="dxa" w:w="60"/>
              <w:left w:type="dxa" w:w="100"/>
              <w:bottom w:type="dxa" w:w="60"/>
              <w:right w:type="dxa" w:w="100"/>
            </w:tcMar>
          </w:tcPr>
          <w:p>
            <w:pPr>
              <w:spacing w:after="0"/>
            </w:pPr>
            <w:r>
              <w:t xml:space="preserve">Gray ◆</w:t>
            </w:r>
          </w:p>
        </w:tc>
        <w:tc>
          <w:tcPr>
            <w:tcW w:type="dxa" w:w="6760"/>
            <w:tcMar>
              <w:top w:type="dxa" w:w="60"/>
              <w:left w:type="dxa" w:w="100"/>
              <w:bottom w:type="dxa" w:w="60"/>
              <w:right w:type="dxa" w:w="100"/>
            </w:tcMar>
          </w:tcPr>
          <w:p>
            <w:pPr>
              <w:spacing w:after="0"/>
            </w:pPr>
            <w:r>
              <w:t xml:space="preserve">Structural — collectors and excluded part types; outside all counts.</w:t>
            </w:r>
          </w:p>
        </w:tc>
      </w:tr>
      <w:tr>
        <w:tc>
          <w:tcPr>
            <w:tcW w:type="dxa" w:w="2600"/>
            <w:tcMar>
              <w:top w:type="dxa" w:w="60"/>
              <w:left w:type="dxa" w:w="100"/>
              <w:bottom w:type="dxa" w:w="60"/>
              <w:right w:type="dxa" w:w="100"/>
            </w:tcMar>
          </w:tcPr>
          <w:p>
            <w:pPr>
              <w:spacing w:after="0"/>
            </w:pPr>
            <w:r>
              <w:t xml:space="preserve">⊘</w:t>
            </w:r>
          </w:p>
        </w:tc>
        <w:tc>
          <w:tcPr>
            <w:tcW w:type="dxa" w:w="6760"/>
            <w:tcMar>
              <w:top w:type="dxa" w:w="60"/>
              <w:left w:type="dxa" w:w="100"/>
              <w:bottom w:type="dxa" w:w="60"/>
              <w:right w:type="dxa" w:w="100"/>
            </w:tcMar>
          </w:tcPr>
          <w:p>
            <w:pPr>
              <w:spacing w:after="0"/>
            </w:pPr>
            <w:r>
              <w:t xml:space="preserve">Proc-removed — net removal from the build, per the proc code behavior in force (3.3).</w:t>
            </w:r>
          </w:p>
        </w:tc>
      </w:tr>
      <w:tr>
        <w:tc>
          <w:tcPr>
            <w:tcW w:type="dxa" w:w="2600"/>
            <w:tcMar>
              <w:top w:type="dxa" w:w="60"/>
              <w:left w:type="dxa" w:w="100"/>
              <w:bottom w:type="dxa" w:w="60"/>
              <w:right w:type="dxa" w:w="100"/>
            </w:tcMar>
          </w:tcPr>
          <w:p>
            <w:pPr>
              <w:spacing w:after="0"/>
            </w:pPr>
            <w:r>
              <w:t xml:space="preserve">Program baseline / Custom</w:t>
            </w:r>
          </w:p>
        </w:tc>
        <w:tc>
          <w:tcPr>
            <w:tcW w:type="dxa" w:w="6760"/>
            <w:tcMar>
              <w:top w:type="dxa" w:w="60"/>
              <w:left w:type="dxa" w:w="100"/>
              <w:bottom w:type="dxa" w:w="60"/>
              <w:right w:type="dxa" w:w="100"/>
            </w:tcMar>
          </w:tcPr>
          <w:p>
            <w:pPr>
              <w:spacing w:after="0"/>
            </w:pPr>
            <w:r>
              <w:t xml:space="preserve">Proc Code Behavior panel header. </w:t>
            </w:r>
            <w:r>
              <w:rPr>
                <w:b/>
                <w:bCs/>
              </w:rPr>
              <w:t xml:space="preserve">Program baseline</w:t>
            </w:r>
            <w:r>
              <w:t xml:space="preserve"> = the shipped proc codes are in force. A profile name or </w:t>
            </w:r>
            <w:r>
              <w:rPr>
                <w:b/>
                <w:bCs/>
              </w:rPr>
              <w:t xml:space="preserve">Custom</w:t>
            </w:r>
            <w:r>
              <w:t xml:space="preserve"> = this program has tagged its own; the panel border turns amber and the profile is stamped on exports (3.3).</w:t>
            </w:r>
          </w:p>
        </w:tc>
      </w:tr>
      <w:tr>
        <w:tc>
          <w:tcPr>
            <w:tcW w:type="dxa" w:w="2600"/>
            <w:tcMar>
              <w:top w:type="dxa" w:w="60"/>
              <w:left w:type="dxa" w:w="100"/>
              <w:bottom w:type="dxa" w:w="60"/>
              <w:right w:type="dxa" w:w="100"/>
            </w:tcMar>
          </w:tcPr>
          <w:p>
            <w:pPr>
              <w:spacing w:after="0"/>
            </w:pPr>
            <w:r>
              <w:t xml:space="preserve">⬇</w:t>
            </w:r>
          </w:p>
        </w:tc>
        <w:tc>
          <w:tcPr>
            <w:tcW w:type="dxa" w:w="6760"/>
            <w:tcMar>
              <w:top w:type="dxa" w:w="60"/>
              <w:left w:type="dxa" w:w="100"/>
              <w:bottom w:type="dxa" w:w="60"/>
              <w:right w:type="dxa" w:w="100"/>
            </w:tcMar>
          </w:tcPr>
          <w:p>
            <w:pPr>
              <w:spacing w:after="0"/>
            </w:pPr>
            <w:r>
              <w:t xml:space="preserve">Export / download.</w:t>
            </w:r>
          </w:p>
        </w:tc>
      </w:tr>
      <w:tr>
        <w:tc>
          <w:tcPr>
            <w:tcW w:type="dxa" w:w="2600"/>
            <w:tcMar>
              <w:top w:type="dxa" w:w="60"/>
              <w:left w:type="dxa" w:w="100"/>
              <w:bottom w:type="dxa" w:w="60"/>
              <w:right w:type="dxa" w:w="100"/>
            </w:tcMar>
          </w:tcPr>
          <w:p>
            <w:pPr>
              <w:spacing w:after="0"/>
            </w:pPr>
            <w:r>
              <w:t xml:space="preserve">↑ parent (italic)</w:t>
            </w:r>
          </w:p>
        </w:tc>
        <w:tc>
          <w:tcPr>
            <w:tcW w:type="dxa" w:w="6760"/>
            <w:tcMar>
              <w:top w:type="dxa" w:w="60"/>
              <w:left w:type="dxa" w:w="100"/>
              <w:bottom w:type="dxa" w:w="60"/>
              <w:right w:type="dxa" w:w="100"/>
            </w:tcMar>
          </w:tcPr>
          <w:p>
            <w:pPr>
              <w:spacing w:after="0"/>
            </w:pPr>
            <w:r>
              <w:t xml:space="preserve">Green: covered via an indenture ancestor. Muted: structural A/B row.</w:t>
            </w:r>
          </w:p>
        </w:tc>
      </w:tr>
      <w:tr>
        <w:tc>
          <w:tcPr>
            <w:tcW w:type="dxa" w:w="2600"/>
            <w:tcMar>
              <w:top w:type="dxa" w:w="60"/>
              <w:left w:type="dxa" w:w="100"/>
              <w:bottom w:type="dxa" w:w="60"/>
              <w:right w:type="dxa" w:w="100"/>
            </w:tcMar>
          </w:tcPr>
          <w:p>
            <w:pPr>
              <w:spacing w:after="0"/>
            </w:pPr>
            <w:r>
              <w:t xml:space="preserve">"Roll Up" / "per WO"</w:t>
            </w:r>
          </w:p>
        </w:tc>
        <w:tc>
          <w:tcPr>
            <w:tcW w:type="dxa" w:w="6760"/>
            <w:tcMar>
              <w:top w:type="dxa" w:w="60"/>
              <w:left w:type="dxa" w:w="100"/>
              <w:bottom w:type="dxa" w:w="60"/>
              <w:right w:type="dxa" w:w="100"/>
            </w:tcMar>
          </w:tcPr>
          <w:p>
            <w:pPr>
              <w:spacing w:after="0"/>
            </w:pPr>
            <w:r>
              <w:t xml:space="preserve">Engine net quantity vs. raw per-record quantity (4.3).</w:t>
            </w:r>
          </w:p>
        </w:tc>
      </w:tr>
      <w:tr>
        <w:tc>
          <w:tcPr>
            <w:tcW w:type="dxa" w:w="2600"/>
            <w:tcMar>
              <w:top w:type="dxa" w:w="60"/>
              <w:left w:type="dxa" w:w="100"/>
              <w:bottom w:type="dxa" w:w="60"/>
              <w:right w:type="dxa" w:w="100"/>
            </w:tcMar>
          </w:tcPr>
          <w:p>
            <w:pPr>
              <w:spacing w:after="0"/>
            </w:pPr>
            <w:r>
              <w:t xml:space="preserve">"Row n of m"</w:t>
            </w:r>
          </w:p>
        </w:tc>
        <w:tc>
          <w:tcPr>
            <w:tcW w:type="dxa" w:w="6760"/>
            <w:tcMar>
              <w:top w:type="dxa" w:w="60"/>
              <w:left w:type="dxa" w:w="100"/>
              <w:bottom w:type="dxa" w:w="60"/>
              <w:right w:type="dxa" w:w="100"/>
            </w:tcMar>
          </w:tcPr>
          <w:p>
            <w:pPr>
              <w:spacing w:after="0"/>
            </w:pPr>
            <w:r>
              <w:t xml:space="preserve">Export fan position — never a quantity (9.1).</w:t>
            </w:r>
          </w:p>
        </w:tc>
      </w:tr>
    </w:tbl>
    <w:p>
      <w:pPr>
        <w:spacing w:after="120"/>
      </w:pPr>
    </w:p>
    <w:p>
      <w:pPr>
        <w:spacing w:after="120"/>
      </w:pPr>
      <w:r>
        <w:rPr>
          <w:i/>
          <w:iCs/>
        </w:rPr>
        <w:t xml:space="preserve">Guide prepared against build v150 (offline build 50), July 2026. The in-tool Explanation buttons are updated with every build and are the authoritative reference where this document and the tool ever differ.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4"/>
      <w:szCs w:val="34"/>
    </w:rPr>
  </w:style>
  <w:style w:type="paragraph" w:styleId="Heading2">
    <w:name w:val="Heading 2"/>
    <w:basedOn w:val="Normal"/>
    <w:next w:val="Normal"/>
    <w:qFormat/>
    <w:rPr>
      <w:rFonts w:ascii="Calibri" w:cs="Calibri" w:eastAsia="Calibri" w:hAnsi="Calibri"/>
      <w:b/>
      <w:bCs/>
      <w:color w:val="2E5496"/>
      <w:sz w:val="27"/>
      <w:szCs w:val="27"/>
    </w:rPr>
  </w:style>
  <w:style w:type="paragraph" w:styleId="Heading3">
    <w:name w:val="Heading 3"/>
    <w:basedOn w:val="Normal"/>
    <w:next w:val="Normal"/>
    <w:qFormat/>
    <w:rPr>
      <w:rFonts w:ascii="Calibri" w:cs="Calibri" w:eastAsia="Calibri" w:hAnsi="Calibri"/>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BOM Comparator User Guide — v149</dc:title>
  <dc:creator>BOM Comparator</dc:creator>
  <cp:lastModifiedBy>Un-named</cp:lastModifiedBy>
  <cp:revision>1</cp:revision>
  <dcterms:created xsi:type="dcterms:W3CDTF">2026-07-12T19:57:05.447Z</dcterms:created>
  <dcterms:modified xsi:type="dcterms:W3CDTF">2026-07-12T19:57:05.462Z</dcterms:modified>
</cp:coreProperties>
</file>

<file path=docProps/custom.xml><?xml version="1.0" encoding="utf-8"?>
<Properties xmlns="http://schemas.openxmlformats.org/officeDocument/2006/custom-properties" xmlns:vt="http://schemas.openxmlformats.org/officeDocument/2006/docPropsVTypes"/>
</file>