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line="276"/>
      </w:pPr>
      <w:r>
        <w:rPr>
          <w:rFonts w:ascii="Calibri" w:cs="Calibri" w:eastAsia="Calibri" w:hAnsi="Calibri"/>
          <w:b/>
          <w:bCs/>
          <w:color w:val="B4530C"/>
          <w:sz w:val="18"/>
          <w:szCs w:val="18"/>
        </w:rPr>
        <w:t xml:space="preserve">DISCUSSION DRAFT FOR TECHNICAL REVIEW</w:t>
      </w:r>
    </w:p>
    <w:p>
      <w:pPr>
        <w:spacing w:after="240" w:line="640"/>
      </w:pPr>
      <w:r>
        <w:rPr>
          <w:rFonts w:ascii="Cambria" w:cs="Cambria" w:eastAsia="Cambria" w:hAnsi="Cambria"/>
          <w:b/>
          <w:bCs/>
          <w:color w:val="132A4E"/>
          <w:sz w:val="48"/>
          <w:szCs w:val="48"/>
        </w:rPr>
        <w:t xml:space="preserve">Assumption Control Profile for Cameo / MSOSA</w:t>
      </w:r>
    </w:p>
    <w:p>
      <w:pPr>
        <w:spacing w:after="500" w:line="300"/>
      </w:pPr>
      <w:r>
        <w:rPr>
          <w:rFonts w:ascii="Calibri" w:cs="Calibri" w:eastAsia="Calibri" w:hAnsi="Calibri"/>
          <w:i/>
          <w:iCs/>
          <w:color w:val="4A5568"/>
          <w:sz w:val="24"/>
          <w:szCs w:val="24"/>
        </w:rPr>
        <w:t xml:space="preserve">A proposed SysML profile for treating ground rules and assumptions as first-class model elements with anchors, confirmation state, and validation rules</w:t>
      </w:r>
    </w:p>
    <w:tbl>
      <w:tblPr>
        <w:tblW w:type="dxa" w:w="9360"/>
        <w:tblBorders>
          <w:top w:val="single" w:color="D3DEEF" w:sz="4"/>
          <w:left w:val="single" w:color="D3DEEF" w:sz="18"/>
          <w:bottom w:val="single" w:color="D3DEEF" w:sz="4"/>
          <w:right w:val="single" w:color="D3DEEF"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0" w:line="276"/>
            </w:pPr>
            <w:r>
              <w:rPr>
                <w:rFonts w:ascii="Calibri" w:cs="Calibri" w:eastAsia="Calibri" w:hAnsi="Calibri"/>
                <w:color w:val="1A2333"/>
                <w:sz w:val="20"/>
                <w:szCs w:val="20"/>
              </w:rPr>
              <w:t xml:space="preserve">Status: proposal for evaluation. Written without visibility of the installed Cameo version, the site profile governance model, the SysML v2 roadmap, or the existing requirements toolchain.</w:t>
            </w:r>
          </w:p>
          <w:p>
            <w:pPr>
              <w:spacing w:after="0" w:line="276"/>
            </w:pPr>
            <w:r>
              <w:rPr>
                <w:rFonts w:ascii="Calibri" w:cs="Calibri" w:eastAsia="Calibri" w:hAnsi="Calibri"/>
                <w:color w:val="1A2333"/>
                <w:sz w:val="20"/>
                <w:szCs w:val="20"/>
              </w:rPr>
              <w:t xml:space="preserve"/>
            </w:r>
          </w:p>
          <w:p>
            <w:pPr>
              <w:spacing w:after="0" w:line="276"/>
            </w:pPr>
            <w:r>
              <w:rPr>
                <w:rFonts w:ascii="Calibri" w:cs="Calibri" w:eastAsia="Calibri" w:hAnsi="Calibri"/>
                <w:color w:val="1A2333"/>
                <w:sz w:val="20"/>
                <w:szCs w:val="20"/>
              </w:rPr>
              <w:t xml:space="preserve">Every capability cited here should be confirmed against the actual environment before any build work is scoped. Items marked "confirm" flag the specific points where this matters most.</w:t>
            </w:r>
          </w:p>
        </w:tc>
      </w:tr>
    </w:tbl>
    <w:p>
      <w:pPr>
        <w:spacing w:after="40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7301"/>
      </w:tblGrid>
      <w:tr>
        <w:tc>
          <w:tcPr>
            <w:tcW w:type="dxa" w:w="205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Prepared for</w:t>
            </w:r>
          </w:p>
        </w:tc>
        <w:tc>
          <w:tcPr>
            <w:tcW w:type="dxa" w:w="730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Enterprise SMS Technical Fellow and MBSE lead</w:t>
            </w:r>
          </w:p>
        </w:tc>
      </w:tr>
      <w:tr>
        <w:tc>
          <w:tcPr>
            <w:tcW w:type="dxa" w:w="205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Subject</w:t>
            </w:r>
          </w:p>
        </w:tc>
        <w:tc>
          <w:tcPr>
            <w:tcW w:type="dxa" w:w="7301"/>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Ground rules and assumptions: model representation and control</w:t>
            </w:r>
          </w:p>
        </w:tc>
      </w:tr>
      <w:tr>
        <w:tc>
          <w:tcPr>
            <w:tcW w:type="dxa" w:w="205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Related standards</w:t>
            </w:r>
          </w:p>
        </w:tc>
        <w:tc>
          <w:tcPr>
            <w:tcW w:type="dxa" w:w="730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SM-0001 Issue C; EIA-649-1; GEIA-HB-649; OMG SysML</w:t>
            </w:r>
          </w:p>
        </w:tc>
      </w:tr>
      <w:tr>
        <w:tc>
          <w:tcPr>
            <w:tcW w:type="dxa" w:w="205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Document status</w:t>
            </w:r>
          </w:p>
        </w:tc>
        <w:tc>
          <w:tcPr>
            <w:tcW w:type="dxa" w:w="7301"/>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Draft for comment. Not a build specification.</w:t>
            </w:r>
          </w:p>
        </w:tc>
      </w:tr>
    </w:tbl>
    <w:p>
      <w:r>
        <w:br w:type="page"/>
      </w:r>
    </w:p>
    <w:p>
      <w:pPr>
        <w:pStyle w:val="Heading1"/>
        <w:spacing w:after="160" w:before="360"/>
      </w:pPr>
      <w:r>
        <w:rPr>
          <w:rFonts w:ascii="Cambria" w:cs="Cambria" w:eastAsia="Cambria" w:hAnsi="Cambria"/>
          <w:b/>
          <w:bCs/>
          <w:color w:val="132A4E"/>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Cambria" w:cs="Cambria" w:eastAsia="Cambria" w:hAnsi="Cambria"/>
          <w:b/>
          <w:bCs/>
          <w:color w:val="132A4E"/>
          <w:sz w:val="30"/>
          <w:szCs w:val="30"/>
        </w:rPr>
        <w:t xml:space="preserve">1.  Purpose</w:t>
      </w:r>
    </w:p>
    <w:p>
      <w:pPr>
        <w:spacing w:after="120" w:line="276"/>
      </w:pPr>
      <w:r>
        <w:rPr>
          <w:rFonts w:ascii="Calibri" w:cs="Calibri" w:eastAsia="Calibri" w:hAnsi="Calibri"/>
          <w:color w:val="1A2333"/>
          <w:sz w:val="21"/>
          <w:szCs w:val="21"/>
        </w:rPr>
        <w:t xml:space="preserve">Make ground rules and assumptions first-class model elements, so that four things become true which are not true today.</w:t>
      </w:r>
    </w:p>
    <w:p>
      <w:pPr>
        <w:pStyle w:val="ListParagraph"/>
        <w:numPr>
          <w:ilvl w:val="0"/>
          <w:numId w:val="2"/>
        </w:numPr>
        <w:spacing w:after="80" w:line="276"/>
      </w:pPr>
      <w:r>
        <w:rPr>
          <w:rFonts w:ascii="Calibri" w:cs="Calibri" w:eastAsia="Calibri" w:hAnsi="Calibri"/>
          <w:color w:val="1A2333"/>
          <w:sz w:val="21"/>
          <w:szCs w:val="21"/>
        </w:rPr>
        <w:t xml:space="preserve">Each safety-relevant assumption carries its conditions, its rationale, and a named individual on this program who accepted the residual risk.</w:t>
      </w:r>
    </w:p>
    <w:p>
      <w:pPr>
        <w:pStyle w:val="ListParagraph"/>
        <w:numPr>
          <w:ilvl w:val="0"/>
          <w:numId w:val="2"/>
        </w:numPr>
        <w:spacing w:after="80" w:line="276"/>
      </w:pPr>
      <w:r>
        <w:rPr>
          <w:rFonts w:ascii="Calibri" w:cs="Calibri" w:eastAsia="Calibri" w:hAnsi="Calibri"/>
          <w:color w:val="1A2333"/>
          <w:sz w:val="21"/>
          <w:szCs w:val="21"/>
        </w:rPr>
        <w:t xml:space="preserve">Each condition points at the specific controlled document and revision that makes it true, rather than restating the value that document contains.</w:t>
      </w:r>
    </w:p>
    <w:p>
      <w:pPr>
        <w:pStyle w:val="ListParagraph"/>
        <w:numPr>
          <w:ilvl w:val="0"/>
          <w:numId w:val="2"/>
        </w:numPr>
        <w:spacing w:after="80" w:line="276"/>
      </w:pPr>
      <w:r>
        <w:rPr>
          <w:rFonts w:ascii="Calibri" w:cs="Calibri" w:eastAsia="Calibri" w:hAnsi="Calibri"/>
          <w:color w:val="1A2333"/>
          <w:sz w:val="21"/>
          <w:szCs w:val="21"/>
        </w:rPr>
        <w:t xml:space="preserve">When any anchor moves, everything downstream of it is identifiable by query rather than by memory.</w:t>
      </w:r>
    </w:p>
    <w:p>
      <w:pPr>
        <w:pStyle w:val="ListParagraph"/>
        <w:numPr>
          <w:ilvl w:val="0"/>
          <w:numId w:val="2"/>
        </w:numPr>
        <w:spacing w:after="80" w:line="276"/>
      </w:pPr>
      <w:r>
        <w:rPr>
          <w:rFonts w:ascii="Calibri" w:cs="Calibri" w:eastAsia="Calibri" w:hAnsi="Calibri"/>
          <w:color w:val="1A2333"/>
          <w:sz w:val="21"/>
          <w:szCs w:val="21"/>
        </w:rPr>
        <w:t xml:space="preserve">An assumption adopted from an earlier program cannot be carried across without a recorded comparison of the two programs.</w:t>
      </w:r>
    </w:p>
    <w:p>
      <w:pPr>
        <w:spacing w:after="60"/>
      </w:pPr>
    </w:p>
    <w:p>
      <w:pPr>
        <w:spacing w:after="120" w:line="276"/>
      </w:pPr>
      <w:r>
        <w:rPr>
          <w:rFonts w:ascii="Calibri" w:cs="Calibri" w:eastAsia="Calibri" w:hAnsi="Calibri"/>
          <w:color w:val="1A2333"/>
          <w:sz w:val="21"/>
          <w:szCs w:val="21"/>
        </w:rPr>
        <w:t xml:space="preserve">The proposal originated as a configuration management problem and was reframed after review. Configuration management supports this practice by supplying revision state and identifier discipline for engineering documents. It does not own the practice, because two of the three regimes that control the relevant facts sit entirely outside it.</w:t>
      </w:r>
    </w:p>
    <w:p>
      <w:pPr>
        <w:pStyle w:val="Heading1"/>
        <w:spacing w:after="160" w:before="360"/>
      </w:pPr>
      <w:r>
        <w:rPr>
          <w:rFonts w:ascii="Cambria" w:cs="Cambria" w:eastAsia="Cambria" w:hAnsi="Cambria"/>
          <w:b/>
          <w:bCs/>
          <w:color w:val="132A4E"/>
          <w:sz w:val="30"/>
          <w:szCs w:val="30"/>
        </w:rPr>
        <w:t xml:space="preserve">2.  Design principles</w:t>
      </w:r>
    </w:p>
    <w:p>
      <w:pPr>
        <w:pStyle w:val="Heading2"/>
        <w:spacing w:after="120" w:before="260"/>
      </w:pPr>
      <w:r>
        <w:rPr>
          <w:rFonts w:ascii="Cambria" w:cs="Cambria" w:eastAsia="Cambria" w:hAnsi="Cambria"/>
          <w:b/>
          <w:bCs/>
          <w:color w:val="1F4380"/>
          <w:sz w:val="24"/>
          <w:szCs w:val="24"/>
        </w:rPr>
        <w:t xml:space="preserve">2.1  An assumption is not a requirement, and the profile must keep saying so</w:t>
      </w:r>
    </w:p>
    <w:p>
      <w:pPr>
        <w:spacing w:after="120" w:line="276"/>
      </w:pPr>
      <w:r>
        <w:rPr>
          <w:rFonts w:ascii="Calibri" w:cs="Calibri" w:eastAsia="Calibri" w:hAnsi="Calibri"/>
          <w:color w:val="1A2333"/>
          <w:sz w:val="21"/>
          <w:szCs w:val="21"/>
        </w:rPr>
        <w:t xml:space="preserve">A requirement is imposed, and the design must satisfy it. An assumption is accepted about the world and cannot be made true by decree. When an assumption fails, the correct response is to reopen the analysis, not to adjust the design until the assumption reads as true.</w:t>
      </w:r>
    </w:p>
    <w:p>
      <w:pPr>
        <w:spacing w:after="120" w:line="276"/>
      </w:pPr>
      <w:r>
        <w:rPr>
          <w:rFonts w:ascii="Calibri" w:cs="Calibri" w:eastAsia="Calibri" w:hAnsi="Calibri"/>
          <w:color w:val="1A2333"/>
          <w:sz w:val="21"/>
          <w:szCs w:val="21"/>
        </w:rPr>
        <w:t xml:space="preserve">Placing both in a single tree invites exactly that drift, and the failure is quiet: an inconvenient assumption gets narrowed until it is technically satisfied. The stereotype therefore needs a distinct icon, a distinct color, and distinct property panels, not merely an attribute flag on a requirement.</w:t>
      </w:r>
    </w:p>
    <w:p>
      <w:pPr>
        <w:pStyle w:val="Heading2"/>
        <w:spacing w:after="120" w:before="260"/>
      </w:pPr>
      <w:r>
        <w:rPr>
          <w:rFonts w:ascii="Cambria" w:cs="Cambria" w:eastAsia="Cambria" w:hAnsi="Cambria"/>
          <w:b/>
          <w:bCs/>
          <w:color w:val="1F4380"/>
          <w:sz w:val="24"/>
          <w:szCs w:val="24"/>
        </w:rPr>
        <w:t xml:space="preserve">2.2  Three control regimes, only one of which is in the model</w:t>
      </w:r>
    </w:p>
    <w:p>
      <w:pPr>
        <w:spacing w:after="120" w:line="276"/>
      </w:pPr>
      <w:r>
        <w:rPr>
          <w:rFonts w:ascii="Calibri" w:cs="Calibri" w:eastAsia="Calibri" w:hAnsi="Calibri"/>
          <w:color w:val="1A2333"/>
          <w:sz w:val="21"/>
          <w:szCs w:val="21"/>
        </w:rPr>
        <w:t xml:space="preserve">The facts assumptions depend on are controlled in three separate places, by three separate authorities, with three separate change processes.</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621"/>
        <w:gridCol w:w="3931"/>
        <w:gridCol w:w="2808"/>
      </w:tblGrid>
      <w:tr>
        <w:trPr>
          <w:tblHeader/>
        </w:trPr>
        <w:tc>
          <w:tcPr>
            <w:tcW w:type="dxa" w:w="2621"/>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Regime</w:t>
            </w:r>
          </w:p>
        </w:tc>
        <w:tc>
          <w:tcPr>
            <w:tcW w:type="dxa" w:w="3931"/>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What it controls</w:t>
            </w:r>
          </w:p>
        </w:tc>
        <w:tc>
          <w:tcPr>
            <w:tcW w:type="dxa" w:w="2808"/>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Change process</w:t>
            </w:r>
          </w:p>
        </w:tc>
      </w:tr>
      <w:tr>
        <w:tc>
          <w:tcPr>
            <w:tcW w:type="dxa" w:w="262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Engineering configuration control</w:t>
            </w:r>
          </w:p>
        </w:tc>
        <w:tc>
          <w:tcPr>
            <w:tcW w:type="dxa" w:w="393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Drawings, specifications, interface requirements</w:t>
            </w:r>
          </w:p>
        </w:tc>
        <w:tc>
          <w:tcPr>
            <w:tcW w:type="dxa" w:w="280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Formal engineering change with a change board</w:t>
            </w:r>
          </w:p>
        </w:tc>
      </w:tr>
      <w:tr>
        <w:tc>
          <w:tcPr>
            <w:tcW w:type="dxa" w:w="2621"/>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Maintenance program and operational control</w:t>
            </w:r>
          </w:p>
        </w:tc>
        <w:tc>
          <w:tcPr>
            <w:tcW w:type="dxa" w:w="3931"/>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Inspection intervals, MEL conditions, flight and maintenance procedures</w:t>
            </w:r>
          </w:p>
        </w:tc>
        <w:tc>
          <w:tcPr>
            <w:tcW w:type="dxa" w:w="280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Operator and authority approval, no engineering change</w:t>
            </w:r>
          </w:p>
        </w:tc>
      </w:tr>
      <w:tr>
        <w:tc>
          <w:tcPr>
            <w:tcW w:type="dxa" w:w="262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Training and competence control</w:t>
            </w:r>
          </w:p>
        </w:tc>
        <w:tc>
          <w:tcPr>
            <w:tcW w:type="dxa" w:w="3931"/>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Crew and maintainer qualification, recency, curriculum content</w:t>
            </w:r>
          </w:p>
        </w:tc>
        <w:tc>
          <w:tcPr>
            <w:tcW w:type="dxa" w:w="280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Training organization approval, outside engineering entirely</w:t>
            </w:r>
          </w:p>
        </w:tc>
      </w:tr>
    </w:tbl>
    <w:p>
      <w:pPr>
        <w:spacing w:after="120"/>
      </w:pPr>
    </w:p>
    <w:p>
      <w:pPr>
        <w:spacing w:after="120" w:line="276"/>
      </w:pPr>
      <w:r>
        <w:rPr>
          <w:rFonts w:ascii="Calibri" w:cs="Calibri" w:eastAsia="Calibri" w:hAnsi="Calibri"/>
          <w:color w:val="1A2333"/>
          <w:sz w:val="21"/>
          <w:szCs w:val="21"/>
        </w:rPr>
        <w:t xml:space="preserve">Only the first is normally represented in a system model. The profile handles the other two with stub elements standing in for external documents, rather than pretending they do not exist or attempting to model their content.</w:t>
      </w:r>
    </w:p>
    <w:p>
      <w:pPr>
        <w:pStyle w:val="Heading2"/>
        <w:spacing w:after="120" w:before="260"/>
      </w:pPr>
      <w:r>
        <w:rPr>
          <w:rFonts w:ascii="Cambria" w:cs="Cambria" w:eastAsia="Cambria" w:hAnsi="Cambria"/>
          <w:b/>
          <w:bCs/>
          <w:color w:val="1F4380"/>
          <w:sz w:val="24"/>
          <w:szCs w:val="24"/>
        </w:rPr>
        <w:t xml:space="preserve">2.3  Not everything is verifiable</w:t>
      </w:r>
    </w:p>
    <w:p>
      <w:pPr>
        <w:spacing w:after="120" w:line="276"/>
      </w:pPr>
      <w:r>
        <w:rPr>
          <w:rFonts w:ascii="Calibri" w:cs="Calibri" w:eastAsia="Calibri" w:hAnsi="Calibri"/>
          <w:color w:val="1A2333"/>
          <w:sz w:val="21"/>
          <w:szCs w:val="21"/>
        </w:rPr>
        <w:t xml:space="preserve">Some conditions can only be monitored: assumed procedural compliance, assumed inspection detection rates, assumed fleet utilization. No test case closes these. The profile needs a monitored state that is distinct from verified, or people will record verifications that were never performed.</w:t>
      </w:r>
    </w:p>
    <w:p>
      <w:pPr>
        <w:pStyle w:val="Heading2"/>
        <w:spacing w:after="120" w:before="260"/>
      </w:pPr>
      <w:r>
        <w:rPr>
          <w:rFonts w:ascii="Cambria" w:cs="Cambria" w:eastAsia="Cambria" w:hAnsi="Cambria"/>
          <w:b/>
          <w:bCs/>
          <w:color w:val="1F4380"/>
          <w:sz w:val="24"/>
          <w:szCs w:val="24"/>
        </w:rPr>
        <w:t xml:space="preserve">2.4  Degrade gracefully outside the tool</w:t>
      </w:r>
    </w:p>
    <w:p>
      <w:pPr>
        <w:spacing w:after="120" w:line="276"/>
      </w:pPr>
      <w:r>
        <w:rPr>
          <w:rFonts w:ascii="Calibri" w:cs="Calibri" w:eastAsia="Calibri" w:hAnsi="Calibri"/>
          <w:color w:val="1A2333"/>
          <w:sz w:val="21"/>
          <w:szCs w:val="21"/>
        </w:rPr>
        <w:t xml:space="preserve">Assumptions are created at proposal, when most programs have no mature model, and that is the state where capture matters most. The record schema must therefore be usable in a spreadsheet, with the model as the preferred implementation rather than the only one. Attribute names below are chosen so the two map cleanly onto each other.</w:t>
      </w:r>
    </w:p>
    <w:p>
      <w:r>
        <w:br w:type="page"/>
      </w:r>
    </w:p>
    <w:p>
      <w:pPr>
        <w:pStyle w:val="Heading1"/>
        <w:spacing w:after="160" w:before="360"/>
      </w:pPr>
      <w:r>
        <w:rPr>
          <w:rFonts w:ascii="Cambria" w:cs="Cambria" w:eastAsia="Cambria" w:hAnsi="Cambria"/>
          <w:b/>
          <w:bCs/>
          <w:color w:val="132A4E"/>
          <w:sz w:val="30"/>
          <w:szCs w:val="30"/>
        </w:rPr>
        <w:t xml:space="preserve">3.  Stereotypes</w:t>
      </w:r>
    </w:p>
    <w:p>
      <w:pPr>
        <w:pStyle w:val="Heading2"/>
        <w:spacing w:after="120" w:before="260"/>
      </w:pPr>
      <w:r>
        <w:rPr>
          <w:rFonts w:ascii="Cambria" w:cs="Cambria" w:eastAsia="Cambria" w:hAnsi="Cambria"/>
          <w:b/>
          <w:bCs/>
          <w:color w:val="1F4380"/>
          <w:sz w:val="24"/>
          <w:szCs w:val="24"/>
        </w:rPr>
        <w:t xml:space="preserve">3.1  Assumption</w:t>
      </w:r>
    </w:p>
    <w:p>
      <w:pPr>
        <w:spacing w:after="120" w:line="276"/>
      </w:pPr>
      <w:r>
        <w:rPr>
          <w:rFonts w:ascii="Calibri" w:cs="Calibri" w:eastAsia="Calibri" w:hAnsi="Calibri"/>
          <w:color w:val="1A2333"/>
          <w:sz w:val="21"/>
          <w:szCs w:val="21"/>
        </w:rPr>
        <w:t xml:space="preserve">Generalizes the SysML Requirement stereotype, so that requirement tables, matrices, relation maps, and report templates work without additional configuration. Inherits Id and Text.</w:t>
      </w:r>
    </w:p>
    <w:tbl>
      <w:tblPr>
        <w:tblW w:type="dxa" w:w="9360"/>
        <w:tblBorders>
          <w:top w:val="single" w:color="ECC8AE" w:sz="4"/>
          <w:left w:val="single" w:color="ECC8AE" w:sz="18"/>
          <w:bottom w:val="single" w:color="ECC8AE" w:sz="4"/>
          <w:right w:val="single" w:color="ECC8AE"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6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Whether local policy permits generalizing the SysML profile stereotype, or whether the site standard is to extend the Class metaclass directly.</w:t>
            </w:r>
          </w:p>
        </w:tc>
      </w:tr>
    </w:tbl>
    <w:p>
      <w:pPr>
        <w:spacing w:after="14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1872"/>
        <w:gridCol w:w="5429"/>
      </w:tblGrid>
      <w:tr>
        <w:trPr>
          <w:tblHeader/>
        </w:trPr>
        <w:tc>
          <w:tcPr>
            <w:tcW w:type="dxa" w:w="205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Property</w:t>
            </w:r>
          </w:p>
        </w:tc>
        <w:tc>
          <w:tcPr>
            <w:tcW w:type="dxa" w:w="1872"/>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Type</w:t>
            </w:r>
          </w:p>
        </w:tc>
        <w:tc>
          <w:tcPr>
            <w:tcW w:type="dxa" w:w="542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Notes</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rationale</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Why the assumption was made. Required. This is the field that becomes impossible to reconstruct after a few years.</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tier</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AssumptionTier</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Set by safety risk management, not by the author. See 4.1.</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bindingState</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BindingState</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See 4.2. Derived where possible from the presence of anchors and confirmations.</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owner</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Actor or String</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Engineer accountable for the assumption.</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riskAcceptor</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Actor or String</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Named individual on this program who accepts the residual risk. Required for Tier 1.</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acceptanceDate</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Date</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When acceptance was recorded.</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dependentHazard</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Element [0..*]</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Hazard that reopens if the assumption fails. A link, not free text.</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disposition</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DispositionType</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See 4.5.</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lastConfirmed</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Date</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Date the conditions were last checked in force.</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confirmationInterval</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Integer, months</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For monitored assumptions. Drives the overdue rule ASM-07.</w:t>
            </w:r>
          </w:p>
        </w:tc>
      </w:tr>
    </w:tbl>
    <w:p>
      <w:pPr>
        <w:pStyle w:val="Heading2"/>
        <w:spacing w:after="120" w:before="260"/>
      </w:pPr>
      <w:r>
        <w:rPr>
          <w:rFonts w:ascii="Cambria" w:cs="Cambria" w:eastAsia="Cambria" w:hAnsi="Cambria"/>
          <w:b/>
          <w:bCs/>
          <w:color w:val="1F4380"/>
          <w:sz w:val="24"/>
          <w:szCs w:val="24"/>
        </w:rPr>
        <w:t xml:space="preserve">3.2  AssumptionCondition</w:t>
      </w:r>
    </w:p>
    <w:p>
      <w:pPr>
        <w:spacing w:after="120" w:line="276"/>
      </w:pPr>
      <w:r>
        <w:rPr>
          <w:rFonts w:ascii="Calibri" w:cs="Calibri" w:eastAsia="Calibri" w:hAnsi="Calibri"/>
          <w:color w:val="1A2333"/>
          <w:sz w:val="21"/>
          <w:szCs w:val="21"/>
        </w:rPr>
        <w:t xml:space="preserve">The individually checkable claims that make the assumption true. Modeled as separate elements rather than as prose inside Text, because each one anchors to a different document, may be confirmed by a different method, and may fail independently.</w:t>
      </w:r>
    </w:p>
    <w:p>
      <w:pPr>
        <w:spacing w:after="8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1872"/>
        <w:gridCol w:w="5429"/>
      </w:tblGrid>
      <w:tr>
        <w:trPr>
          <w:tblHeader/>
        </w:trPr>
        <w:tc>
          <w:tcPr>
            <w:tcW w:type="dxa" w:w="205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Property</w:t>
            </w:r>
          </w:p>
        </w:tc>
        <w:tc>
          <w:tcPr>
            <w:tcW w:type="dxa" w:w="1872"/>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Type</w:t>
            </w:r>
          </w:p>
        </w:tc>
        <w:tc>
          <w:tcPr>
            <w:tcW w:type="dxa" w:w="542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Notes</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Text</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Written so a reader gets a clear yes or no.</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regime</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ControlRegime</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See 4.3.</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confirmationMethod</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ConfirmationMethod</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See 4.4.</w:t>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confirmedRevision</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The revision of the anchor document that was checked. Compared against the current revision to detect movement.</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confirmedDate</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Date</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
            </w:r>
          </w:p>
        </w:tc>
      </w:tr>
    </w:tbl>
    <w:p>
      <w:pPr>
        <w:spacing w:after="140"/>
      </w:pPr>
    </w:p>
    <w:tbl>
      <w:tblPr>
        <w:tblW w:type="dxa" w:w="9360"/>
        <w:tblBorders>
          <w:top w:val="single" w:color="D3DEEF" w:sz="4"/>
          <w:left w:val="single" w:color="D3DEEF" w:sz="18"/>
          <w:bottom w:val="single" w:color="D3DEEF" w:sz="4"/>
          <w:right w:val="single" w:color="D3DEEF"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60" w:line="276"/>
            </w:pPr>
            <w:r>
              <w:rPr>
                <w:rFonts w:ascii="Calibri" w:cs="Calibri" w:eastAsia="Calibri" w:hAnsi="Calibri"/>
                <w:b/>
                <w:bCs/>
                <w:color w:val="132A4E"/>
                <w:sz w:val="21"/>
                <w:szCs w:val="21"/>
              </w:rPr>
              <w:t xml:space="preserve">Alternative worth considering</w:t>
            </w:r>
          </w:p>
          <w:p>
            <w:pPr>
              <w:spacing w:after="0" w:line="276"/>
            </w:pPr>
            <w:r>
              <w:rPr>
                <w:rFonts w:ascii="Calibri" w:cs="Calibri" w:eastAsia="Calibri" w:hAnsi="Calibri"/>
                <w:color w:val="1A2333"/>
                <w:sz w:val="20"/>
                <w:szCs w:val="20"/>
              </w:rPr>
              <w:t xml:space="preserve">Model conditions as nested requirements under the parent assumption using standard containment. Cheaper to build, but loses per-condition confirmation state.</w:t>
            </w:r>
          </w:p>
          <w:p>
            <w:pPr>
              <w:spacing w:after="0" w:line="276"/>
            </w:pPr>
            <w:r>
              <w:rPr>
                <w:rFonts w:ascii="Calibri" w:cs="Calibri" w:eastAsia="Calibri" w:hAnsi="Calibri"/>
                <w:color w:val="1A2333"/>
                <w:sz w:val="20"/>
                <w:szCs w:val="20"/>
              </w:rPr>
              <w:t xml:space="preserve"/>
            </w:r>
          </w:p>
          <w:p>
            <w:pPr>
              <w:spacing w:after="0" w:line="276"/>
            </w:pPr>
            <w:r>
              <w:rPr>
                <w:rFonts w:ascii="Calibri" w:cs="Calibri" w:eastAsia="Calibri" w:hAnsi="Calibri"/>
                <w:color w:val="1A2333"/>
                <w:sz w:val="20"/>
                <w:szCs w:val="20"/>
              </w:rPr>
              <w:t xml:space="preserve">Recommendation: separate elements for Tier 1, nesting for Tier 2.</w:t>
            </w:r>
          </w:p>
        </w:tc>
      </w:tr>
    </w:tbl>
    <w:p>
      <w:pPr>
        <w:pStyle w:val="Heading2"/>
        <w:spacing w:after="120" w:before="260"/>
      </w:pPr>
      <w:r>
        <w:rPr>
          <w:rFonts w:ascii="Cambria" w:cs="Cambria" w:eastAsia="Cambria" w:hAnsi="Cambria"/>
          <w:b/>
          <w:bCs/>
          <w:color w:val="1F4380"/>
          <w:sz w:val="24"/>
          <w:szCs w:val="24"/>
        </w:rPr>
        <w:t xml:space="preserve">3.3  ControlledDocument</w:t>
      </w:r>
    </w:p>
    <w:p>
      <w:pPr>
        <w:spacing w:after="120" w:line="276"/>
      </w:pPr>
      <w:r>
        <w:rPr>
          <w:rFonts w:ascii="Calibri" w:cs="Calibri" w:eastAsia="Calibri" w:hAnsi="Calibri"/>
          <w:color w:val="1A2333"/>
          <w:sz w:val="21"/>
          <w:szCs w:val="21"/>
        </w:rPr>
        <w:t xml:space="preserve">A stub element standing in for an externally controlled document. This is the mechanism that brings the maintenance and training regimes inside the model without modeling their content.</w:t>
      </w:r>
    </w:p>
    <w:p>
      <w:pPr>
        <w:spacing w:after="8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059"/>
        <w:gridCol w:w="1872"/>
        <w:gridCol w:w="5429"/>
      </w:tblGrid>
      <w:tr>
        <w:trPr>
          <w:tblHeader/>
        </w:trPr>
        <w:tc>
          <w:tcPr>
            <w:tcW w:type="dxa" w:w="205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Property</w:t>
            </w:r>
          </w:p>
        </w:tc>
        <w:tc>
          <w:tcPr>
            <w:tcW w:type="dxa" w:w="1872"/>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Type</w:t>
            </w:r>
          </w:p>
        </w:tc>
        <w:tc>
          <w:tcPr>
            <w:tcW w:type="dxa" w:w="542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Notes</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documentId</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currentRevision</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Maintained manually. One small task per document, and the single point of failure in this design.</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revisionDate</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Date</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controlAuthority</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Who approves changes to it.</w:t>
            </w:r>
          </w:p>
        </w:tc>
      </w:tr>
      <w:tr>
        <w:tc>
          <w:tcPr>
            <w:tcW w:type="dxa" w:w="2059"/>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regime</w:t>
            </w:r>
          </w:p>
        </w:tc>
        <w:tc>
          <w:tcPr>
            <w:tcW w:type="dxa" w:w="187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ControlRegime</w:t>
            </w:r>
          </w:p>
        </w:tc>
        <w:tc>
          <w:tcPr>
            <w:tcW w:type="dxa" w:w="542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
            </w:r>
          </w:p>
        </w:tc>
      </w:tr>
      <w:tr>
        <w:tc>
          <w:tcPr>
            <w:tcW w:type="dxa" w:w="2059"/>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custodian</w:t>
            </w:r>
          </w:p>
        </w:tc>
        <w:tc>
          <w:tcPr>
            <w:tcW w:type="dxa" w:w="187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Actor or String</w:t>
            </w:r>
          </w:p>
        </w:tc>
        <w:tc>
          <w:tcPr>
            <w:tcW w:type="dxa" w:w="542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Person responsible for keeping currentRevision accurate.</w:t>
            </w:r>
          </w:p>
        </w:tc>
      </w:tr>
    </w:tbl>
    <w:p>
      <w:pPr>
        <w:spacing w:after="120"/>
      </w:pPr>
    </w:p>
    <w:p>
      <w:pPr>
        <w:spacing w:after="120" w:line="276"/>
      </w:pPr>
      <w:r>
        <w:rPr>
          <w:rFonts w:ascii="Calibri" w:cs="Calibri" w:eastAsia="Calibri" w:hAnsi="Calibri"/>
          <w:color w:val="1A2333"/>
          <w:sz w:val="21"/>
          <w:szCs w:val="21"/>
        </w:rPr>
        <w:t xml:space="preserve">Engineering documents already represented in the model should be referenced directly rather than duplicated as stubs. Stubs exist for what the model does not contain.</w:t>
      </w:r>
    </w:p>
    <w:p>
      <w:pPr>
        <w:pStyle w:val="Heading2"/>
        <w:spacing w:after="120" w:before="260"/>
      </w:pPr>
      <w:r>
        <w:rPr>
          <w:rFonts w:ascii="Cambria" w:cs="Cambria" w:eastAsia="Cambria" w:hAnsi="Cambria"/>
          <w:b/>
          <w:bCs/>
          <w:color w:val="1F4380"/>
          <w:sz w:val="24"/>
          <w:szCs w:val="24"/>
        </w:rPr>
        <w:t xml:space="preserve">3.4  AssumptionMonitor</w:t>
      </w:r>
    </w:p>
    <w:p>
      <w:pPr>
        <w:spacing w:after="120" w:line="276"/>
      </w:pPr>
      <w:r>
        <w:rPr>
          <w:rFonts w:ascii="Calibri" w:cs="Calibri" w:eastAsia="Calibri" w:hAnsi="Calibri"/>
          <w:color w:val="1A2333"/>
          <w:sz w:val="21"/>
          <w:szCs w:val="21"/>
        </w:rPr>
        <w:t xml:space="preserve">For conditions that can only be monitored. Represents the safety performance indicator, its data source, and its trigger threshold.</w:t>
      </w:r>
    </w:p>
    <w:p>
      <w:pPr>
        <w:spacing w:after="8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2808"/>
        <w:gridCol w:w="6552"/>
      </w:tblGrid>
      <w:tr>
        <w:trPr>
          <w:tblHeader/>
        </w:trPr>
        <w:tc>
          <w:tcPr>
            <w:tcW w:type="dxa" w:w="2808"/>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Property</w:t>
            </w:r>
          </w:p>
        </w:tc>
        <w:tc>
          <w:tcPr>
            <w:tcW w:type="dxa" w:w="6552"/>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Type</w:t>
            </w:r>
          </w:p>
        </w:tc>
      </w:tr>
      <w:tr>
        <w:tc>
          <w:tcPr>
            <w:tcW w:type="dxa" w:w="2808"/>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indicator</w:t>
            </w:r>
          </w:p>
        </w:tc>
        <w:tc>
          <w:tcPr>
            <w:tcW w:type="dxa" w:w="655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r>
      <w:tr>
        <w:tc>
          <w:tcPr>
            <w:tcW w:type="dxa" w:w="2808"/>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dataSource</w:t>
            </w:r>
          </w:p>
        </w:tc>
        <w:tc>
          <w:tcPr>
            <w:tcW w:type="dxa" w:w="655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r>
      <w:tr>
        <w:tc>
          <w:tcPr>
            <w:tcW w:type="dxa" w:w="2808"/>
            <w:shd w:fill="EDF1F8"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triggerCondition</w:t>
            </w:r>
          </w:p>
        </w:tc>
        <w:tc>
          <w:tcPr>
            <w:tcW w:type="dxa" w:w="655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String</w:t>
            </w:r>
          </w:p>
        </w:tc>
      </w:tr>
      <w:tr>
        <w:tc>
          <w:tcPr>
            <w:tcW w:type="dxa" w:w="2808"/>
            <w:shd w:fill="FFFFFF" w:color="auto" w:val="clear"/>
            <w:tcMar>
              <w:top w:type="dxa" w:w="80"/>
              <w:left w:type="dxa" w:w="120"/>
              <w:bottom w:type="dxa" w:w="80"/>
              <w:right w:type="dxa" w:w="120"/>
            </w:tcMar>
          </w:tcPr>
          <w:p>
            <w:pPr>
              <w:spacing w:after="0" w:line="250"/>
            </w:pPr>
            <w:r>
              <w:rPr>
                <w:rFonts w:ascii="Consolas" w:cs="Consolas" w:eastAsia="Consolas" w:hAnsi="Consolas"/>
                <w:b w:val="false"/>
                <w:bCs w:val="false"/>
                <w:color w:val="1A2333"/>
                <w:sz w:val="18"/>
                <w:szCs w:val="18"/>
              </w:rPr>
              <w:t xml:space="preserve">reviewFrequency</w:t>
            </w:r>
          </w:p>
        </w:tc>
        <w:tc>
          <w:tcPr>
            <w:tcW w:type="dxa" w:w="655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Integer, months</w:t>
            </w:r>
          </w:p>
        </w:tc>
      </w:tr>
    </w:tbl>
    <w:p>
      <w:pPr>
        <w:spacing w:after="140"/>
      </w:pPr>
    </w:p>
    <w:tbl>
      <w:tblPr>
        <w:tblW w:type="dxa" w:w="9360"/>
        <w:tblBorders>
          <w:top w:val="single" w:color="ECC8AE" w:sz="4"/>
          <w:left w:val="single" w:color="ECC8AE" w:sz="18"/>
          <w:bottom w:val="single" w:color="ECC8AE" w:sz="4"/>
          <w:right w:val="single" w:color="ECC8AE"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60" w:line="276"/>
            </w:pPr>
            <w:r>
              <w:rPr>
                <w:rFonts w:ascii="Calibri" w:cs="Calibri" w:eastAsia="Calibri" w:hAnsi="Calibri"/>
                <w:b/>
                <w:bCs/>
                <w:color w:val="B4530C"/>
                <w:sz w:val="21"/>
                <w:szCs w:val="21"/>
              </w:rPr>
              <w:t xml:space="preserve">Confirm</w:t>
            </w:r>
          </w:p>
          <w:p>
            <w:pPr>
              <w:spacing w:after="0" w:line="276"/>
            </w:pPr>
            <w:r>
              <w:rPr>
                <w:rFonts w:ascii="Calibri" w:cs="Calibri" w:eastAsia="Calibri" w:hAnsi="Calibri"/>
                <w:color w:val="1A2333"/>
                <w:sz w:val="20"/>
                <w:szCs w:val="20"/>
              </w:rPr>
              <w:t xml:space="preserve">Whether an existing site profile already contains an indicator or measure element that should be reused instead of adding this one.</w:t>
            </w:r>
          </w:p>
        </w:tc>
      </w:tr>
    </w:tbl>
    <w:p>
      <w:r>
        <w:br w:type="page"/>
      </w:r>
    </w:p>
    <w:p>
      <w:pPr>
        <w:pStyle w:val="Heading1"/>
        <w:spacing w:after="160" w:before="360"/>
      </w:pPr>
      <w:r>
        <w:rPr>
          <w:rFonts w:ascii="Cambria" w:cs="Cambria" w:eastAsia="Cambria" w:hAnsi="Cambria"/>
          <w:b/>
          <w:bCs/>
          <w:color w:val="132A4E"/>
          <w:sz w:val="30"/>
          <w:szCs w:val="30"/>
        </w:rPr>
        <w:t xml:space="preserve">4.  Enumerations</w:t>
      </w:r>
    </w:p>
    <w:p>
      <w:pPr>
        <w:pStyle w:val="Heading2"/>
        <w:spacing w:after="120" w:before="260"/>
      </w:pPr>
      <w:r>
        <w:rPr>
          <w:rFonts w:ascii="Cambria" w:cs="Cambria" w:eastAsia="Cambria" w:hAnsi="Cambria"/>
          <w:b/>
          <w:bCs/>
          <w:color w:val="1F4380"/>
          <w:sz w:val="24"/>
          <w:szCs w:val="24"/>
        </w:rPr>
        <w:t xml:space="preserve">4.1  AssumptionTier</w:t>
      </w:r>
    </w:p>
    <w:p>
      <w:pPr>
        <w:spacing w:after="120" w:line="276"/>
      </w:pPr>
      <w:r>
        <w:rPr>
          <w:rFonts w:ascii="Consolas" w:cs="Consolas" w:eastAsia="Consolas" w:hAnsi="Consolas"/>
          <w:b/>
          <w:bCs/>
          <w:color w:val="1F4380"/>
          <w:sz w:val="20"/>
          <w:szCs w:val="20"/>
        </w:rPr>
        <w:t xml:space="preserve">Tier1_Controlled  |  Tier2_Registered  |  Tier3_Note</w:t>
      </w:r>
    </w:p>
    <w:p>
      <w:pPr>
        <w:spacing w:after="120" w:line="276"/>
      </w:pPr>
      <w:r>
        <w:rPr>
          <w:rFonts w:ascii="Calibri" w:cs="Calibri" w:eastAsia="Calibri" w:hAnsi="Calibri"/>
          <w:color w:val="1A2333"/>
          <w:sz w:val="21"/>
          <w:szCs w:val="21"/>
        </w:rPr>
        <w:t xml:space="preserve">Tier 1 test: a hazard reopens if this assumption fails. Applied by safety risk management using the hazard analysis, not inherited from any list maintained elsewhere for other purposes.</w:t>
      </w:r>
    </w:p>
    <w:p>
      <w:pPr>
        <w:pStyle w:val="Heading2"/>
        <w:spacing w:after="120" w:before="260"/>
      </w:pPr>
      <w:r>
        <w:rPr>
          <w:rFonts w:ascii="Cambria" w:cs="Cambria" w:eastAsia="Cambria" w:hAnsi="Cambria"/>
          <w:b/>
          <w:bCs/>
          <w:color w:val="1F4380"/>
          <w:sz w:val="24"/>
          <w:szCs w:val="24"/>
        </w:rPr>
        <w:t xml:space="preserve">4.2  BindingState</w:t>
      </w:r>
    </w:p>
    <w:p>
      <w:pPr>
        <w:spacing w:after="120" w:line="276"/>
      </w:pPr>
      <w:r>
        <w:rPr>
          <w:rFonts w:ascii="Consolas" w:cs="Consolas" w:eastAsia="Consolas" w:hAnsi="Consolas"/>
          <w:b/>
          <w:bCs/>
          <w:color w:val="1F4380"/>
          <w:sz w:val="20"/>
          <w:szCs w:val="20"/>
        </w:rPr>
        <w:t xml:space="preserve">Unanchored  |  Anchored  |  Verified  |  Monitored  |  Failed  |  Superseded</w:t>
      </w:r>
    </w:p>
    <w:p>
      <w:pPr>
        <w:pStyle w:val="ListParagraph"/>
        <w:numPr>
          <w:ilvl w:val="0"/>
          <w:numId w:val="3"/>
        </w:numPr>
        <w:spacing w:after="80" w:line="276"/>
      </w:pPr>
      <w:r>
        <w:rPr>
          <w:rFonts w:ascii="Calibri" w:cs="Calibri" w:eastAsia="Calibri" w:hAnsi="Calibri"/>
          <w:color w:val="1A2333"/>
          <w:sz w:val="21"/>
          <w:szCs w:val="21"/>
        </w:rPr>
        <w:t xml:space="preserve">Monitored is a terminal state, not a waypoint. Some assumptions are never verifiable and should not sit permanently in an incomplete-looking state.</w:t>
      </w:r>
    </w:p>
    <w:p>
      <w:pPr>
        <w:pStyle w:val="ListParagraph"/>
        <w:numPr>
          <w:ilvl w:val="0"/>
          <w:numId w:val="3"/>
        </w:numPr>
        <w:spacing w:after="80" w:line="276"/>
      </w:pPr>
      <w:r>
        <w:rPr>
          <w:rFonts w:ascii="Calibri" w:cs="Calibri" w:eastAsia="Calibri" w:hAnsi="Calibri"/>
          <w:color w:val="1A2333"/>
          <w:sz w:val="21"/>
          <w:szCs w:val="21"/>
        </w:rPr>
        <w:t xml:space="preserve">Failed triggers reentry into safety risk management. It is not a defect to be cleared.</w:t>
      </w:r>
    </w:p>
    <w:p>
      <w:pPr>
        <w:pStyle w:val="Heading2"/>
        <w:spacing w:after="120" w:before="260"/>
      </w:pPr>
      <w:r>
        <w:rPr>
          <w:rFonts w:ascii="Cambria" w:cs="Cambria" w:eastAsia="Cambria" w:hAnsi="Cambria"/>
          <w:b/>
          <w:bCs/>
          <w:color w:val="1F4380"/>
          <w:sz w:val="24"/>
          <w:szCs w:val="24"/>
        </w:rPr>
        <w:t xml:space="preserve">4.3  ControlRegime</w:t>
      </w:r>
    </w:p>
    <w:p>
      <w:pPr>
        <w:spacing w:after="120" w:line="276"/>
      </w:pPr>
      <w:r>
        <w:rPr>
          <w:rFonts w:ascii="Consolas" w:cs="Consolas" w:eastAsia="Consolas" w:hAnsi="Consolas"/>
          <w:b/>
          <w:bCs/>
          <w:color w:val="1F4380"/>
          <w:sz w:val="20"/>
          <w:szCs w:val="20"/>
        </w:rPr>
        <w:t xml:space="preserve">EngineeringConfiguration  |  MaintenanceAndOperational  |  TrainingAndCompetence  |  Contractual  |  None</w:t>
      </w:r>
    </w:p>
    <w:p>
      <w:pPr>
        <w:spacing w:after="120" w:line="276"/>
      </w:pPr>
      <w:r>
        <w:rPr>
          <w:rFonts w:ascii="Calibri" w:cs="Calibri" w:eastAsia="Calibri" w:hAnsi="Calibri"/>
          <w:color w:val="1A2333"/>
          <w:sz w:val="21"/>
          <w:szCs w:val="21"/>
        </w:rPr>
        <w:t xml:space="preserve">None is deliberate and should be visible. A condition with no controlling document anywhere is a real finding, not a data entry gap.</w:t>
      </w:r>
    </w:p>
    <w:p>
      <w:pPr>
        <w:pStyle w:val="Heading2"/>
        <w:spacing w:after="120" w:before="260"/>
      </w:pPr>
      <w:r>
        <w:rPr>
          <w:rFonts w:ascii="Cambria" w:cs="Cambria" w:eastAsia="Cambria" w:hAnsi="Cambria"/>
          <w:b/>
          <w:bCs/>
          <w:color w:val="1F4380"/>
          <w:sz w:val="24"/>
          <w:szCs w:val="24"/>
        </w:rPr>
        <w:t xml:space="preserve">4.4  ConfirmationMethod</w:t>
      </w:r>
    </w:p>
    <w:p>
      <w:pPr>
        <w:spacing w:after="120" w:line="276"/>
      </w:pPr>
      <w:r>
        <w:rPr>
          <w:rFonts w:ascii="Consolas" w:cs="Consolas" w:eastAsia="Consolas" w:hAnsi="Consolas"/>
          <w:b/>
          <w:bCs/>
          <w:color w:val="1F4380"/>
          <w:sz w:val="20"/>
          <w:szCs w:val="20"/>
        </w:rPr>
        <w:t xml:space="preserve">Test  |  Analysis  |  Inspection  |  Demonstration  |  Monitoring  |  AuthorityApproval</w:t>
      </w:r>
    </w:p>
    <w:p>
      <w:pPr>
        <w:spacing w:after="120" w:line="276"/>
      </w:pPr>
      <w:r>
        <w:rPr>
          <w:rFonts w:ascii="Calibri" w:cs="Calibri" w:eastAsia="Calibri" w:hAnsi="Calibri"/>
          <w:color w:val="1A2333"/>
          <w:sz w:val="21"/>
          <w:szCs w:val="21"/>
        </w:rPr>
        <w:t xml:space="preserve">The first four are the standard verification methods. Monitoring and AuthorityApproval are additions this domain requires.</w:t>
      </w:r>
    </w:p>
    <w:p>
      <w:pPr>
        <w:pStyle w:val="Heading2"/>
        <w:spacing w:after="120" w:before="260"/>
      </w:pPr>
      <w:r>
        <w:rPr>
          <w:rFonts w:ascii="Cambria" w:cs="Cambria" w:eastAsia="Cambria" w:hAnsi="Cambria"/>
          <w:b/>
          <w:bCs/>
          <w:color w:val="1F4380"/>
          <w:sz w:val="24"/>
          <w:szCs w:val="24"/>
        </w:rPr>
        <w:t xml:space="preserve">4.5  DispositionType</w:t>
      </w:r>
    </w:p>
    <w:p>
      <w:pPr>
        <w:spacing w:after="120" w:line="276"/>
      </w:pPr>
      <w:r>
        <w:rPr>
          <w:rFonts w:ascii="Consolas" w:cs="Consolas" w:eastAsia="Consolas" w:hAnsi="Consolas"/>
          <w:b/>
          <w:bCs/>
          <w:color w:val="1F4380"/>
          <w:sz w:val="20"/>
          <w:szCs w:val="20"/>
        </w:rPr>
        <w:t xml:space="preserve">Open  |  ConvertedToRequirement  |  Retired  |  TransferredToOperator  |  Accepted</w:t>
      </w:r>
    </w:p>
    <w:p>
      <w:pPr>
        <w:spacing w:after="120" w:line="276"/>
      </w:pPr>
      <w:r>
        <w:rPr>
          <w:rFonts w:ascii="Calibri" w:cs="Calibri" w:eastAsia="Calibri" w:hAnsi="Calibri"/>
          <w:color w:val="1A2333"/>
          <w:sz w:val="21"/>
          <w:szCs w:val="21"/>
        </w:rPr>
        <w:t xml:space="preserve">ConvertedToRequirement is the preferred disposition wherever a condition can be levied on a responsible party. Converting removes the item from the Tier 1 population, which is the principal affordability lever in the whole scheme.</w:t>
      </w:r>
    </w:p>
    <w:p>
      <w:pPr>
        <w:pStyle w:val="Heading1"/>
        <w:spacing w:after="160" w:before="360"/>
      </w:pPr>
      <w:r>
        <w:rPr>
          <w:rFonts w:ascii="Cambria" w:cs="Cambria" w:eastAsia="Cambria" w:hAnsi="Cambria"/>
          <w:b/>
          <w:bCs/>
          <w:color w:val="132A4E"/>
          <w:sz w:val="30"/>
          <w:szCs w:val="30"/>
        </w:rPr>
        <w:t xml:space="preserve">5.  Relationships</w:t>
      </w:r>
    </w:p>
    <w:p>
      <w:pPr>
        <w:pStyle w:val="Heading2"/>
        <w:spacing w:after="120" w:before="260"/>
      </w:pPr>
      <w:r>
        <w:rPr>
          <w:rFonts w:ascii="Cambria" w:cs="Cambria" w:eastAsia="Cambria" w:hAnsi="Cambria"/>
          <w:b/>
          <w:bCs/>
          <w:color w:val="1F4380"/>
          <w:sz w:val="24"/>
          <w:szCs w:val="24"/>
        </w:rPr>
        <w:t xml:space="preserve">5.1  Reused from SysML</w:t>
      </w:r>
    </w:p>
    <w:p>
      <w:pPr>
        <w:pStyle w:val="ListParagraph"/>
        <w:numPr>
          <w:ilvl w:val="0"/>
          <w:numId w:val="3"/>
        </w:numPr>
        <w:spacing w:after="80" w:line="276"/>
      </w:pPr>
      <w:r>
        <w:rPr>
          <w:rFonts w:ascii="Calibri" w:cs="Calibri" w:eastAsia="Calibri" w:hAnsi="Calibri"/>
          <w:color w:val="1A2333"/>
          <w:sz w:val="21"/>
          <w:szCs w:val="21"/>
        </w:rPr>
        <w:t xml:space="preserve">derive, from an Assumption to a derived requirement produced by converting one of its conditions.</w:t>
      </w:r>
    </w:p>
    <w:p>
      <w:pPr>
        <w:pStyle w:val="ListParagraph"/>
        <w:numPr>
          <w:ilvl w:val="0"/>
          <w:numId w:val="3"/>
        </w:numPr>
        <w:spacing w:after="80" w:line="276"/>
      </w:pPr>
      <w:r>
        <w:rPr>
          <w:rFonts w:ascii="Calibri" w:cs="Calibri" w:eastAsia="Calibri" w:hAnsi="Calibri"/>
          <w:color w:val="1A2333"/>
          <w:sz w:val="21"/>
          <w:szCs w:val="21"/>
        </w:rPr>
        <w:t xml:space="preserve">satisfy, refine and trace as normal.</w:t>
      </w:r>
    </w:p>
    <w:p>
      <w:pPr>
        <w:pStyle w:val="ListParagraph"/>
        <w:numPr>
          <w:ilvl w:val="0"/>
          <w:numId w:val="3"/>
        </w:numPr>
        <w:spacing w:after="80" w:line="276"/>
      </w:pPr>
      <w:r>
        <w:rPr>
          <w:rFonts w:ascii="Calibri" w:cs="Calibri" w:eastAsia="Calibri" w:hAnsi="Calibri"/>
          <w:color w:val="1A2333"/>
          <w:sz w:val="21"/>
          <w:szCs w:val="21"/>
        </w:rPr>
        <w:t xml:space="preserve">verify, from a test case, for conditions whose method is Test, Analysis, Inspection or Demonstration only.</w:t>
      </w:r>
    </w:p>
    <w:p>
      <w:pPr>
        <w:pStyle w:val="Heading2"/>
        <w:spacing w:after="120" w:before="260"/>
      </w:pPr>
      <w:r>
        <w:rPr>
          <w:rFonts w:ascii="Cambria" w:cs="Cambria" w:eastAsia="Cambria" w:hAnsi="Cambria"/>
          <w:b/>
          <w:bCs/>
          <w:color w:val="1F4380"/>
          <w:sz w:val="24"/>
          <w:szCs w:val="24"/>
        </w:rPr>
        <w:t xml:space="preserve">5.2  Added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1498"/>
        <w:gridCol w:w="2059"/>
        <w:gridCol w:w="2246"/>
        <w:gridCol w:w="3557"/>
      </w:tblGrid>
      <w:tr>
        <w:trPr>
          <w:tblHeader/>
        </w:trPr>
        <w:tc>
          <w:tcPr>
            <w:tcW w:type="dxa" w:w="1498"/>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Stereotype</w:t>
            </w:r>
          </w:p>
        </w:tc>
        <w:tc>
          <w:tcPr>
            <w:tcW w:type="dxa" w:w="2059"/>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From</w:t>
            </w:r>
          </w:p>
        </w:tc>
        <w:tc>
          <w:tcPr>
            <w:tcW w:type="dxa" w:w="2246"/>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To</w:t>
            </w:r>
          </w:p>
        </w:tc>
        <w:tc>
          <w:tcPr>
            <w:tcW w:type="dxa" w:w="3557"/>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Purpose</w:t>
            </w:r>
          </w:p>
        </w:tc>
      </w:tr>
      <w:tr>
        <w:tc>
          <w:tcPr>
            <w:tcW w:type="dxa" w:w="149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anchoredTo</w:t>
            </w:r>
          </w:p>
        </w:tc>
        <w:tc>
          <w:tcPr>
            <w:tcW w:type="dxa" w:w="205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AssumptionCondition</w:t>
            </w:r>
          </w:p>
        </w:tc>
        <w:tc>
          <w:tcPr>
            <w:tcW w:type="dxa" w:w="2246"/>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ControlledDocument or model element</w:t>
            </w:r>
          </w:p>
        </w:tc>
        <w:tc>
          <w:tcPr>
            <w:tcW w:type="dxa" w:w="3557"/>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Records what makes the condition true. Carries citedRevision.</w:t>
            </w:r>
          </w:p>
        </w:tc>
      </w:tr>
      <w:tr>
        <w:tc>
          <w:tcPr>
            <w:tcW w:type="dxa" w:w="149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adoptedFrom</w:t>
            </w:r>
          </w:p>
        </w:tc>
        <w:tc>
          <w:tcPr>
            <w:tcW w:type="dxa" w:w="205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w:t>
            </w:r>
          </w:p>
        </w:tc>
        <w:tc>
          <w:tcPr>
            <w:tcW w:type="dxa" w:w="2246"/>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 on source program</w:t>
            </w:r>
          </w:p>
        </w:tc>
        <w:tc>
          <w:tcPr>
            <w:tcW w:type="dxa" w:w="3557"/>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Records inheritance. Carries deltaAssessmentRef and assessmentDate.</w:t>
            </w:r>
          </w:p>
        </w:tc>
      </w:tr>
      <w:tr>
        <w:tc>
          <w:tcPr>
            <w:tcW w:type="dxa" w:w="149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monitoredBy</w:t>
            </w:r>
          </w:p>
        </w:tc>
        <w:tc>
          <w:tcPr>
            <w:tcW w:type="dxa" w:w="2059"/>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AssumptionCondition</w:t>
            </w:r>
          </w:p>
        </w:tc>
        <w:tc>
          <w:tcPr>
            <w:tcW w:type="dxa" w:w="2246"/>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AssumptionMonitor</w:t>
            </w:r>
          </w:p>
        </w:tc>
        <w:tc>
          <w:tcPr>
            <w:tcW w:type="dxa" w:w="3557"/>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For conditions closed by monitoring rather than verification.</w:t>
            </w:r>
          </w:p>
        </w:tc>
      </w:tr>
      <w:tr>
        <w:tc>
          <w:tcPr>
            <w:tcW w:type="dxa" w:w="149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invalidates</w:t>
            </w:r>
          </w:p>
        </w:tc>
        <w:tc>
          <w:tcPr>
            <w:tcW w:type="dxa" w:w="2059"/>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w:t>
            </w:r>
          </w:p>
        </w:tc>
        <w:tc>
          <w:tcPr>
            <w:tcW w:type="dxa" w:w="2246"/>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Hazard</w:t>
            </w:r>
          </w:p>
        </w:tc>
        <w:tc>
          <w:tcPr>
            <w:tcW w:type="dxa" w:w="3557"/>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The hazard that reopens on failure. Direction chosen deliberately: the assumption acts on the hazard.</w:t>
            </w:r>
          </w:p>
        </w:tc>
      </w:tr>
    </w:tbl>
    <w:p>
      <w:pPr>
        <w:pStyle w:val="Heading2"/>
        <w:spacing w:after="120" w:before="260"/>
      </w:pPr>
      <w:r>
        <w:rPr>
          <w:rFonts w:ascii="Cambria" w:cs="Cambria" w:eastAsia="Cambria" w:hAnsi="Cambria"/>
          <w:b/>
          <w:bCs/>
          <w:color w:val="1F4380"/>
          <w:sz w:val="24"/>
          <w:szCs w:val="24"/>
        </w:rPr>
        <w:t xml:space="preserve">5.3  Prohibited</w:t>
      </w:r>
    </w:p>
    <w:tbl>
      <w:tblPr>
        <w:tblW w:type="dxa" w:w="9360"/>
        <w:tblBorders>
          <w:top w:val="single" w:color="ECC8AE" w:sz="4"/>
          <w:left w:val="single" w:color="ECC8AE" w:sz="18"/>
          <w:bottom w:val="single" w:color="ECC8AE" w:sz="4"/>
          <w:right w:val="single" w:color="ECC8AE"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60" w:line="276"/>
            </w:pPr>
            <w:r>
              <w:rPr>
                <w:rFonts w:ascii="Calibri" w:cs="Calibri" w:eastAsia="Calibri" w:hAnsi="Calibri"/>
                <w:b/>
                <w:bCs/>
                <w:color w:val="B4530C"/>
                <w:sz w:val="21"/>
                <w:szCs w:val="21"/>
              </w:rPr>
              <w:t xml:space="preserve">Do not use the SysML Copy dependency between assumptions</w:t>
            </w:r>
          </w:p>
          <w:p>
            <w:pPr>
              <w:spacing w:after="0" w:line="276"/>
            </w:pPr>
            <w:r>
              <w:rPr>
                <w:rFonts w:ascii="Calibri" w:cs="Calibri" w:eastAsia="Calibri" w:hAnsi="Calibri"/>
                <w:color w:val="1A2333"/>
                <w:sz w:val="20"/>
                <w:szCs w:val="20"/>
              </w:rPr>
              <w:t xml:space="preserve">The semantics of Copy are that the slave element’s text is a read-only copy of the master’s. That is precisely the inherited-assumption failure expressed as a modeling construct: the sentence propagates and nothing else does.</w:t>
            </w:r>
          </w:p>
          <w:p>
            <w:pPr>
              <w:spacing w:after="0" w:line="276"/>
            </w:pPr>
            <w:r>
              <w:rPr>
                <w:rFonts w:ascii="Calibri" w:cs="Calibri" w:eastAsia="Calibri" w:hAnsi="Calibri"/>
                <w:color w:val="1A2333"/>
                <w:sz w:val="20"/>
                <w:szCs w:val="20"/>
              </w:rPr>
              <w:t xml:space="preserve"/>
            </w:r>
          </w:p>
          <w:p>
            <w:pPr>
              <w:spacing w:after="0" w:line="276"/>
            </w:pPr>
            <w:r>
              <w:rPr>
                <w:rFonts w:ascii="Calibri" w:cs="Calibri" w:eastAsia="Calibri" w:hAnsi="Calibri"/>
                <w:color w:val="1A2333"/>
                <w:sz w:val="20"/>
                <w:szCs w:val="20"/>
              </w:rPr>
              <w:t xml:space="preserve">Use adoptedFrom instead, which requires a delta assessment reference. Consider a validation rule that flags any Copy dependency with an Assumption at either end. See ASM-09.</w:t>
            </w:r>
          </w:p>
        </w:tc>
      </w:tr>
    </w:tbl>
    <w:p>
      <w:r>
        <w:br w:type="page"/>
      </w:r>
    </w:p>
    <w:p>
      <w:pPr>
        <w:pStyle w:val="Heading1"/>
        <w:spacing w:after="160" w:before="360"/>
      </w:pPr>
      <w:r>
        <w:rPr>
          <w:rFonts w:ascii="Cambria" w:cs="Cambria" w:eastAsia="Cambria" w:hAnsi="Cambria"/>
          <w:b/>
          <w:bCs/>
          <w:color w:val="132A4E"/>
          <w:sz w:val="30"/>
          <w:szCs w:val="30"/>
        </w:rPr>
        <w:t xml:space="preserve">6.  Validation rules</w:t>
      </w:r>
    </w:p>
    <w:p>
      <w:pPr>
        <w:spacing w:after="120" w:line="276"/>
      </w:pPr>
      <w:r>
        <w:rPr>
          <w:rFonts w:ascii="Calibri" w:cs="Calibri" w:eastAsia="Calibri" w:hAnsi="Calibri"/>
          <w:color w:val="1A2333"/>
          <w:sz w:val="21"/>
          <w:szCs w:val="21"/>
        </w:rPr>
        <w:t xml:space="preserve">Implemented as constraints in a validation suite, run under active validation. Confirm whether OCL is sufficient for all of these, or whether any require a binary implementation.</w:t>
      </w:r>
    </w:p>
    <w:p>
      <w:pPr>
        <w:spacing w:after="80"/>
      </w:pP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842"/>
        <w:gridCol w:w="1030"/>
        <w:gridCol w:w="3744"/>
        <w:gridCol w:w="3744"/>
      </w:tblGrid>
      <w:tr>
        <w:trPr>
          <w:tblHeader/>
        </w:trPr>
        <w:tc>
          <w:tcPr>
            <w:tcW w:type="dxa" w:w="842"/>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ID</w:t>
            </w:r>
          </w:p>
        </w:tc>
        <w:tc>
          <w:tcPr>
            <w:tcW w:type="dxa" w:w="1030"/>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Severity</w:t>
            </w:r>
          </w:p>
        </w:tc>
        <w:tc>
          <w:tcPr>
            <w:tcW w:type="dxa" w:w="3744"/>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Fires when</w:t>
            </w:r>
          </w:p>
        </w:tc>
        <w:tc>
          <w:tcPr>
            <w:tcW w:type="dxa" w:w="3744"/>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Why</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ASM-01</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 has empty rationale</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The field that cannot be reconstructed later</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ASM-02</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tier is Tier1 and riskAcceptor is empty</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The compliance-relevant item under SM-0001</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ASM-03</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tier is Tier1 and no AssumptionCondition exists</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An assumption with no conditions is not checkable</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ASM-04</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AssumptionCondition has no anchoredTo and regime is not None</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Anchors must be explicit, including deliberate absence</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bCs/>
                <w:color w:val="1A2333"/>
                <w:sz w:val="18"/>
                <w:szCs w:val="18"/>
              </w:rPr>
              <w:t xml:space="preserve">ASM-05</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bCs/>
                <w:color w:val="1A2333"/>
                <w:sz w:val="18"/>
                <w:szCs w:val="18"/>
              </w:rPr>
              <w:t xml:space="preserve">warning</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bCs/>
                <w:color w:val="1A2333"/>
                <w:sz w:val="18"/>
                <w:szCs w:val="18"/>
              </w:rPr>
              <w:t xml:space="preserve">citedRevision on anchoredTo differs from currentRevision on the target</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bCs/>
                <w:color w:val="B4530C"/>
                <w:sz w:val="18"/>
                <w:szCs w:val="18"/>
              </w:rPr>
              <w:t xml:space="preserve">The core mechanism. This is the sweep, running continuously</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ASM-06</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bindingState is Verified and confirmationMethod is Monitoring</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Monitoring does not verify</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ASM-07</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warning</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lastConfirmed older than confirmationInterval</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Overdue re-confirmation</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ASM-08</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adoptedFrom exists with empty deltaAssessmentRef</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No inheritance without comparison</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ASM-09</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Copy dependency with an Assumption at either end</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See section 5.3</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ASM-10</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warning</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tier is Tier1 and no invalidates link to any hazard</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Tier 1 is defined by hazard dependency, so the link should exist</w:t>
            </w:r>
          </w:p>
        </w:tc>
      </w:tr>
      <w:tr>
        <w:tc>
          <w:tcPr>
            <w:tcW w:type="dxa" w:w="842"/>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ASM-11</w:t>
            </w:r>
          </w:p>
        </w:tc>
        <w:tc>
          <w:tcPr>
            <w:tcW w:type="dxa" w:w="1030"/>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info</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regime is None</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Surfaces conditions that nothing controls</w:t>
            </w:r>
          </w:p>
        </w:tc>
      </w:tr>
      <w:tr>
        <w:tc>
          <w:tcPr>
            <w:tcW w:type="dxa" w:w="842"/>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ASM-12</w:t>
            </w:r>
          </w:p>
        </w:tc>
        <w:tc>
          <w:tcPr>
            <w:tcW w:type="dxa" w:w="1030"/>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error</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bindingState is Failed and no open action or change record</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Failure must go somewhere</w:t>
            </w:r>
          </w:p>
        </w:tc>
      </w:tr>
    </w:tbl>
    <w:p>
      <w:pPr>
        <w:spacing w:after="160"/>
      </w:pPr>
    </w:p>
    <w:tbl>
      <w:tblPr>
        <w:tblW w:type="dxa" w:w="9360"/>
        <w:tblBorders>
          <w:top w:val="single" w:color="ECC8AE" w:sz="4"/>
          <w:left w:val="single" w:color="ECC8AE" w:sz="18"/>
          <w:bottom w:val="single" w:color="ECC8AE" w:sz="4"/>
          <w:right w:val="single" w:color="ECC8AE"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60" w:line="276"/>
            </w:pPr>
            <w:r>
              <w:rPr>
                <w:rFonts w:ascii="Calibri" w:cs="Calibri" w:eastAsia="Calibri" w:hAnsi="Calibri"/>
                <w:b/>
                <w:bCs/>
                <w:color w:val="B4530C"/>
                <w:sz w:val="21"/>
                <w:szCs w:val="21"/>
              </w:rPr>
              <w:t xml:space="preserve">ASM-05 is the load-bearing rule</w:t>
            </w:r>
          </w:p>
          <w:p>
            <w:pPr>
              <w:spacing w:after="0" w:line="276"/>
            </w:pPr>
            <w:r>
              <w:rPr>
                <w:rFonts w:ascii="Calibri" w:cs="Calibri" w:eastAsia="Calibri" w:hAnsi="Calibri"/>
                <w:color w:val="1A2333"/>
                <w:sz w:val="20"/>
                <w:szCs w:val="20"/>
              </w:rPr>
              <w:t xml:space="preserve">It replaces the periodic manual sweep, converting detection from a scheduled activity into a continuous one.</w:t>
            </w:r>
          </w:p>
          <w:p>
            <w:pPr>
              <w:spacing w:after="0" w:line="276"/>
            </w:pPr>
            <w:r>
              <w:rPr>
                <w:rFonts w:ascii="Calibri" w:cs="Calibri" w:eastAsia="Calibri" w:hAnsi="Calibri"/>
                <w:color w:val="1A2333"/>
                <w:sz w:val="20"/>
                <w:szCs w:val="20"/>
              </w:rPr>
              <w:t xml:space="preserve"/>
            </w:r>
          </w:p>
          <w:p>
            <w:pPr>
              <w:spacing w:after="0" w:line="276"/>
            </w:pPr>
            <w:r>
              <w:rPr>
                <w:rFonts w:ascii="Calibri" w:cs="Calibri" w:eastAsia="Calibri" w:hAnsi="Calibri"/>
                <w:color w:val="1A2333"/>
                <w:sz w:val="20"/>
                <w:szCs w:val="20"/>
              </w:rPr>
              <w:t xml:space="preserve">This holds only if currentRevision on the stub document elements is actually maintained. That maintenance is the single point of failure in the entire design and should be assigned to a named individual, not to a function.</w:t>
            </w:r>
          </w:p>
        </w:tc>
      </w:tr>
    </w:tbl>
    <w:p>
      <w:pPr>
        <w:pStyle w:val="Heading1"/>
        <w:spacing w:after="160" w:before="360"/>
      </w:pPr>
      <w:r>
        <w:rPr>
          <w:rFonts w:ascii="Cambria" w:cs="Cambria" w:eastAsia="Cambria" w:hAnsi="Cambria"/>
          <w:b/>
          <w:bCs/>
          <w:color w:val="132A4E"/>
          <w:sz w:val="30"/>
          <w:szCs w:val="30"/>
        </w:rPr>
        <w:t xml:space="preserve">7.  Views and artifacts</w:t>
      </w:r>
    </w:p>
    <w:p>
      <w:pPr>
        <w:pStyle w:val="ListParagraph"/>
        <w:numPr>
          <w:ilvl w:val="0"/>
          <w:numId w:val="3"/>
        </w:numPr>
        <w:spacing w:after="80" w:line="276"/>
      </w:pPr>
      <w:r>
        <w:rPr>
          <w:rFonts w:ascii="Calibri" w:cs="Calibri" w:eastAsia="Calibri" w:hAnsi="Calibri"/>
          <w:color w:val="1A2333"/>
          <w:sz w:val="21"/>
          <w:szCs w:val="21"/>
        </w:rPr>
        <w:t xml:space="preserve">Assumption table with columns: Id, Text, tier, bindingState, owner, riskAcceptor, regime coverage, lastConfirmed, disposition.</w:t>
      </w:r>
    </w:p>
    <w:p>
      <w:pPr>
        <w:pStyle w:val="ListParagraph"/>
        <w:numPr>
          <w:ilvl w:val="0"/>
          <w:numId w:val="3"/>
        </w:numPr>
        <w:spacing w:after="80" w:line="276"/>
      </w:pPr>
      <w:r>
        <w:rPr>
          <w:rFonts w:ascii="Calibri" w:cs="Calibri" w:eastAsia="Calibri" w:hAnsi="Calibri"/>
          <w:color w:val="1A2333"/>
          <w:sz w:val="21"/>
          <w:szCs w:val="21"/>
        </w:rPr>
        <w:t xml:space="preserve">Legend coloring by bindingState, so that Unanchored and Failed are visible at a glance on any diagram.</w:t>
      </w:r>
    </w:p>
    <w:p>
      <w:pPr>
        <w:pStyle w:val="ListParagraph"/>
        <w:numPr>
          <w:ilvl w:val="0"/>
          <w:numId w:val="3"/>
        </w:numPr>
        <w:spacing w:after="80" w:line="276"/>
      </w:pPr>
      <w:r>
        <w:rPr>
          <w:rFonts w:ascii="Calibri" w:cs="Calibri" w:eastAsia="Calibri" w:hAnsi="Calibri"/>
          <w:color w:val="1A2333"/>
          <w:sz w:val="21"/>
          <w:szCs w:val="21"/>
        </w:rPr>
        <w:t xml:space="preserve">Relation map rooted on a ControlledDocument, showing every assumption and hazard downstream of it. This is the "what reopens if this moves" view.</w:t>
      </w:r>
    </w:p>
    <w:p>
      <w:pPr>
        <w:pStyle w:val="ListParagraph"/>
        <w:numPr>
          <w:ilvl w:val="0"/>
          <w:numId w:val="3"/>
        </w:numPr>
        <w:spacing w:after="80" w:line="276"/>
      </w:pPr>
      <w:r>
        <w:rPr>
          <w:rFonts w:ascii="Calibri" w:cs="Calibri" w:eastAsia="Calibri" w:hAnsi="Calibri"/>
          <w:color w:val="1A2333"/>
          <w:sz w:val="21"/>
          <w:szCs w:val="21"/>
        </w:rPr>
        <w:t xml:space="preserve">Relation map rooted on a hazard, showing every assumption its closure depends on. This is the view safety review actually needs.</w:t>
      </w:r>
    </w:p>
    <w:p>
      <w:pPr>
        <w:pStyle w:val="ListParagraph"/>
        <w:numPr>
          <w:ilvl w:val="0"/>
          <w:numId w:val="3"/>
        </w:numPr>
        <w:spacing w:after="80" w:line="276"/>
      </w:pPr>
      <w:r>
        <w:rPr>
          <w:rFonts w:ascii="Calibri" w:cs="Calibri" w:eastAsia="Calibri" w:hAnsi="Calibri"/>
          <w:color w:val="1A2333"/>
          <w:sz w:val="21"/>
          <w:szCs w:val="21"/>
        </w:rPr>
        <w:t xml:space="preserve">Smart package collecting all Tier 1 assumptions with bindingState Unanchored, for the design review metric.</w:t>
      </w:r>
    </w:p>
    <w:p>
      <w:pPr>
        <w:pStyle w:val="ListParagraph"/>
        <w:numPr>
          <w:ilvl w:val="0"/>
          <w:numId w:val="3"/>
        </w:numPr>
        <w:spacing w:after="80" w:line="276"/>
      </w:pPr>
      <w:r>
        <w:rPr>
          <w:rFonts w:ascii="Calibri" w:cs="Calibri" w:eastAsia="Calibri" w:hAnsi="Calibri"/>
          <w:color w:val="1A2333"/>
          <w:sz w:val="21"/>
          <w:szCs w:val="21"/>
        </w:rPr>
        <w:t xml:space="preserve">Report template producing the assumption register as a standalone document, for programs and suppliers not working in the model.</w:t>
      </w:r>
    </w:p>
    <w:p>
      <w:pPr>
        <w:pStyle w:val="ListParagraph"/>
        <w:numPr>
          <w:ilvl w:val="0"/>
          <w:numId w:val="3"/>
        </w:numPr>
        <w:spacing w:after="80" w:line="276"/>
      </w:pPr>
      <w:r>
        <w:rPr>
          <w:rFonts w:ascii="Calibri" w:cs="Calibri" w:eastAsia="Calibri" w:hAnsi="Calibri"/>
          <w:color w:val="1A2333"/>
          <w:sz w:val="21"/>
          <w:szCs w:val="21"/>
        </w:rPr>
        <w:t xml:space="preserve">Export filter excluding Assumption from supplier and customer requirement exports unless deliberately included. Set this before the first export, not after.</w:t>
      </w:r>
    </w:p>
    <w:p>
      <w:pPr>
        <w:pStyle w:val="Heading1"/>
        <w:spacing w:after="160" w:before="360"/>
      </w:pPr>
      <w:r>
        <w:rPr>
          <w:rFonts w:ascii="Cambria" w:cs="Cambria" w:eastAsia="Cambria" w:hAnsi="Cambria"/>
          <w:b/>
          <w:bCs/>
          <w:color w:val="132A4E"/>
          <w:sz w:val="30"/>
          <w:szCs w:val="30"/>
        </w:rPr>
        <w:t xml:space="preserve">8.  Workflow</w:t>
      </w:r>
    </w:p>
    <w:p>
      <w:pPr>
        <w:pStyle w:val="ListParagraph"/>
        <w:numPr>
          <w:ilvl w:val="0"/>
          <w:numId w:val="2"/>
        </w:numPr>
        <w:spacing w:after="80" w:line="276"/>
      </w:pPr>
      <w:r>
        <w:rPr>
          <w:rFonts w:ascii="Calibri" w:cs="Calibri" w:eastAsia="Calibri" w:hAnsi="Calibri"/>
          <w:color w:val="1A2333"/>
          <w:sz w:val="21"/>
          <w:szCs w:val="21"/>
        </w:rPr>
        <w:t xml:space="preserve">Create at proposal. Id, Text, rationale, owner. Conditions written as separate elements. bindingState is Unanchored. Tier left unset.</w:t>
      </w:r>
    </w:p>
    <w:p>
      <w:pPr>
        <w:pStyle w:val="ListParagraph"/>
        <w:numPr>
          <w:ilvl w:val="0"/>
          <w:numId w:val="2"/>
        </w:numPr>
        <w:spacing w:after="80" w:line="276"/>
      </w:pPr>
      <w:r>
        <w:rPr>
          <w:rFonts w:ascii="Calibri" w:cs="Calibri" w:eastAsia="Calibri" w:hAnsi="Calibri"/>
          <w:color w:val="1A2333"/>
          <w:sz w:val="21"/>
          <w:szCs w:val="21"/>
        </w:rPr>
        <w:t xml:space="preserve">Tier at first hazard analysis. Safety risk management sets tier on the test of whether a hazard reopens. Tier 1 items receive a riskAcceptor.</w:t>
      </w:r>
    </w:p>
    <w:p>
      <w:pPr>
        <w:pStyle w:val="ListParagraph"/>
        <w:numPr>
          <w:ilvl w:val="0"/>
          <w:numId w:val="2"/>
        </w:numPr>
        <w:spacing w:after="80" w:line="276"/>
      </w:pPr>
      <w:r>
        <w:rPr>
          <w:rFonts w:ascii="Calibri" w:cs="Calibri" w:eastAsia="Calibri" w:hAnsi="Calibri"/>
          <w:color w:val="1A2333"/>
          <w:sz w:val="21"/>
          <w:szCs w:val="21"/>
        </w:rPr>
        <w:t xml:space="preserve">Anchor as baselines and external documents become available. anchoredTo created with citedRevision. bindingState moves to Anchored.</w:t>
      </w:r>
    </w:p>
    <w:p>
      <w:pPr>
        <w:pStyle w:val="ListParagraph"/>
        <w:numPr>
          <w:ilvl w:val="0"/>
          <w:numId w:val="2"/>
        </w:numPr>
        <w:spacing w:after="80" w:line="276"/>
      </w:pPr>
      <w:r>
        <w:rPr>
          <w:rFonts w:ascii="Calibri" w:cs="Calibri" w:eastAsia="Calibri" w:hAnsi="Calibri"/>
          <w:color w:val="1A2333"/>
          <w:sz w:val="21"/>
          <w:szCs w:val="21"/>
        </w:rPr>
        <w:t xml:space="preserve">Dispose wherever possible. Convert conditions to derived requirements and levy them on the responsible party. This is the step that keeps the population affordable.</w:t>
      </w:r>
    </w:p>
    <w:p>
      <w:pPr>
        <w:pStyle w:val="ListParagraph"/>
        <w:numPr>
          <w:ilvl w:val="0"/>
          <w:numId w:val="2"/>
        </w:numPr>
        <w:spacing w:after="80" w:line="276"/>
      </w:pPr>
      <w:r>
        <w:rPr>
          <w:rFonts w:ascii="Calibri" w:cs="Calibri" w:eastAsia="Calibri" w:hAnsi="Calibri"/>
          <w:color w:val="1A2333"/>
          <w:sz w:val="21"/>
          <w:szCs w:val="21"/>
        </w:rPr>
        <w:t xml:space="preserve">Confirm or monitor. Verified for test, analysis, inspection and demonstration. Monitored, with an AssumptionMonitor, for everything else.</w:t>
      </w:r>
    </w:p>
    <w:p>
      <w:pPr>
        <w:pStyle w:val="ListParagraph"/>
        <w:numPr>
          <w:ilvl w:val="0"/>
          <w:numId w:val="2"/>
        </w:numPr>
        <w:spacing w:after="80" w:line="276"/>
      </w:pPr>
      <w:r>
        <w:rPr>
          <w:rFonts w:ascii="Calibri" w:cs="Calibri" w:eastAsia="Calibri" w:hAnsi="Calibri"/>
          <w:color w:val="1A2333"/>
          <w:sz w:val="21"/>
          <w:szCs w:val="21"/>
        </w:rPr>
        <w:t xml:space="preserve">Detect continuously through ASM-05, with a full validation run before every design review.</w:t>
      </w:r>
    </w:p>
    <w:p>
      <w:pPr>
        <w:pStyle w:val="ListParagraph"/>
        <w:numPr>
          <w:ilvl w:val="0"/>
          <w:numId w:val="2"/>
        </w:numPr>
        <w:spacing w:after="80" w:line="276"/>
      </w:pPr>
      <w:r>
        <w:rPr>
          <w:rFonts w:ascii="Calibri" w:cs="Calibri" w:eastAsia="Calibri" w:hAnsi="Calibri"/>
          <w:color w:val="1A2333"/>
          <w:sz w:val="21"/>
          <w:szCs w:val="21"/>
        </w:rPr>
        <w:t xml:space="preserve">Export with conditions, anchors and evidence attached, or not at all.</w:t>
      </w:r>
    </w:p>
    <w:p>
      <w:r>
        <w:br w:type="page"/>
      </w:r>
    </w:p>
    <w:p>
      <w:pPr>
        <w:pStyle w:val="Heading1"/>
        <w:spacing w:after="160" w:before="360"/>
      </w:pPr>
      <w:r>
        <w:rPr>
          <w:rFonts w:ascii="Cambria" w:cs="Cambria" w:eastAsia="Cambria" w:hAnsi="Cambria"/>
          <w:b/>
          <w:bCs/>
          <w:color w:val="132A4E"/>
          <w:sz w:val="30"/>
          <w:szCs w:val="30"/>
        </w:rPr>
        <w:t xml:space="preserve">9.  Open questions for the MBSE lead</w:t>
      </w:r>
    </w:p>
    <w:tbl>
      <w:tblPr>
        <w:tblW w:type="dxa" w:w="9360"/>
        <w:tblBorders>
          <w:top w:val="single" w:color="D3DEEF" w:sz="2"/>
          <w:left w:val="single" w:color="D3DEEF" w:sz="2"/>
          <w:bottom w:val="single" w:color="D3DEEF" w:sz="2"/>
          <w:right w:val="single" w:color="D3DEEF" w:sz="2"/>
          <w:insideH w:val="single" w:color="D3DEEF" w:sz="2"/>
          <w:insideV w:val="single" w:color="D3DEEF" w:sz="2"/>
        </w:tblBorders>
      </w:tblPr>
      <w:tblGrid>
        <w:gridCol w:w="468"/>
        <w:gridCol w:w="3744"/>
        <w:gridCol w:w="5148"/>
      </w:tblGrid>
      <w:tr>
        <w:trPr>
          <w:tblHeader/>
        </w:trPr>
        <w:tc>
          <w:tcPr>
            <w:tcW w:type="dxa" w:w="468"/>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w:t>
            </w:r>
          </w:p>
        </w:tc>
        <w:tc>
          <w:tcPr>
            <w:tcW w:type="dxa" w:w="3744"/>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Question</w:t>
            </w:r>
          </w:p>
        </w:tc>
        <w:tc>
          <w:tcPr>
            <w:tcW w:type="dxa" w:w="5148"/>
            <w:shd w:fill="132A4E" w:color="auto" w:val="clear"/>
            <w:tcMar>
              <w:top w:type="dxa" w:w="80"/>
              <w:left w:type="dxa" w:w="120"/>
              <w:bottom w:type="dxa" w:w="80"/>
              <w:right w:type="dxa" w:w="120"/>
            </w:tcMar>
          </w:tcPr>
          <w:p>
            <w:pPr>
              <w:spacing w:after="0" w:line="250"/>
            </w:pPr>
            <w:r>
              <w:rPr>
                <w:rFonts w:ascii="Calibri" w:cs="Calibri" w:eastAsia="Calibri" w:hAnsi="Calibri"/>
                <w:b/>
                <w:bCs/>
                <w:color w:val="FFFFFF"/>
                <w:sz w:val="19"/>
                <w:szCs w:val="19"/>
              </w:rPr>
              <w:t xml:space="preserve">Why it matters</w:t>
            </w:r>
          </w:p>
        </w:tc>
      </w:tr>
      <w:tr>
        <w:tc>
          <w:tcPr>
            <w:tcW w:type="dxa" w:w="46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1</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What is the SysML v2 roadmap for this toolchain?</w:t>
            </w:r>
          </w:p>
        </w:tc>
        <w:tc>
          <w:tcPr>
            <w:tcW w:type="dxa" w:w="514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The extension mechanism changes from profiles and stereotypes to metadata definitions. If migration falls inside the useful life of this profile, it should be built thinner.</w:t>
            </w:r>
          </w:p>
        </w:tc>
      </w:tr>
      <w:tr>
        <w:tc>
          <w:tcPr>
            <w:tcW w:type="dxa" w:w="46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2</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Do suspect links and validation warnings actually get worked on these programs, or mass-cleared?</w:t>
            </w:r>
          </w:p>
        </w:tc>
        <w:tc>
          <w:tcPr>
            <w:tcW w:type="dxa" w:w="514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If existing warnings are already ignored, ASM-05 inherits a dead control and produces false assurance, which is worse than an honest manual sweep.</w:t>
            </w:r>
          </w:p>
        </w:tc>
      </w:tr>
      <w:tr>
        <w:tc>
          <w:tcPr>
            <w:tcW w:type="dxa" w:w="46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3</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Does the model contain the operator, the maintenance organization and the training organization as actors?</w:t>
            </w:r>
          </w:p>
        </w:tc>
        <w:tc>
          <w:tcPr>
            <w:tcW w:type="dxa" w:w="514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If not, assumptions about people have nothing to anchor to inside the model, and a context or domain model becomes a prerequisite rather than a nicety.</w:t>
            </w:r>
          </w:p>
        </w:tc>
      </w:tr>
      <w:tr>
        <w:tc>
          <w:tcPr>
            <w:tcW w:type="dxa" w:w="46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4</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Who maintains currentRevision on the stub documents?</w:t>
            </w:r>
          </w:p>
        </w:tc>
        <w:tc>
          <w:tcPr>
            <w:tcW w:type="dxa" w:w="514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 named role, not a function. Everything in section 6 depends on it.</w:t>
            </w:r>
          </w:p>
        </w:tc>
      </w:tr>
      <w:tr>
        <w:tc>
          <w:tcPr>
            <w:tcW w:type="dxa" w:w="46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5</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Site profile, program profile, or project-local?</w:t>
            </w:r>
          </w:p>
        </w:tc>
        <w:tc>
          <w:tcPr>
            <w:tcW w:type="dxa" w:w="514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Determines whether this can be changed later without a change board.</w:t>
            </w:r>
          </w:p>
        </w:tc>
      </w:tr>
      <w:tr>
        <w:tc>
          <w:tcPr>
            <w:tcW w:type="dxa" w:w="46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6</w:t>
            </w:r>
          </w:p>
        </w:tc>
        <w:tc>
          <w:tcPr>
            <w:tcW w:type="dxa" w:w="3744"/>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Are requirements mastered outside Cameo and synchronized in?</w:t>
            </w:r>
          </w:p>
        </w:tc>
        <w:tc>
          <w:tcPr>
            <w:tcW w:type="dxa" w:w="5148"/>
            <w:shd w:fill="FFFFFF"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Affects whether Assumption elements survive round-trip synchronization intact.</w:t>
            </w:r>
          </w:p>
        </w:tc>
      </w:tr>
      <w:tr>
        <w:tc>
          <w:tcPr>
            <w:tcW w:type="dxa" w:w="46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7</w:t>
            </w:r>
          </w:p>
        </w:tc>
        <w:tc>
          <w:tcPr>
            <w:tcW w:type="dxa" w:w="3744"/>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Does assumption confirmation evidence enter the certification evidence set?</w:t>
            </w:r>
          </w:p>
        </w:tc>
        <w:tc>
          <w:tcPr>
            <w:tcW w:type="dxa" w:w="5148"/>
            <w:shd w:fill="EDF1F8" w:color="auto" w:val="clear"/>
            <w:tcMar>
              <w:top w:type="dxa" w:w="80"/>
              <w:left w:type="dxa" w:w="120"/>
              <w:bottom w:type="dxa" w:w="80"/>
              <w:right w:type="dxa" w:w="120"/>
            </w:tcMar>
          </w:tcPr>
          <w:p>
            <w:pPr>
              <w:spacing w:after="0" w:line="250"/>
            </w:pPr>
            <w:r>
              <w:rPr>
                <w:rFonts w:ascii="Calibri" w:cs="Calibri" w:eastAsia="Calibri" w:hAnsi="Calibri"/>
                <w:b w:val="false"/>
                <w:bCs w:val="false"/>
                <w:color w:val="1A2333"/>
                <w:sz w:val="18"/>
                <w:szCs w:val="18"/>
              </w:rPr>
              <w:t xml:space="preserve">Using the word verify invites the question, and the cost difference is large. Decide deliberately rather than by drift.</w:t>
            </w:r>
          </w:p>
        </w:tc>
      </w:tr>
    </w:tbl>
    <w:p>
      <w:pPr>
        <w:pStyle w:val="Heading1"/>
        <w:spacing w:after="160" w:before="360"/>
      </w:pPr>
      <w:r>
        <w:rPr>
          <w:rFonts w:ascii="Cambria" w:cs="Cambria" w:eastAsia="Cambria" w:hAnsi="Cambria"/>
          <w:b/>
          <w:bCs/>
          <w:color w:val="132A4E"/>
          <w:sz w:val="30"/>
          <w:szCs w:val="30"/>
        </w:rPr>
        <w:t xml:space="preserve">10.  What this does not solve</w:t>
      </w:r>
    </w:p>
    <w:p>
      <w:pPr>
        <w:pStyle w:val="ListParagraph"/>
        <w:numPr>
          <w:ilvl w:val="0"/>
          <w:numId w:val="3"/>
        </w:numPr>
        <w:spacing w:after="80" w:line="276"/>
      </w:pPr>
      <w:r>
        <w:rPr>
          <w:rFonts w:ascii="Calibri" w:cs="Calibri" w:eastAsia="Calibri" w:hAnsi="Calibri"/>
          <w:color w:val="1A2333"/>
          <w:sz w:val="21"/>
          <w:szCs w:val="21"/>
        </w:rPr>
        <w:t xml:space="preserve">Programs with no model, and all programs at proposal stage before a model exists. The spreadsheet form of the same schema is the fallback, and it covers the state where assumption capture matters most.</w:t>
      </w:r>
    </w:p>
    <w:p>
      <w:pPr>
        <w:pStyle w:val="ListParagraph"/>
        <w:numPr>
          <w:ilvl w:val="0"/>
          <w:numId w:val="3"/>
        </w:numPr>
        <w:spacing w:after="80" w:line="276"/>
      </w:pPr>
      <w:r>
        <w:rPr>
          <w:rFonts w:ascii="Calibri" w:cs="Calibri" w:eastAsia="Calibri" w:hAnsi="Calibri"/>
          <w:color w:val="1A2333"/>
          <w:sz w:val="21"/>
          <w:szCs w:val="21"/>
        </w:rPr>
        <w:t xml:space="preserve">Assumptions held by suppliers and never visible to the integrator. The profile can record that an interface assumption exists and who owns it. It cannot see inside another organization’s analysis.</w:t>
      </w:r>
    </w:p>
    <w:p>
      <w:pPr>
        <w:pStyle w:val="ListParagraph"/>
        <w:numPr>
          <w:ilvl w:val="0"/>
          <w:numId w:val="3"/>
        </w:numPr>
        <w:spacing w:after="80" w:line="276"/>
      </w:pPr>
      <w:r>
        <w:rPr>
          <w:rFonts w:ascii="Calibri" w:cs="Calibri" w:eastAsia="Calibri" w:hAnsi="Calibri"/>
          <w:color w:val="1A2333"/>
          <w:sz w:val="21"/>
          <w:szCs w:val="21"/>
        </w:rPr>
        <w:t xml:space="preserve">The incentive problem. None of this changes the fact that the cost of doing the work lands on the bid while the benefit lands on execution. That needs a governance answer, not a tooling one.</w:t>
      </w:r>
    </w:p>
    <w:p>
      <w:pPr>
        <w:spacing w:after="240"/>
      </w:pPr>
    </w:p>
    <w:tbl>
      <w:tblPr>
        <w:tblW w:type="dxa" w:w="9360"/>
        <w:tblBorders>
          <w:top w:val="single" w:color="D3DEEF" w:sz="4"/>
          <w:left w:val="single" w:color="D3DEEF" w:sz="18"/>
          <w:bottom w:val="single" w:color="D3DEEF" w:sz="4"/>
          <w:right w:val="single" w:color="D3DEEF" w:sz="4"/>
          <w:insideH w:val="none"/>
          <w:insideV w:val="none"/>
        </w:tblBorders>
      </w:tblPr>
      <w:tblGrid>
        <w:gridCol w:w="9360"/>
      </w:tblGrid>
      <w:tr>
        <w:tc>
          <w:tcPr>
            <w:tcW w:type="dxa" w:w="9360"/>
            <w:shd w:fill="EDF1F8" w:color="auto" w:val="clear"/>
            <w:tcMar>
              <w:top w:type="dxa" w:w="140"/>
              <w:left w:type="dxa" w:w="200"/>
              <w:bottom w:type="dxa" w:w="140"/>
              <w:right w:type="dxa" w:w="200"/>
            </w:tcMar>
          </w:tcPr>
          <w:p>
            <w:pPr>
              <w:spacing w:after="0" w:line="276"/>
            </w:pPr>
            <w:r>
              <w:rPr>
                <w:rFonts w:ascii="Calibri" w:cs="Calibri" w:eastAsia="Calibri" w:hAnsi="Calibri"/>
                <w:color w:val="1A2333"/>
                <w:sz w:val="20"/>
                <w:szCs w:val="20"/>
              </w:rPr>
              <w:t xml:space="preserve">Prepared as a discussion draft. Cameo and SysML capabilities cited here should be confirmed against the installed version and the site profile before any build work is scoped.</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5568"/>
        <w:sz w:val="16"/>
        <w:szCs w:val="16"/>
      </w:rPr>
      <w:t xml:space="preserve">Page </w:t>
    </w:r>
    <w:r>
      <w:rPr>
        <w:rFonts w:ascii="Calibri" w:cs="Calibri" w:eastAsia="Calibri" w:hAnsi="Calibri"/>
        <w:color w:val="4A5568"/>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EEF" w:sz="4" w:space="6"/>
      </w:pBdr>
      <w:spacing w:after="200"/>
    </w:pPr>
    <w:r>
      <w:rPr>
        <w:rFonts w:ascii="Calibri" w:cs="Calibri" w:eastAsia="Calibri" w:hAnsi="Calibri"/>
        <w:color w:val="4A5568"/>
        <w:sz w:val="16"/>
        <w:szCs w:val="16"/>
      </w:rPr>
      <w:t xml:space="preserve">Assumption Control Profile for Cameo / MSOSA    ·    Discussion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Assumption Control Profile for Cameo / MSOSA</dc:title>
  <dc:creator>Draft for technical review</dc:creator>
  <cp:lastModifiedBy>Un-named</cp:lastModifiedBy>
  <cp:revision>1</cp:revision>
  <dcterms:created xsi:type="dcterms:W3CDTF">2026-08-05T21:58:05.835Z</dcterms:created>
  <dcterms:modified xsi:type="dcterms:W3CDTF">2026-08-05T21:58:05.836Z</dcterms:modified>
</cp:coreProperties>
</file>

<file path=docProps/custom.xml><?xml version="1.0" encoding="utf-8"?>
<Properties xmlns="http://schemas.openxmlformats.org/officeDocument/2006/custom-properties" xmlns:vt="http://schemas.openxmlformats.org/officeDocument/2006/docPropsVTypes"/>
</file>