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MEMORANDUM</w:t>
      </w:r>
    </w:p>
    <w:p>
      <w:pPr>
        <w:tabs>
          <w:tab w:val="left" w:pos="1440"/>
        </w:tabs>
        <w:spacing w:after="80"/>
      </w:pPr>
      <w:r>
        <w:rPr>
          <w:b/>
          <w:bCs/>
        </w:rPr>
        <w:t xml:space="preserve">TO:</w:t>
      </w:r>
      <w:r>
        <w:t xml:space="preserve">	XXXXX</w:t>
      </w:r>
    </w:p>
    <w:p>
      <w:pPr>
        <w:tabs>
          <w:tab w:val="left" w:pos="1440"/>
        </w:tabs>
        <w:spacing w:after="80"/>
      </w:pPr>
      <w:r>
        <w:rPr>
          <w:b/>
          <w:bCs/>
        </w:rPr>
        <w:t xml:space="preserve">FROM:</w:t>
      </w:r>
      <w:r>
        <w:t xml:space="preserve">	XXXXX</w:t>
      </w:r>
    </w:p>
    <w:p>
      <w:pPr>
        <w:tabs>
          <w:tab w:val="left" w:pos="1440"/>
        </w:tabs>
        <w:spacing w:after="80"/>
      </w:pPr>
      <w:r>
        <w:rPr>
          <w:b/>
          <w:bCs/>
        </w:rPr>
        <w:t xml:space="preserve">DATE:</w:t>
      </w:r>
      <w:r>
        <w:t xml:space="preserve">	XXXXX</w:t>
      </w:r>
    </w:p>
    <w:p>
      <w:pPr>
        <w:pBdr>
          <w:bottom w:val="single" w:color="404040" w:sz="8" w:space="8"/>
        </w:pBdr>
        <w:tabs>
          <w:tab w:val="left" w:pos="1440"/>
        </w:tabs>
        <w:spacing w:after="240"/>
        <w:ind w:left="1440" w:hanging="1440"/>
      </w:pPr>
      <w:r>
        <w:rPr>
          <w:b/>
          <w:bCs/>
        </w:rPr>
        <w:t xml:space="preserve">SUBJECT:</w:t>
      </w:r>
      <w:r>
        <w:t xml:space="preserve">	Minimum Configuration Status Accounting Dataset, Dashboard Requirements, and Reporting Frequency</w:t>
      </w:r>
    </w:p>
    <w:p>
      <w:pPr>
        <w:pStyle w:val="Heading1"/>
      </w:pPr>
      <w:r>
        <w:t xml:space="preserve">Summary</w:t>
      </w:r>
    </w:p>
    <w:p>
      <w:pPr>
        <w:keepNext w:val="false"/>
        <w:spacing w:after="160"/>
      </w:pPr>
      <w:r>
        <w:t xml:space="preserve">A part fails on tail number 42. Engineering asks three questions. What design revision is installed on tail 42? Which other units carry the same part? Which approved changes has tail 42 not yet received? CSA answers all three in minutes, or the program spends weeks on teardown and records searches.</w:t>
      </w:r>
    </w:p>
    <w:p>
      <w:pPr>
        <w:keepNext w:val="false"/>
        <w:spacing w:after="160"/>
      </w:pPr>
      <w:r>
        <w:t xml:space="preserve">This memo sets the floor for Configuration Status Accounting (CSA) across the enterprise. It covers three things.</w:t>
      </w:r>
    </w:p>
    <w:p>
      <w:pPr>
        <w:pStyle w:val="ListParagraph"/>
        <w:numPr>
          <w:ilvl w:val="0"/>
          <w:numId w:val="2"/>
        </w:numPr>
        <w:spacing w:after="80"/>
      </w:pPr>
      <w:r>
        <w:rPr>
          <w:b/>
          <w:bCs/>
        </w:rPr>
        <w:t xml:space="preserve">The minimum CSA dataset.</w:t>
      </w:r>
      <w:r>
        <w:t xml:space="preserve"> Six record types every program captures. Each traces to EIA-649-1A and, where one exists, to a CM floor ID.</w:t>
      </w:r>
    </w:p>
    <w:p>
      <w:pPr>
        <w:pStyle w:val="ListParagraph"/>
        <w:numPr>
          <w:ilvl w:val="0"/>
          <w:numId w:val="2"/>
        </w:numPr>
        <w:spacing w:after="80"/>
      </w:pPr>
      <w:r>
        <w:rPr>
          <w:b/>
          <w:bCs/>
        </w:rPr>
        <w:t xml:space="preserve">Dashboard requirements.</w:t>
      </w:r>
      <w:r>
        <w:t xml:space="preserve"> Six panels and eight functional requirements. The dashboard reads from the CSA system of record.</w:t>
      </w:r>
    </w:p>
    <w:p>
      <w:pPr>
        <w:pStyle w:val="ListParagraph"/>
        <w:numPr>
          <w:ilvl w:val="0"/>
          <w:numId w:val="2"/>
        </w:numPr>
        <w:spacing w:after="80"/>
      </w:pPr>
      <w:r>
        <w:rPr>
          <w:b/>
          <w:bCs/>
        </w:rPr>
        <w:t xml:space="preserve">Reporting frequency.</w:t>
      </w:r>
      <w:r>
        <w:t xml:space="preserve"> Neither EIA-649-1A nor GEIA-HB-649A sets a calendar. Both require timely capture. GEIA-HB-649A checks that the CM Plan states the frequency. This memo recommends one.</w:t>
      </w:r>
    </w:p>
    <w:p>
      <w:pPr>
        <w:keepNext w:val="false"/>
        <w:spacing w:after="160"/>
      </w:pPr>
      <w:r>
        <w:t xml:space="preserve">This memo recommends that each program adopt the dataset and dashboard as written and state its reporting cadence in its CM Plan.</w:t>
      </w:r>
    </w:p>
    <w:p>
      <w:pPr>
        <w:pStyle w:val="Heading1"/>
      </w:pPr>
      <w:r>
        <w:t xml:space="preserve">Definitions</w:t>
      </w:r>
    </w:p>
    <w:p>
      <w:pPr>
        <w:keepNext w:val="false"/>
        <w:spacing w:after="160"/>
      </w:pPr>
      <w:r>
        <w:t xml:space="preserve">Each term keeps one meaning throughout this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9"/>
        <w:gridCol w:w="4546"/>
        <w:gridCol w:w="1805"/>
      </w:tblGrid>
      <w:tr>
        <w:trPr>
          <w:cantSplit/>
          <w:tblHeader/>
        </w:trPr>
        <w:tc>
          <w:tcPr>
            <w:tcW w:type="dxa" w:w="3009"/>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Term</w:t>
            </w:r>
          </w:p>
        </w:tc>
        <w:tc>
          <w:tcPr>
            <w:tcW w:type="dxa" w:w="4546"/>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Definition</w:t>
            </w:r>
          </w:p>
        </w:tc>
        <w:tc>
          <w:tcPr>
            <w:tcW w:type="dxa" w:w="1805"/>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Source</w:t>
            </w:r>
          </w:p>
        </w:tc>
      </w:tr>
      <w:tr>
        <w:trPr>
          <w:cantSplit/>
          <w:tblHeader w:val="false"/>
        </w:trPr>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Configuration Status Accounting (CSA)</w:t>
            </w:r>
          </w:p>
        </w:tc>
        <w:tc>
          <w:tcPr>
            <w:tcW w:type="dxa" w:w="45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CM function that formalizes the recording and reporting of established product configuration information, including historical information; the status of proposed changes; and the implementation of approved changes and of changes to product units from operation and maintenance. CSA includes assurance that the information is current, accurate, and retrievable.</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r>
        <w:trPr>
          <w:cantSplit/>
          <w:tblHeader w:val="false"/>
        </w:trPr>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CSA system of record</w:t>
            </w:r>
          </w:p>
        </w:tc>
        <w:tc>
          <w:tcPr>
            <w:tcW w:type="dxa" w:w="45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single information system, or set of integrated systems, that holds the authoritative CSA data. It is closely linked to the repository that stores product configuration information.</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3.4.1(1)</w:t>
            </w:r>
          </w:p>
        </w:tc>
      </w:tr>
      <w:tr>
        <w:trPr>
          <w:cantSplit/>
          <w:tblHeader w:val="false"/>
        </w:trPr>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Effectivity</w:t>
            </w:r>
          </w:p>
        </w:tc>
        <w:tc>
          <w:tcPr>
            <w:tcW w:type="dxa" w:w="45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 designation of the product range (for example serial, block, batch, or lot numbers, model, date, or event) at which a product configuration applies, a change is or was made, or a variance applies.</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r>
        <w:trPr>
          <w:cantSplit/>
          <w:tblHeader w:val="false"/>
        </w:trPr>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Variance</w:t>
            </w:r>
          </w:p>
        </w:tc>
        <w:tc>
          <w:tcPr>
            <w:tcW w:type="dxa" w:w="45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 authorized temporary departure from approved configuration documentation for a specific number of units, that does not revise the approved documentation. A variance granted before manufacture is a deviation. A variance granted after manufacture is a waiver.</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r>
      <w:tr>
        <w:trPr>
          <w:cantSplit/>
          <w:tblHeader w:val="false"/>
        </w:trPr>
        <w:tc>
          <w:tcPr>
            <w:tcW w:type="dxa" w:w="30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Minimum dataset</w:t>
            </w:r>
          </w:p>
        </w:tc>
        <w:tc>
          <w:tcPr>
            <w:tcW w:type="dxa" w:w="45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data elements every program captures, whatever its size or contract. A program may add elements. A program may not remove them without a documented equivalent control.</w:t>
            </w:r>
          </w:p>
        </w:tc>
        <w:tc>
          <w:tcPr>
            <w:tcW w:type="dxa" w:w="180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This memo</w:t>
            </w:r>
          </w:p>
        </w:tc>
      </w:tr>
    </w:tbl>
    <w:p>
      <w:pPr>
        <w:spacing w:after="120"/>
      </w:pPr>
    </w:p>
    <w:p>
      <w:pPr>
        <w:spacing w:after="200"/>
      </w:pPr>
      <w:r>
        <w:rPr>
          <w:i/>
          <w:iCs/>
          <w:color w:val="595959"/>
        </w:rPr>
        <w:t xml:space="preserve">Editor's note: SAE restricts reproduction of these standards. The EIA-649-1A definitions above are close paraphrases. Insert the verbatim text from the licensed copy before release.</w:t>
      </w:r>
    </w:p>
    <w:p>
      <w:pPr>
        <w:pStyle w:val="Heading1"/>
      </w:pPr>
      <w:r>
        <w:t xml:space="preserve">Minimum CSA Dataset</w:t>
      </w:r>
    </w:p>
    <w:p>
      <w:pPr>
        <w:keepNext w:val="false"/>
        <w:spacing w:after="160"/>
      </w:pPr>
      <w:r>
        <w:t xml:space="preserve">Every program captures six record types. The tables below list the minimum elements of each. A dash in the floor column means the element supports the floor but has no floor ID of its own.</w:t>
      </w:r>
    </w:p>
    <w:p>
      <w:pPr>
        <w:keepNext w:val="false"/>
        <w:spacing w:after="160"/>
      </w:pPr>
      <w:r>
        <w:rPr>
          <w:b/>
          <w:bCs/>
        </w:rPr>
        <w:t xml:space="preserve">Every record also carries three fields.</w:t>
      </w:r>
      <w:r>
        <w:t xml:space="preserve"> Who entered it. When. The source document that authorizes it. These fields keep the data legitimate (EIA-649-1A 3.4(1), floor F24) and expose unauthorized change (GEIA-HB-649A 9.2.8).</w:t>
      </w:r>
    </w:p>
    <w:p>
      <w:pPr>
        <w:pStyle w:val="Heading2"/>
      </w:pPr>
      <w:r>
        <w:t xml:space="preserve">A. Configuration Item and baseline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15"/>
        <w:gridCol w:w="3536"/>
        <w:gridCol w:w="1109"/>
      </w:tblGrid>
      <w:tr>
        <w:trPr>
          <w:cantSplit/>
          <w:tblHeader/>
        </w:trPr>
        <w:tc>
          <w:tcPr>
            <w:tcW w:type="dxa" w:w="4715"/>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Data element</w:t>
            </w:r>
          </w:p>
        </w:tc>
        <w:tc>
          <w:tcPr>
            <w:tcW w:type="dxa" w:w="3536"/>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c>
          <w:tcPr>
            <w:tcW w:type="dxa" w:w="1109"/>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Floor ID</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 identifier and nomenclature</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3.4.1(3)(a)</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F26</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Current approved configuration documentation for each CI: document number, revision, release date</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3.4.1(3)(a)</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F26</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Functional, allocated, and product baselines, with the date each was established</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3.4.1(3)(b); GEIA-HB-649A 9.2(d)</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F32</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Historical configuration, traceable from contract award to the present</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3.4.1(3)(b)</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F32</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Dependencies among CIs, including next higher assembly</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3.4.1(3)(d)</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bl>
    <w:p>
      <w:pPr>
        <w:spacing w:after="120"/>
      </w:pPr>
    </w:p>
    <w:p>
      <w:pPr>
        <w:pStyle w:val="Heading2"/>
      </w:pPr>
      <w:r>
        <w:t xml:space="preserve">B. Change and variance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6"/>
        <w:gridCol w:w="3621"/>
        <w:gridCol w:w="1093"/>
      </w:tblGrid>
      <w:tr>
        <w:trPr>
          <w:cantSplit/>
          <w:tblHeader/>
        </w:trPr>
        <w:tc>
          <w:tcPr>
            <w:tcW w:type="dxa" w:w="4646"/>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Data element</w:t>
            </w:r>
          </w:p>
        </w:tc>
        <w:tc>
          <w:tcPr>
            <w:tcW w:type="dxa" w:w="3621"/>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c>
          <w:tcPr>
            <w:tcW w:type="dxa" w:w="1093"/>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Floor ID</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Change identifier, title, and originator's enterprise identifier</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9.2.11</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F07, F14</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Classification: Major (Class I) or Minor (Class II)</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3.3.1.2(1)</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F02</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Status: proposed, in process, approved, or disapproved, with CCB dates and disposition</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3.4.1(3)(e); GEIA-HB-649A Table 39</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F07, F14</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Effectivity</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2.3</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Affected documents and the NOR for each</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3.3.4(1)</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F21</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Incorporation status and engineering release of the revised documentation</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3.4.1(3)(f)</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F08, F12</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Verification date and type of verification</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3.3(2)(f); GEIA-HB-649A Table 39</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F09, F15</w:t>
            </w:r>
          </w:p>
        </w:tc>
      </w:tr>
      <w:tr>
        <w:trPr>
          <w:cantSplit/>
          <w:tblHeader w:val="false"/>
        </w:trPr>
        <w:tc>
          <w:tcPr>
            <w:tcW w:type="dxa" w:w="464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Variance identifier, units affected, and corrective action (repair or use as is)</w:t>
            </w:r>
          </w:p>
        </w:tc>
        <w:tc>
          <w:tcPr>
            <w:tcW w:type="dxa" w:w="362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3.4.1(3)(e), (g)</w:t>
            </w:r>
          </w:p>
        </w:tc>
        <w:tc>
          <w:tcPr>
            <w:tcW w:type="dxa" w:w="109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F18</w:t>
            </w:r>
          </w:p>
        </w:tc>
      </w:tr>
    </w:tbl>
    <w:p>
      <w:pPr>
        <w:spacing w:after="120"/>
      </w:pPr>
    </w:p>
    <w:p>
      <w:pPr>
        <w:pStyle w:val="Heading2"/>
      </w:pPr>
      <w:r>
        <w:t xml:space="preserve">C. Product unit (as-built)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3"/>
        <w:gridCol w:w="2463"/>
        <w:gridCol w:w="1314"/>
      </w:tblGrid>
      <w:tr>
        <w:trPr>
          <w:cantSplit/>
          <w:tblHeader/>
        </w:trPr>
        <w:tc>
          <w:tcPr>
            <w:tcW w:type="dxa" w:w="5583"/>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Data element</w:t>
            </w:r>
          </w:p>
        </w:tc>
        <w:tc>
          <w:tcPr>
            <w:tcW w:type="dxa" w:w="2463"/>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c>
          <w:tcPr>
            <w:tcW w:type="dxa" w:w="1314"/>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Floor ID</w:t>
            </w:r>
          </w:p>
        </w:tc>
      </w:tr>
      <w:tr>
        <w:trPr>
          <w:cantSplit/>
          <w:tblHeader w:val="false"/>
        </w:trPr>
        <w:tc>
          <w:tcPr>
            <w:tcW w:type="dxa" w:w="558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Product unit identifier: serial, lot, or batch number</w:t>
            </w:r>
          </w:p>
        </w:tc>
        <w:tc>
          <w:tcPr>
            <w:tcW w:type="dxa" w:w="24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9.2.11</w:t>
            </w:r>
          </w:p>
        </w:tc>
        <w:tc>
          <w:tcPr>
            <w:tcW w:type="dxa" w:w="13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F25</w:t>
            </w:r>
          </w:p>
        </w:tc>
      </w:tr>
      <w:tr>
        <w:trPr>
          <w:cantSplit/>
          <w:tblHeader w:val="false"/>
        </w:trPr>
        <w:tc>
          <w:tcPr>
            <w:tcW w:type="dxa" w:w="558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Installed parts and subordinate items, with their unit or group identifiers</w:t>
            </w:r>
          </w:p>
        </w:tc>
        <w:tc>
          <w:tcPr>
            <w:tcW w:type="dxa" w:w="24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9.2.11(a)</w:t>
            </w:r>
          </w:p>
        </w:tc>
        <w:tc>
          <w:tcPr>
            <w:tcW w:type="dxa" w:w="13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F25</w:t>
            </w:r>
          </w:p>
        </w:tc>
      </w:tr>
      <w:tr>
        <w:trPr>
          <w:cantSplit/>
          <w:tblHeader w:val="false"/>
        </w:trPr>
        <w:tc>
          <w:tcPr>
            <w:tcW w:type="dxa" w:w="558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Design revision each installed part conforms to</w:t>
            </w:r>
          </w:p>
        </w:tc>
        <w:tc>
          <w:tcPr>
            <w:tcW w:type="dxa" w:w="24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9.2.11</w:t>
            </w:r>
          </w:p>
        </w:tc>
        <w:tc>
          <w:tcPr>
            <w:tcW w:type="dxa" w:w="13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F26</w:t>
            </w:r>
          </w:p>
        </w:tc>
      </w:tr>
      <w:tr>
        <w:trPr>
          <w:cantSplit/>
          <w:tblHeader w:val="false"/>
        </w:trPr>
        <w:tc>
          <w:tcPr>
            <w:tcW w:type="dxa" w:w="558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variances applied to the unit</w:t>
            </w:r>
          </w:p>
        </w:tc>
        <w:tc>
          <w:tcPr>
            <w:tcW w:type="dxa" w:w="24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9.2.11(b)</w:t>
            </w:r>
          </w:p>
        </w:tc>
        <w:tc>
          <w:tcPr>
            <w:tcW w:type="dxa" w:w="13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rPr>
          <w:cantSplit/>
          <w:tblHeader w:val="false"/>
        </w:trPr>
        <w:tc>
          <w:tcPr>
            <w:tcW w:type="dxa" w:w="558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As-designed to as-built reconciliation status for the unit</w:t>
            </w:r>
          </w:p>
        </w:tc>
        <w:tc>
          <w:tcPr>
            <w:tcW w:type="dxa" w:w="24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10.2</w:t>
            </w:r>
          </w:p>
        </w:tc>
        <w:tc>
          <w:tcPr>
            <w:tcW w:type="dxa" w:w="13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rPr>
          <w:cantSplit/>
          <w:tblHeader w:val="false"/>
        </w:trPr>
        <w:tc>
          <w:tcPr>
            <w:tcW w:type="dxa" w:w="558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Delivery date</w:t>
            </w:r>
          </w:p>
        </w:tc>
        <w:tc>
          <w:tcPr>
            <w:tcW w:type="dxa" w:w="24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Table 39</w:t>
            </w:r>
          </w:p>
        </w:tc>
        <w:tc>
          <w:tcPr>
            <w:tcW w:type="dxa" w:w="13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bl>
    <w:p>
      <w:pPr>
        <w:spacing w:after="120"/>
      </w:pPr>
    </w:p>
    <w:p>
      <w:pPr>
        <w:pStyle w:val="Heading2"/>
      </w:pPr>
      <w:r>
        <w:t xml:space="preserve">D. Retrofit and maintenance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22"/>
        <w:gridCol w:w="3404"/>
        <w:gridCol w:w="1134"/>
      </w:tblGrid>
      <w:tr>
        <w:trPr>
          <w:cantSplit/>
          <w:tblHeader/>
        </w:trPr>
        <w:tc>
          <w:tcPr>
            <w:tcW w:type="dxa" w:w="4822"/>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Data element</w:t>
            </w:r>
          </w:p>
        </w:tc>
        <w:tc>
          <w:tcPr>
            <w:tcW w:type="dxa" w:w="3404"/>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c>
          <w:tcPr>
            <w:tcW w:type="dxa" w:w="1134"/>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Floor ID</w:t>
            </w:r>
          </w:p>
        </w:tc>
      </w:tr>
      <w:tr>
        <w:trPr>
          <w:cantSplit/>
          <w:tblHeader w:val="false"/>
        </w:trPr>
        <w:tc>
          <w:tcPr>
            <w:tcW w:type="dxa" w:w="482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Change that authorizes the retrofit, units to be modified, and date each retrofit was completed</w:t>
            </w:r>
          </w:p>
        </w:tc>
        <w:tc>
          <w:tcPr>
            <w:tcW w:type="dxa" w:w="34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3.4.1(6); GEIA-HB-649A 9.2.11</w:t>
            </w:r>
          </w:p>
        </w:tc>
        <w:tc>
          <w:tcPr>
            <w:tcW w:type="dxa" w:w="113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F33</w:t>
            </w:r>
          </w:p>
        </w:tc>
      </w:tr>
      <w:tr>
        <w:trPr>
          <w:cantSplit/>
          <w:tblHeader w:val="false"/>
        </w:trPr>
        <w:tc>
          <w:tcPr>
            <w:tcW w:type="dxa" w:w="4822"/>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For tracked parts replaced in maintenance: part and unit identifiers removed and installed, completion date, and performing organization</w:t>
            </w:r>
          </w:p>
        </w:tc>
        <w:tc>
          <w:tcPr>
            <w:tcW w:type="dxa" w:w="34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9.2.11</w:t>
            </w:r>
          </w:p>
        </w:tc>
        <w:tc>
          <w:tcPr>
            <w:tcW w:type="dxa" w:w="113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bl>
    <w:p>
      <w:pPr>
        <w:spacing w:after="120"/>
      </w:pPr>
    </w:p>
    <w:p>
      <w:pPr>
        <w:pStyle w:val="Heading2"/>
      </w:pPr>
      <w:r>
        <w:t xml:space="preserve">E. Audit and action item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15"/>
        <w:gridCol w:w="3536"/>
        <w:gridCol w:w="1109"/>
      </w:tblGrid>
      <w:tr>
        <w:trPr>
          <w:cantSplit/>
          <w:tblHeader/>
        </w:trPr>
        <w:tc>
          <w:tcPr>
            <w:tcW w:type="dxa" w:w="4715"/>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Data element</w:t>
            </w:r>
          </w:p>
        </w:tc>
        <w:tc>
          <w:tcPr>
            <w:tcW w:type="dxa" w:w="3536"/>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c>
          <w:tcPr>
            <w:tcW w:type="dxa" w:w="1109"/>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Floor ID</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Audit plan and schedule for each FCA and PCA</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3.4.1(3)(h)</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Discrepancy identifier, type of verification, affected baseline, status, and final disposition</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3.4.1(3)(h); GEIA-HB-649A 9.2.11</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F31, F43</w:t>
            </w:r>
          </w:p>
        </w:tc>
      </w:tr>
      <w:tr>
        <w:trPr>
          <w:cantSplit/>
          <w:tblHeader w:val="false"/>
        </w:trPr>
        <w:tc>
          <w:tcPr>
            <w:tcW w:type="dxa" w:w="471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Action item owner, approving agency, target date, suspense date, and closeout date</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3.5.1(1)(m); GEIA-HB-649A 9.2.11</w:t>
            </w:r>
          </w:p>
        </w:tc>
        <w:tc>
          <w:tcPr>
            <w:tcW w:type="dxa" w:w="110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t>
            </w:r>
          </w:p>
        </w:tc>
      </w:tr>
    </w:tbl>
    <w:p>
      <w:pPr>
        <w:spacing w:after="120"/>
      </w:pPr>
    </w:p>
    <w:p>
      <w:pPr>
        <w:pStyle w:val="Heading2"/>
      </w:pPr>
      <w:r>
        <w:t xml:space="preserve">F. Sub-tier supplier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3"/>
        <w:gridCol w:w="2463"/>
        <w:gridCol w:w="1314"/>
      </w:tblGrid>
      <w:tr>
        <w:trPr>
          <w:cantSplit/>
          <w:tblHeader/>
        </w:trPr>
        <w:tc>
          <w:tcPr>
            <w:tcW w:type="dxa" w:w="5583"/>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Data element</w:t>
            </w:r>
          </w:p>
        </w:tc>
        <w:tc>
          <w:tcPr>
            <w:tcW w:type="dxa" w:w="2463"/>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c>
          <w:tcPr>
            <w:tcW w:type="dxa" w:w="1314"/>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Floor ID</w:t>
            </w:r>
          </w:p>
        </w:tc>
      </w:tr>
      <w:tr>
        <w:trPr>
          <w:cantSplit/>
          <w:tblHeader w:val="false"/>
        </w:trPr>
        <w:tc>
          <w:tcPr>
            <w:tcW w:type="dxa" w:w="558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Vendor part numbers and serial numbers, traced to the next higher assembly</w:t>
            </w:r>
          </w:p>
        </w:tc>
        <w:tc>
          <w:tcPr>
            <w:tcW w:type="dxa" w:w="246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3.4.1(3)(j)</w:t>
            </w:r>
          </w:p>
        </w:tc>
        <w:tc>
          <w:tcPr>
            <w:tcW w:type="dxa" w:w="131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F39</w:t>
            </w:r>
          </w:p>
        </w:tc>
      </w:tr>
    </w:tbl>
    <w:p>
      <w:pPr>
        <w:spacing w:after="120"/>
      </w:pPr>
    </w:p>
    <w:p>
      <w:pPr>
        <w:keepNext w:val="false"/>
        <w:spacing w:after="160"/>
      </w:pPr>
      <w:r>
        <w:t xml:space="preserve">Maintenance records in table D apply when the contract covers sustainment. All other elements apply to every program.</w:t>
      </w:r>
    </w:p>
    <w:p>
      <w:pPr>
        <w:pStyle w:val="Heading1"/>
      </w:pPr>
      <w:r>
        <w:t xml:space="preserve">Dashboard Requirements</w:t>
      </w:r>
    </w:p>
    <w:p>
      <w:pPr>
        <w:keepNext w:val="false"/>
        <w:spacing w:after="160"/>
      </w:pPr>
      <w:r>
        <w:t xml:space="preserve">The dashboard shows whether the record is current and whether the product matches it. EIA-649-1A 3.1.1 requires the supplier to measure and report CM performance. EIA-649-1A 3.4(2) requires the supplier to analyze CSA data to detect trends and report problems. The dashboard is how the program does both.</w:t>
      </w:r>
    </w:p>
    <w:p>
      <w:pPr>
        <w:pStyle w:val="Heading2"/>
      </w:pPr>
      <w:r>
        <w:t xml:space="preserve">Panels</w:t>
      </w:r>
    </w:p>
    <w:p>
      <w:pPr>
        <w:keepNext w:val="false"/>
        <w:spacing w:after="160"/>
      </w:pPr>
      <w:r>
        <w:t xml:space="preserve">Every program dashboard carries six panels. Each measure below is the minimum. The program sets its thresholds in the CM Plan. The standards do not set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4"/>
        <w:gridCol w:w="3536"/>
        <w:gridCol w:w="2964"/>
        <w:gridCol w:w="1196"/>
      </w:tblGrid>
      <w:tr>
        <w:trPr>
          <w:cantSplit/>
          <w:tblHeader/>
        </w:trPr>
        <w:tc>
          <w:tcPr>
            <w:tcW w:type="dxa" w:w="1664"/>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Panel</w:t>
            </w:r>
          </w:p>
        </w:tc>
        <w:tc>
          <w:tcPr>
            <w:tcW w:type="dxa" w:w="3536"/>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Minimum measures</w:t>
            </w:r>
          </w:p>
        </w:tc>
        <w:tc>
          <w:tcPr>
            <w:tcW w:type="dxa" w:w="2964"/>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Clause</w:t>
            </w:r>
          </w:p>
        </w:tc>
        <w:tc>
          <w:tcPr>
            <w:tcW w:type="dxa" w:w="1196"/>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Floor ID</w:t>
            </w:r>
          </w:p>
        </w:tc>
      </w:tr>
      <w:tr>
        <w:trPr>
          <w:cantSplit/>
          <w:tblHeader w:val="false"/>
        </w:trPr>
        <w:tc>
          <w:tcPr>
            <w:tcW w:type="dxa" w:w="16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Change status</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 changes and variances awaiting disposition; count of Major and Minor; days open; processing cycle time; approval and rejection rate, with rejection reasons; percent by category</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3.1.1(a) through (h); GEIA-HB-649A 9.3</w:t>
            </w:r>
          </w:p>
        </w:tc>
        <w:tc>
          <w:tcPr>
            <w:tcW w:type="dxa" w:w="11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F07</w:t>
            </w:r>
          </w:p>
        </w:tc>
      </w:tr>
      <w:tr>
        <w:trPr>
          <w:cantSplit/>
          <w:tblHeader w:val="false"/>
        </w:trPr>
        <w:tc>
          <w:tcPr>
            <w:tcW w:type="dxa" w:w="16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Change implementation</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changes not yet incorporated in documentation; changes incorporated but not verified; retrofit completion by unit</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3.4.1(3)(f); 3.4.1(6)</w:t>
            </w:r>
          </w:p>
        </w:tc>
        <w:tc>
          <w:tcPr>
            <w:tcW w:type="dxa" w:w="11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F08, F09, F33</w:t>
            </w:r>
          </w:p>
        </w:tc>
      </w:tr>
      <w:tr>
        <w:trPr>
          <w:cantSplit/>
          <w:tblHeader w:val="false"/>
        </w:trPr>
        <w:tc>
          <w:tcPr>
            <w:tcW w:type="dxa" w:w="16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 As-built conformance</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Units with a completed as-designed to as-built reconciliation; open deltas by age; units carrying open variances</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10.2</w:t>
            </w:r>
          </w:p>
        </w:tc>
        <w:tc>
          <w:tcPr>
            <w:tcW w:type="dxa" w:w="11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F24 through F26</w:t>
            </w:r>
          </w:p>
        </w:tc>
      </w:tr>
      <w:tr>
        <w:trPr>
          <w:cantSplit/>
          <w:tblHeader w:val="false"/>
        </w:trPr>
        <w:tc>
          <w:tcPr>
            <w:tcW w:type="dxa" w:w="16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 Audit status</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 audit discrepancies and action items; items within 14 days of suspense or past suspense; upcoming FCA and PCA dates</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3.4.1(3)(h); GEIA-HB-649A 9.2.11</w:t>
            </w:r>
          </w:p>
        </w:tc>
        <w:tc>
          <w:tcPr>
            <w:tcW w:type="dxa" w:w="11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F31, F43</w:t>
            </w:r>
          </w:p>
        </w:tc>
      </w:tr>
      <w:tr>
        <w:trPr>
          <w:cantSplit/>
          <w:tblHeader w:val="false"/>
        </w:trPr>
        <w:tc>
          <w:tcPr>
            <w:tcW w:type="dxa" w:w="16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CSA data quality</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Records that fail validation rules; open CSA corrective actions; corrective actions verified as effective</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3.4(2); 3.4.2(1)</w:t>
            </w:r>
          </w:p>
        </w:tc>
        <w:tc>
          <w:tcPr>
            <w:tcW w:type="dxa" w:w="11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F24</w:t>
            </w:r>
          </w:p>
        </w:tc>
      </w:tr>
      <w:tr>
        <w:trPr>
          <w:cantSplit/>
          <w:tblHeader w:val="false"/>
        </w:trPr>
        <w:tc>
          <w:tcPr>
            <w:tcW w:type="dxa" w:w="16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 Sub-tier data</w:t>
            </w:r>
          </w:p>
        </w:tc>
        <w:tc>
          <w:tcPr>
            <w:tcW w:type="dxa" w:w="35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Percent of sub-tier parts with vendor part number, serial number, and next higher assembly recorded</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3.4.1(3)(j)</w:t>
            </w:r>
          </w:p>
        </w:tc>
        <w:tc>
          <w:tcPr>
            <w:tcW w:type="dxa" w:w="119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F39</w:t>
            </w:r>
          </w:p>
        </w:tc>
      </w:tr>
    </w:tbl>
    <w:p>
      <w:pPr>
        <w:spacing w:after="120"/>
      </w:pPr>
    </w:p>
    <w:p>
      <w:pPr>
        <w:spacing w:after="200"/>
      </w:pPr>
      <w:r>
        <w:rPr>
          <w:i/>
          <w:iCs/>
          <w:color w:val="595959"/>
        </w:rPr>
        <w:t xml:space="preserve">Editor's note: the 14-day suspense window in panel 4 is a recommendation. Adjust it in the CM Plan.</w:t>
      </w:r>
    </w:p>
    <w:p>
      <w:pPr>
        <w:pStyle w:val="Heading2"/>
      </w:pPr>
      <w:r>
        <w:t xml:space="preserve">Functional requirements</w:t>
      </w:r>
    </w:p>
    <w:p>
      <w:pPr>
        <w:keepNext w:val="false"/>
        <w:spacing w:after="160"/>
      </w:pPr>
      <w:r>
        <w:t xml:space="preserve">The dashboard shall:</w:t>
      </w:r>
    </w:p>
    <w:p>
      <w:pPr>
        <w:pStyle w:val="ListParagraph"/>
        <w:numPr>
          <w:ilvl w:val="0"/>
          <w:numId w:val="3"/>
        </w:numPr>
        <w:spacing w:after="80"/>
      </w:pPr>
      <w:r>
        <w:t xml:space="preserve">Read live from the CSA system of record. It shall not read from copies or hand-built spreadsheets.</w:t>
      </w:r>
    </w:p>
    <w:p>
      <w:pPr>
        <w:pStyle w:val="ListParagraph"/>
        <w:numPr>
          <w:ilvl w:val="0"/>
          <w:numId w:val="3"/>
        </w:numPr>
        <w:spacing w:after="80"/>
      </w:pPr>
      <w:r>
        <w:t xml:space="preserve">Show an as-of date and time on every panel.</w:t>
      </w:r>
    </w:p>
    <w:p>
      <w:pPr>
        <w:pStyle w:val="ListParagraph"/>
        <w:numPr>
          <w:ilvl w:val="0"/>
          <w:numId w:val="3"/>
        </w:numPr>
        <w:spacing w:after="80"/>
      </w:pPr>
      <w:r>
        <w:t xml:space="preserve">Drill down from each count to the records behind it.</w:t>
      </w:r>
    </w:p>
    <w:p>
      <w:pPr>
        <w:pStyle w:val="ListParagraph"/>
        <w:numPr>
          <w:ilvl w:val="0"/>
          <w:numId w:val="3"/>
        </w:numPr>
        <w:spacing w:after="80"/>
      </w:pPr>
      <w:r>
        <w:t xml:space="preserve">Return the as-designed, as-built, as-delivered, or as-modified configuration of any serial number, and of any component within it.</w:t>
      </w:r>
    </w:p>
    <w:p>
      <w:pPr>
        <w:pStyle w:val="ListParagraph"/>
        <w:numPr>
          <w:ilvl w:val="0"/>
          <w:numId w:val="3"/>
        </w:numPr>
        <w:spacing w:after="80"/>
      </w:pPr>
      <w:r>
        <w:t xml:space="preserve">Filter by CI, effectivity, program, and date range.</w:t>
      </w:r>
    </w:p>
    <w:p>
      <w:pPr>
        <w:pStyle w:val="ListParagraph"/>
        <w:numPr>
          <w:ilvl w:val="0"/>
          <w:numId w:val="3"/>
        </w:numPr>
        <w:spacing w:after="80"/>
      </w:pPr>
      <w:r>
        <w:t xml:space="preserve">Enforce role-based access. Users see only the data they are authorized to see. No user edits CSA data from the dashboard.</w:t>
      </w:r>
    </w:p>
    <w:p>
      <w:pPr>
        <w:pStyle w:val="ListParagraph"/>
        <w:numPr>
          <w:ilvl w:val="0"/>
          <w:numId w:val="3"/>
        </w:numPr>
        <w:spacing w:after="80"/>
      </w:pPr>
      <w:r>
        <w:t xml:space="preserve">Give the Acquirer, or its designated representative, access as the contract requires.</w:t>
      </w:r>
    </w:p>
    <w:p>
      <w:pPr>
        <w:pStyle w:val="ListParagraph"/>
        <w:numPr>
          <w:ilvl w:val="0"/>
          <w:numId w:val="3"/>
        </w:numPr>
        <w:spacing w:after="80"/>
      </w:pPr>
      <w:r>
        <w:t xml:space="preserve">Export each view for CDRL delivery and audit data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1"/>
        <w:gridCol w:w="6989"/>
      </w:tblGrid>
      <w:tr>
        <w:trPr>
          <w:cantSplit/>
          <w:tblHeader/>
        </w:trPr>
        <w:tc>
          <w:tcPr>
            <w:tcW w:type="dxa" w:w="2371"/>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Requirement</w:t>
            </w:r>
          </w:p>
        </w:tc>
        <w:tc>
          <w:tcPr>
            <w:tcW w:type="dxa" w:w="6989"/>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Source</w:t>
            </w:r>
          </w:p>
        </w:tc>
      </w:tr>
      <w:tr>
        <w:trPr>
          <w:cantSplit/>
          <w:tblHeader w:val="false"/>
        </w:trPr>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w:t>
            </w:r>
          </w:p>
        </w:tc>
        <w:tc>
          <w:tcPr>
            <w:tcW w:type="dxa" w:w="698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3.4.1(1)</w:t>
            </w:r>
          </w:p>
        </w:tc>
      </w:tr>
      <w:tr>
        <w:trPr>
          <w:cantSplit/>
          <w:tblHeader w:val="false"/>
        </w:trPr>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2, 3</w:t>
            </w:r>
          </w:p>
        </w:tc>
        <w:tc>
          <w:tcPr>
            <w:tcW w:type="dxa" w:w="698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Appendix V (dashboards, drill-down)</w:t>
            </w:r>
          </w:p>
        </w:tc>
      </w:tr>
      <w:tr>
        <w:trPr>
          <w:cantSplit/>
          <w:tblHeader w:val="false"/>
        </w:trPr>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w:t>
            </w:r>
          </w:p>
        </w:tc>
        <w:tc>
          <w:tcPr>
            <w:tcW w:type="dxa" w:w="698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9.4(a)</w:t>
            </w:r>
          </w:p>
        </w:tc>
      </w:tr>
      <w:tr>
        <w:trPr>
          <w:cantSplit/>
          <w:tblHeader w:val="false"/>
        </w:trPr>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6</w:t>
            </w:r>
          </w:p>
        </w:tc>
        <w:tc>
          <w:tcPr>
            <w:tcW w:type="dxa" w:w="698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9.2.8</w:t>
            </w:r>
          </w:p>
        </w:tc>
      </w:tr>
      <w:tr>
        <w:trPr>
          <w:cantSplit/>
          <w:tblHeader w:val="false"/>
        </w:trPr>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7</w:t>
            </w:r>
          </w:p>
        </w:tc>
        <w:tc>
          <w:tcPr>
            <w:tcW w:type="dxa" w:w="698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3.4.1(4)(a)</w:t>
            </w:r>
          </w:p>
        </w:tc>
      </w:tr>
      <w:tr>
        <w:trPr>
          <w:cantSplit/>
          <w:tblHeader w:val="false"/>
        </w:trPr>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8</w:t>
            </w:r>
          </w:p>
        </w:tc>
        <w:tc>
          <w:tcPr>
            <w:tcW w:type="dxa" w:w="698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3.4.1(5); DI-SESS-81253</w:t>
            </w:r>
          </w:p>
        </w:tc>
      </w:tr>
    </w:tbl>
    <w:p>
      <w:pPr>
        <w:spacing w:after="120"/>
      </w:pPr>
    </w:p>
    <w:p>
      <w:pPr>
        <w:keepNext w:val="false"/>
        <w:spacing w:after="160"/>
      </w:pPr>
      <w:r>
        <w:t xml:space="preserve">Requirement 5 is an enterprise requirement of this memo.</w:t>
      </w:r>
    </w:p>
    <w:p>
      <w:pPr>
        <w:pStyle w:val="Heading1"/>
      </w:pPr>
      <w:r>
        <w:t xml:space="preserve">Reporting Frequency</w:t>
      </w:r>
    </w:p>
    <w:p>
      <w:pPr>
        <w:pStyle w:val="Heading2"/>
      </w:pPr>
      <w:r>
        <w:t xml:space="preserve">What the standards require</w:t>
      </w:r>
    </w:p>
    <w:p>
      <w:pPr>
        <w:keepNext w:val="false"/>
        <w:spacing w:after="160"/>
      </w:pPr>
      <w:r>
        <w:t xml:space="preserve">The standards set no calendar. They set three conditions.</w:t>
      </w:r>
    </w:p>
    <w:p>
      <w:pPr>
        <w:pStyle w:val="ListParagraph"/>
        <w:numPr>
          <w:ilvl w:val="0"/>
          <w:numId w:val="4"/>
        </w:numPr>
        <w:spacing w:after="80"/>
      </w:pPr>
      <w:r>
        <w:rPr>
          <w:b/>
          <w:bCs/>
        </w:rPr>
        <w:t xml:space="preserve">Capture happens as the work happens.</w:t>
      </w:r>
      <w:r>
        <w:t xml:space="preserve"> EIA-649 principle CSA-2, carried into EIA-649-1A, states that information is captured as CM tasks are performed. GEIA-HB-649A 9.2.4 warns that data not captured continuously is very hard, and sometimes impossible, to reproduce later.</w:t>
      </w:r>
    </w:p>
    <w:p>
      <w:pPr>
        <w:pStyle w:val="ListParagraph"/>
        <w:numPr>
          <w:ilvl w:val="0"/>
          <w:numId w:val="4"/>
        </w:numPr>
        <w:spacing w:after="80"/>
      </w:pPr>
      <w:r>
        <w:rPr>
          <w:b/>
          <w:bCs/>
        </w:rPr>
        <w:t xml:space="preserve">The customer gets access as the contract states.</w:t>
      </w:r>
      <w:r>
        <w:t xml:space="preserve"> EIA-649-1A 3.4.1(4)(a) allows on-site inspection, remote access, or regular submissions. EIA-649-1A 3.4.1(5) requires a final digital delivery of CSA information at contract completion, per the CDRL.</w:t>
      </w:r>
    </w:p>
    <w:p>
      <w:pPr>
        <w:pStyle w:val="ListParagraph"/>
        <w:numPr>
          <w:ilvl w:val="0"/>
          <w:numId w:val="4"/>
        </w:numPr>
        <w:spacing w:after="80"/>
      </w:pPr>
      <w:r>
        <w:rPr>
          <w:b/>
          <w:bCs/>
        </w:rPr>
        <w:t xml:space="preserve">The CM Plan states the frequency.</w:t>
      </w:r>
      <w:r>
        <w:t xml:space="preserve"> The GEIA-HB-649A audit checklist (Appendix P, item 4(f)) asks whether the CM Plan names each status accounting report and its frequency of availability and distribution.</w:t>
      </w:r>
    </w:p>
    <w:p>
      <w:pPr>
        <w:pStyle w:val="Heading2"/>
      </w:pPr>
      <w:r>
        <w:t xml:space="preserve">Recommended cadence</w:t>
      </w:r>
    </w:p>
    <w:p>
      <w:pPr>
        <w:keepNext w:val="false"/>
        <w:spacing w:after="160"/>
      </w:pPr>
      <w:r>
        <w:t xml:space="preserve">The cadence below is this memo's recommendation. Each program adopts it, or a stricter one, in its CM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1"/>
        <w:gridCol w:w="3031"/>
        <w:gridCol w:w="1917"/>
        <w:gridCol w:w="1871"/>
      </w:tblGrid>
      <w:tr>
        <w:trPr>
          <w:cantSplit/>
          <w:tblHeader/>
        </w:trPr>
        <w:tc>
          <w:tcPr>
            <w:tcW w:type="dxa" w:w="2541"/>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When</w:t>
            </w:r>
          </w:p>
        </w:tc>
        <w:tc>
          <w:tcPr>
            <w:tcW w:type="dxa" w:w="3031"/>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What</w:t>
            </w:r>
          </w:p>
        </w:tc>
        <w:tc>
          <w:tcPr>
            <w:tcW w:type="dxa" w:w="1917"/>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Audience</w:t>
            </w:r>
          </w:p>
        </w:tc>
        <w:tc>
          <w:tcPr>
            <w:tcW w:type="dxa" w:w="1871"/>
            <w:tcBorders>
              <w:top w:val="single" w:color="BFBFBF" w:sz="4"/>
              <w:left w:val="single" w:color="BFBFBF" w:sz="4"/>
              <w:bottom w:val="single" w:color="BFBFBF" w:sz="4"/>
              <w:right w:val="single" w:color="BFBFBF" w:sz="4"/>
            </w:tcBorders>
            <w:shd w:fill="E7E6E1" w:color="auto" w:val="clear"/>
            <w:tcMar>
              <w:top w:type="dxa" w:w="80"/>
              <w:left w:type="dxa" w:w="120"/>
              <w:bottom w:type="dxa" w:w="80"/>
              <w:right w:type="dxa" w:w="120"/>
            </w:tcMar>
          </w:tcPr>
          <w:p>
            <w:r>
              <w:rPr>
                <w:b/>
                <w:bCs/>
                <w:sz w:val="20"/>
                <w:szCs w:val="20"/>
              </w:rPr>
              <w:t xml:space="preserve">Basis</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 the event, same business day</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Record each CCB disposition, release, build record, variance, and audit finding in CSA</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CSA system</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 CSA-2; GEIA-HB-649A 9.2.4</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Continuous, refreshed at least daily</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Dashboard, all six panels</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Program team</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Appendix AA, item E</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Weekly</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Change status and suspense review: panels 1, 2, and 4</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CM lead, engineering, production</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Recommendation</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Monthly</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CM performance report: all six panels, with trends</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Program management and the Acquirer</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3.1.1(2); 3.4(2)</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Quarterly</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CSA data quality evaluation and corrective action review</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CM function lead</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3.4.2(1)</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 each unit delivery</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Complete, reconciled as-built record for the delivered unit</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Quality, the Acquirer</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GEIA-HB-649A 9.2.11</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Before each technical review, FCA, and PCA</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CSA data check and as-designed to as-built reconciliation report</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Review and audit teams</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3.1.3(1); 3.5.1(1)(e)</w:t>
            </w:r>
          </w:p>
        </w:tc>
      </w:tr>
      <w:tr>
        <w:trPr>
          <w:cantSplit/>
          <w:tblHeader w:val="false"/>
        </w:trPr>
        <w:tc>
          <w:tcPr>
            <w:tcW w:type="dxa" w:w="254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As the CDRL specifies, and at contract completion</w:t>
            </w:r>
          </w:p>
        </w:tc>
        <w:tc>
          <w:tcPr>
            <w:tcW w:type="dxa" w:w="30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CSA information delivery</w:t>
            </w:r>
          </w:p>
        </w:tc>
        <w:tc>
          <w:tcPr>
            <w:tcW w:type="dxa" w:w="1917"/>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Acquirer</w:t>
            </w:r>
          </w:p>
        </w:tc>
        <w:tc>
          <w:tcPr>
            <w:tcW w:type="dxa" w:w="187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EIA-649-1A 3.4.1(5); DI-SESS-81253</w:t>
            </w:r>
          </w:p>
        </w:tc>
      </w:tr>
    </w:tbl>
    <w:p>
      <w:pPr>
        <w:spacing w:after="120"/>
      </w:pPr>
    </w:p>
    <w:p>
      <w:pPr>
        <w:keepNext w:val="false"/>
        <w:spacing w:after="160"/>
      </w:pPr>
      <w:r>
        <w:t xml:space="preserve">The weekly review is the one that catches problems while they are cheap. A change approved on Monday and missing from the build record by Friday costs one phone call. The same gap found at PCA costs an audit finding.</w:t>
      </w:r>
    </w:p>
    <w:p>
      <w:pPr>
        <w:pStyle w:val="Heading1"/>
      </w:pPr>
      <w:r>
        <w:t xml:space="preserve">Requested Action</w:t>
      </w:r>
    </w:p>
    <w:p>
      <w:pPr>
        <w:keepNext w:val="false"/>
        <w:spacing w:after="160"/>
      </w:pPr>
      <w:r>
        <w:t xml:space="preserve">Adopt the minimum dataset and dashboard as the enterprise CSA floor.</w:t>
      </w:r>
    </w:p>
    <w:p>
      <w:pPr>
        <w:pStyle w:val="ListParagraph"/>
        <w:numPr>
          <w:ilvl w:val="0"/>
          <w:numId w:val="5"/>
        </w:numPr>
        <w:spacing w:after="80"/>
      </w:pPr>
      <w:r>
        <w:t xml:space="preserve">Map each program's CSA system to the six record types. Close any gap, or document an equivalent control.</w:t>
      </w:r>
    </w:p>
    <w:p>
      <w:pPr>
        <w:pStyle w:val="ListParagraph"/>
        <w:numPr>
          <w:ilvl w:val="0"/>
          <w:numId w:val="5"/>
        </w:numPr>
        <w:spacing w:after="80"/>
      </w:pPr>
      <w:r>
        <w:t xml:space="preserve">Stand up the six-panel dashboard, reading live from the CSA system of record.</w:t>
      </w:r>
    </w:p>
    <w:p>
      <w:pPr>
        <w:pStyle w:val="ListParagraph"/>
        <w:numPr>
          <w:ilvl w:val="0"/>
          <w:numId w:val="5"/>
        </w:numPr>
        <w:spacing w:after="80"/>
      </w:pPr>
      <w:r>
        <w:t xml:space="preserve">State the reporting cadence in each program CM Plan. Use the recommended cadence or a stricter one.</w:t>
      </w:r>
    </w:p>
    <w:p>
      <w:pPr>
        <w:pStyle w:val="ListParagraph"/>
        <w:numPr>
          <w:ilvl w:val="0"/>
          <w:numId w:val="5"/>
        </w:numPr>
        <w:spacing w:after="80"/>
      </w:pPr>
      <w:r>
        <w:t xml:space="preserve">Set dashboard thresholds in each CM Plan.</w:t>
      </w:r>
    </w:p>
    <w:p>
      <w:pPr>
        <w:pStyle w:val="ListParagraph"/>
        <w:numPr>
          <w:ilvl w:val="0"/>
          <w:numId w:val="5"/>
        </w:numPr>
        <w:spacing w:after="80"/>
      </w:pPr>
      <w:r>
        <w:t xml:space="preserve">Feed the gaps into the status accounting Level III process, which the CM Floor Process Traceability workbook lists as not yet written.</w:t>
      </w:r>
    </w:p>
    <w:p>
      <w:pPr>
        <w:pStyle w:val="Heading1"/>
      </w:pPr>
      <w:r>
        <w:t xml:space="preserve">References</w:t>
      </w:r>
    </w:p>
    <w:p>
      <w:pPr>
        <w:pStyle w:val="ListParagraph"/>
        <w:numPr>
          <w:ilvl w:val="0"/>
          <w:numId w:val="2"/>
        </w:numPr>
        <w:spacing w:after="80"/>
      </w:pPr>
      <w:r>
        <w:t xml:space="preserve">SAE EIA-649-1A, Configuration Management Requirements for Defense Contracts (revised 2020-08): 2.3 Definitions; 3.1.1; 3.1.3(1); 3.3(2)(f); 3.3.1.2(1); 3.3.4(1); 3.4(1), (2); 3.4.1(1) through (6); 3.4.2(1); 3.5.1(1)(e), (m); Table 1 (principle CSA-2)</w:t>
      </w:r>
    </w:p>
    <w:p>
      <w:pPr>
        <w:pStyle w:val="ListParagraph"/>
        <w:numPr>
          <w:ilvl w:val="0"/>
          <w:numId w:val="2"/>
        </w:numPr>
        <w:spacing w:after="80"/>
      </w:pPr>
      <w:r>
        <w:t xml:space="preserve">SAE GEIA-HB-649A, Configuration Management Standard Implementation Guide (revised 2016): 9.2 and Table 39; 9.2.4; 9.2.8; 9.2.11; 9.3; 9.4; 10.2; Appendix P, item 4; Appendix V; Appendix AA, item E</w:t>
      </w:r>
    </w:p>
    <w:p>
      <w:pPr>
        <w:pStyle w:val="ListParagraph"/>
        <w:numPr>
          <w:ilvl w:val="0"/>
          <w:numId w:val="2"/>
        </w:numPr>
        <w:spacing w:after="80"/>
      </w:pPr>
      <w:r>
        <w:t xml:space="preserve">DI-SESS-81253, Configuration Status Accounting Information</w:t>
      </w:r>
    </w:p>
    <w:p>
      <w:pPr>
        <w:pStyle w:val="ListParagraph"/>
        <w:numPr>
          <w:ilvl w:val="0"/>
          <w:numId w:val="2"/>
        </w:numPr>
        <w:spacing w:after="80"/>
      </w:pPr>
      <w:r>
        <w:t xml:space="preserve">CM Floor Register and CM Floor Process Traceability workbook (project files)</w:t>
      </w:r>
    </w:p>
    <w:p>
      <w:pPr>
        <w:pStyle w:val="ListParagraph"/>
        <w:numPr>
          <w:ilvl w:val="0"/>
          <w:numId w:val="2"/>
        </w:numPr>
        <w:spacing w:after="80"/>
      </w:pPr>
      <w:r>
        <w:t xml:space="preserve">Companion memos: Roles in EBOM-MBOM-ABOM Reconciliation; CSA and Configuration Verification and Audit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1F1F"/>
      <w:sz w:val="26"/>
      <w:szCs w:val="26"/>
    </w:rPr>
  </w:style>
  <w:style w:type="paragraph" w:styleId="Heading2">
    <w:name w:val="Heading 2"/>
    <w:basedOn w:val="Normal"/>
    <w:next w:val="Normal"/>
    <w:qFormat/>
    <w:pPr>
      <w:keepNext/>
      <w:spacing w:after="100" w:before="220"/>
      <w:outlineLvl w:val="1"/>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2026-09-30T16:36:16.730Z</dcterms:created>
  <dcterms:modified xsi:type="dcterms:W3CDTF">2026-09-30T16:36:16.731Z</dcterms:modified>
</cp:coreProperties>
</file>

<file path=docProps/custom.xml><?xml version="1.0" encoding="utf-8"?>
<Properties xmlns="http://schemas.openxmlformats.org/officeDocument/2006/custom-properties" xmlns:vt="http://schemas.openxmlformats.org/officeDocument/2006/docPropsVTypes"/>
</file>