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pPr>
      <w:r>
        <w:rPr>
          <w:b/>
          <w:bCs/>
          <w:sz w:val="26"/>
          <w:szCs w:val="26"/>
        </w:rPr>
        <w:t xml:space="preserve">PART NOTE CODES FOR TRACEABLE PARTS AND PRODUCT-UNIT RECORDS REQUIRING CONFIGURATION STATUS ACCOUNTING RECONCILIATION</w:t>
      </w:r>
    </w:p>
    <w:p>
      <w:pPr>
        <w:pStyle w:val="Heading1"/>
        <w:spacing w:after="160" w:before="360"/>
      </w:pPr>
      <w:r>
        <w:rPr>
          <w:b/>
          <w:bCs/>
          <w:color w:val="000000"/>
          <w:sz w:val="26"/>
          <w:szCs w:val="26"/>
        </w:rPr>
        <w:t xml:space="preserve">6.1	Overview</w:t>
      </w:r>
    </w:p>
    <w:p>
      <w:pPr>
        <w:spacing w:after="160" w:line="276"/>
      </w:pPr>
      <w:r>
        <w:rPr>
          <w:sz w:val="22"/>
          <w:szCs w:val="22"/>
        </w:rPr>
        <w:t xml:space="preserve">Certain part note codes capture part traceability documentation requirements and product-unit record requirements. This section identifies those part note codes. It establishes how Design Engineering imposes them on a parts list. Configuration Management is accountable for reconciling these part note codes on the design with the traceability documentation and product-unit records captured in the build environment.</w:t>
      </w:r>
    </w:p>
    <w:p>
      <w:pPr>
        <w:spacing w:after="160" w:line="276"/>
      </w:pPr>
      <w:r>
        <w:rPr>
          <w:sz w:val="22"/>
          <w:szCs w:val="22"/>
        </w:rPr>
        <w:t xml:space="preserve">There is one section per part note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860"/>
        <w:gridCol w:w="4200"/>
        <w:gridCol w:w="1300"/>
      </w:tblGrid>
      <w:tr>
        <w:trPr>
          <w:cantSplit/>
          <w:tblHeader/>
        </w:trPr>
        <w:tc>
          <w:tcPr>
            <w:tcW w:type="dxa" w:w="1000"/>
            <w:shd w:fill="E7E7E7" w:val="clear"/>
            <w:tcMar>
              <w:top w:type="dxa" w:w="60"/>
              <w:left w:type="dxa" w:w="90"/>
              <w:bottom w:type="dxa" w:w="60"/>
              <w:right w:type="dxa" w:w="90"/>
            </w:tcMar>
            <w:vAlign w:val="top"/>
          </w:tcPr>
          <w:p>
            <w:pPr>
              <w:spacing w:after="0" w:line="240"/>
            </w:pPr>
            <w:r>
              <w:rPr>
                <w:b/>
                <w:bCs/>
                <w:sz w:val="19"/>
                <w:szCs w:val="19"/>
              </w:rPr>
              <w:t xml:space="preserve">Code</w:t>
            </w:r>
          </w:p>
        </w:tc>
        <w:tc>
          <w:tcPr>
            <w:tcW w:type="dxa" w:w="2860"/>
            <w:shd w:fill="E7E7E7" w:val="clear"/>
            <w:tcMar>
              <w:top w:type="dxa" w:w="60"/>
              <w:left w:type="dxa" w:w="90"/>
              <w:bottom w:type="dxa" w:w="60"/>
              <w:right w:type="dxa" w:w="90"/>
            </w:tcMar>
            <w:vAlign w:val="top"/>
          </w:tcPr>
          <w:p>
            <w:pPr>
              <w:spacing w:after="0" w:line="240"/>
            </w:pPr>
            <w:r>
              <w:rPr>
                <w:b/>
                <w:bCs/>
                <w:sz w:val="19"/>
                <w:szCs w:val="19"/>
              </w:rPr>
              <w:t xml:space="preserve">Name</w:t>
            </w:r>
          </w:p>
        </w:tc>
        <w:tc>
          <w:tcPr>
            <w:tcW w:type="dxa" w:w="4200"/>
            <w:shd w:fill="E7E7E7" w:val="clear"/>
            <w:tcMar>
              <w:top w:type="dxa" w:w="60"/>
              <w:left w:type="dxa" w:w="90"/>
              <w:bottom w:type="dxa" w:w="60"/>
              <w:right w:type="dxa" w:w="90"/>
            </w:tcMar>
            <w:vAlign w:val="top"/>
          </w:tcPr>
          <w:p>
            <w:pPr>
              <w:spacing w:after="0" w:line="240"/>
            </w:pPr>
            <w:r>
              <w:rPr>
                <w:b/>
                <w:bCs/>
                <w:sz w:val="19"/>
                <w:szCs w:val="19"/>
              </w:rPr>
              <w:t xml:space="preserve">What the code drives</w:t>
            </w:r>
          </w:p>
        </w:tc>
        <w:tc>
          <w:tcPr>
            <w:tcW w:type="dxa" w:w="1300"/>
            <w:shd w:fill="E7E7E7" w:val="clear"/>
            <w:tcMar>
              <w:top w:type="dxa" w:w="60"/>
              <w:left w:type="dxa" w:w="90"/>
              <w:bottom w:type="dxa" w:w="60"/>
              <w:right w:type="dxa" w:w="90"/>
            </w:tcMar>
            <w:vAlign w:val="top"/>
          </w:tcPr>
          <w:p>
            <w:pPr>
              <w:spacing w:after="0" w:line="240"/>
            </w:pPr>
            <w:r>
              <w:rPr>
                <w:b/>
                <w:bCs/>
                <w:sz w:val="19"/>
                <w:szCs w:val="19"/>
              </w:rPr>
              <w:t xml:space="preserve">Section</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Serialization Recording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Record serial numbers, or apply and record serial numbers</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6.2</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Lot/Batch Recording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Record lot/batch numbers, or apply and record lot/batch numbers</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6.3</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TR</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Traceability Records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Generate the parent-child traceability records of items in the product tree</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6.4</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IUID</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Item Unique Identification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Mark the item with a unique item identifier and report it to the DoD IUID Registry</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6.5</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LL</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Life Limited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Identify the item as life-limited and state its limit</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6.6</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SH</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Special Handling Required</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State the handling, packaging, or environmental control required</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6.3.6</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CSI</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Critical Safety Item</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Identify the item as a Critical Safety Item</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6.7.1</w:t>
            </w:r>
          </w:p>
        </w:tc>
      </w:tr>
      <w:tr>
        <w:trPr>
          <w:cantSplit/>
        </w:trPr>
        <w:tc>
          <w:tcPr>
            <w:tcW w:type="dxa" w:w="1000"/>
            <w:tcMar>
              <w:top w:type="dxa" w:w="60"/>
              <w:left w:type="dxa" w:w="90"/>
              <w:bottom w:type="dxa" w:w="60"/>
              <w:right w:type="dxa" w:w="90"/>
            </w:tcMar>
            <w:vAlign w:val="top"/>
          </w:tcPr>
          <w:p>
            <w:pPr>
              <w:spacing w:after="0" w:line="240"/>
            </w:pPr>
            <w:r>
              <w:rPr>
                <w:b w:val="false"/>
                <w:bCs w:val="false"/>
                <w:sz w:val="19"/>
                <w:szCs w:val="19"/>
              </w:rPr>
              <w:t xml:space="preserve">FC</w:t>
            </w:r>
          </w:p>
        </w:tc>
        <w:tc>
          <w:tcPr>
            <w:tcW w:type="dxa" w:w="2860"/>
            <w:tcMar>
              <w:top w:type="dxa" w:w="60"/>
              <w:left w:type="dxa" w:w="90"/>
              <w:bottom w:type="dxa" w:w="60"/>
              <w:right w:type="dxa" w:w="90"/>
            </w:tcMar>
            <w:vAlign w:val="top"/>
          </w:tcPr>
          <w:p>
            <w:pPr>
              <w:spacing w:after="0" w:line="240"/>
            </w:pPr>
            <w:r>
              <w:rPr>
                <w:b w:val="false"/>
                <w:bCs w:val="false"/>
                <w:sz w:val="19"/>
                <w:szCs w:val="19"/>
              </w:rPr>
              <w:t xml:space="preserve">Fracture-Critical Item</w:t>
            </w:r>
          </w:p>
        </w:tc>
        <w:tc>
          <w:tcPr>
            <w:tcW w:type="dxa" w:w="4200"/>
            <w:tcMar>
              <w:top w:type="dxa" w:w="60"/>
              <w:left w:type="dxa" w:w="90"/>
              <w:bottom w:type="dxa" w:w="60"/>
              <w:right w:type="dxa" w:w="90"/>
            </w:tcMar>
            <w:vAlign w:val="top"/>
          </w:tcPr>
          <w:p>
            <w:pPr>
              <w:spacing w:after="0" w:line="240"/>
            </w:pPr>
            <w:r>
              <w:rPr>
                <w:b w:val="false"/>
                <w:bCs w:val="false"/>
                <w:sz w:val="19"/>
                <w:szCs w:val="19"/>
              </w:rPr>
              <w:t xml:space="preserve">Identify the item as a Fracture-Critical Traceable Part</w:t>
            </w:r>
          </w:p>
        </w:tc>
        <w:tc>
          <w:tcPr>
            <w:tcW w:type="dxa" w:w="1300"/>
            <w:tcMar>
              <w:top w:type="dxa" w:w="60"/>
              <w:left w:type="dxa" w:w="90"/>
              <w:bottom w:type="dxa" w:w="60"/>
              <w:right w:type="dxa" w:w="90"/>
            </w:tcMar>
            <w:vAlign w:val="top"/>
          </w:tcPr>
          <w:p>
            <w:pPr>
              <w:spacing w:after="0" w:line="240"/>
            </w:pPr>
            <w:r>
              <w:rPr>
                <w:b w:val="false"/>
                <w:bCs w:val="false"/>
                <w:sz w:val="19"/>
                <w:szCs w:val="19"/>
              </w:rPr>
              <w:t xml:space="preserve">6.7.2</w:t>
            </w:r>
          </w:p>
        </w:tc>
      </w:tr>
    </w:tbl>
    <w:p>
      <w:pPr>
        <w:spacing w:after="200"/>
      </w:pPr>
    </w:p>
    <w:p>
      <w:pPr>
        <w:spacing w:after="160" w:line="276"/>
      </w:pPr>
      <w:r>
        <w:rPr>
          <w:sz w:val="22"/>
          <w:szCs w:val="22"/>
        </w:rPr>
        <w:t xml:space="preserve">SER, LOT, and IUID establish identity. TR links those identities into parent-child records. LL, SH, CSI, and FC identify a condition. They do not create records on their own.</w:t>
      </w:r>
    </w:p>
    <w:p>
      <w:pPr>
        <w:spacing w:after="160" w:line="276"/>
      </w:pPr>
      <w:r>
        <w:rPr>
          <w:b/>
          <w:bCs/>
          <w:sz w:val="22"/>
          <w:szCs w:val="22"/>
        </w:rPr>
        <w:t xml:space="preserve">The governing rule is one sentence.</w:t>
      </w:r>
      <w:r>
        <w:rPr>
          <w:sz w:val="22"/>
          <w:szCs w:val="22"/>
        </w:rPr>
        <w:t xml:space="preserve"> When an item holds a serialization recording requirement or a lot/batch recording requirement, serialization and traceability records must be maintained up the product tree to the end item. Section 6.4.1 states the rule in full. It applies to every item carrying SER or LOT, whatever the requirement source.</w:t>
      </w:r>
    </w:p>
    <w:p>
      <w:pPr>
        <w:spacing w:after="160" w:line="276"/>
      </w:pPr>
      <w:r>
        <w:rPr>
          <w:sz w:val="22"/>
          <w:szCs w:val="22"/>
        </w:rPr>
        <w:t xml:space="preserve">Each requirement source is defined once, in the section for the part note code it primarily drives. Sections 6.2.1 and 6.3.1 list the sources and point to those definitions. Section 6.8 is the application matrix. Start there when you know the item and need the codes.</w:t>
      </w:r>
    </w:p>
    <w:p>
      <w:pPr>
        <w:spacing w:after="160" w:line="276"/>
      </w:pPr>
      <w:r>
        <w:rPr>
          <w:sz w:val="22"/>
          <w:szCs w:val="22"/>
        </w:rPr>
        <w:t xml:space="preserve">The Critical Part Type Register is the companion reference. It catalogs the designation types, their governing sources, and the record structure each one imposes. It carries designations that do not apply to this company, so it is broader than this section by design. Use the register to confirm which authority drives a requirement. Use this section to decide what goes on the parts list.</w:t>
      </w:r>
    </w:p>
    <w:p>
      <w:pPr>
        <w:pStyle w:val="Heading1"/>
        <w:spacing w:after="160" w:before="360"/>
      </w:pPr>
      <w:r>
        <w:rPr>
          <w:b/>
          <w:bCs/>
          <w:color w:val="000000"/>
          <w:sz w:val="26"/>
          <w:szCs w:val="26"/>
        </w:rPr>
        <w:t xml:space="preserve">6.2	Serialization Recording Required</w:t>
      </w:r>
    </w:p>
    <w:p>
      <w:pPr>
        <w:spacing w:after="160" w:line="276"/>
      </w:pPr>
      <w:r>
        <w:rPr>
          <w:sz w:val="22"/>
          <w:szCs w:val="22"/>
        </w:rPr>
        <w:t xml:space="preserve">The Serialization Recording Required part note code (SER) drives the action to record serial numbers, or to apply and record serial numbers.</w:t>
      </w:r>
    </w:p>
    <w:p>
      <w:pPr>
        <w:pStyle w:val="Heading2"/>
        <w:spacing w:after="140" w:before="300"/>
      </w:pPr>
      <w:r>
        <w:rPr>
          <w:b/>
          <w:bCs/>
          <w:color w:val="000000"/>
          <w:sz w:val="24"/>
          <w:szCs w:val="24"/>
        </w:rPr>
        <w:t xml:space="preserve">6.2.1	Sources That Drive Serialization</w:t>
      </w:r>
    </w:p>
    <w:p>
      <w:pPr>
        <w:spacing w:after="160" w:line="276"/>
      </w:pPr>
      <w:r>
        <w:rPr>
          <w:sz w:val="22"/>
          <w:szCs w:val="22"/>
        </w:rPr>
        <w:t xml:space="preserve">Numerous items have serialization recording requirements. These requirements come from different sources. Each source is defined once, in the section named below.</w:t>
      </w:r>
    </w:p>
    <w:p>
      <w:pPr>
        <w:pStyle w:val="ListParagraph"/>
        <w:numPr>
          <w:ilvl w:val="0"/>
          <w:numId w:val="2"/>
        </w:numPr>
        <w:spacing w:after="120" w:line="276"/>
      </w:pPr>
      <w:r>
        <w:rPr>
          <w:b/>
          <w:bCs/>
          <w:sz w:val="22"/>
          <w:szCs w:val="22"/>
        </w:rPr>
        <w:t xml:space="preserve">Cycle/Usage-Controlled Life-Limited Items.</w:t>
      </w:r>
      <w:r>
        <w:rPr>
          <w:sz w:val="22"/>
          <w:szCs w:val="22"/>
        </w:rPr>
        <w:t xml:space="preserve"> Remaining life is a per-unit quantity. See Section 6.6.1.</w:t>
      </w:r>
    </w:p>
    <w:p>
      <w:pPr>
        <w:pStyle w:val="ListParagraph"/>
        <w:numPr>
          <w:ilvl w:val="0"/>
          <w:numId w:val="2"/>
        </w:numPr>
        <w:spacing w:after="120" w:line="276"/>
      </w:pPr>
      <w:r>
        <w:rPr>
          <w:b/>
          <w:bCs/>
          <w:sz w:val="22"/>
          <w:szCs w:val="22"/>
        </w:rPr>
        <w:t xml:space="preserve">Airworthiness Limitation Items on a discrete part.</w:t>
      </w:r>
      <w:r>
        <w:rPr>
          <w:sz w:val="22"/>
          <w:szCs w:val="22"/>
        </w:rPr>
        <w:t xml:space="preserve"> 14 CFR 45.15(c) requires the serial number. See Section 6.2.3.</w:t>
      </w:r>
    </w:p>
    <w:p>
      <w:pPr>
        <w:pStyle w:val="ListParagraph"/>
        <w:numPr>
          <w:ilvl w:val="0"/>
          <w:numId w:val="2"/>
        </w:numPr>
        <w:spacing w:after="120" w:line="276"/>
      </w:pPr>
      <w:r>
        <w:rPr>
          <w:b/>
          <w:bCs/>
          <w:sz w:val="22"/>
          <w:szCs w:val="22"/>
        </w:rPr>
        <w:t xml:space="preserve">Safe-life Principal Structural Elements, and discrete damage-tolerant PSE parts.</w:t>
      </w:r>
      <w:r>
        <w:rPr>
          <w:sz w:val="22"/>
          <w:szCs w:val="22"/>
        </w:rPr>
        <w:t xml:space="preserve"> See Section 6.2.4.</w:t>
      </w:r>
    </w:p>
    <w:p>
      <w:pPr>
        <w:pStyle w:val="ListParagraph"/>
        <w:numPr>
          <w:ilvl w:val="0"/>
          <w:numId w:val="2"/>
        </w:numPr>
        <w:spacing w:after="120" w:line="276"/>
      </w:pPr>
      <w:r>
        <w:rPr>
          <w:b/>
          <w:bCs/>
          <w:sz w:val="22"/>
          <w:szCs w:val="22"/>
        </w:rPr>
        <w:t xml:space="preserve">Premium Selected Materials.</w:t>
      </w:r>
      <w:r>
        <w:rPr>
          <w:sz w:val="22"/>
          <w:szCs w:val="22"/>
        </w:rPr>
        <w:t xml:space="preserve"> Each test result must tie to one part instance. See Section 6.2.5.</w:t>
      </w:r>
    </w:p>
    <w:p>
      <w:pPr>
        <w:pStyle w:val="ListParagraph"/>
        <w:numPr>
          <w:ilvl w:val="0"/>
          <w:numId w:val="2"/>
        </w:numPr>
        <w:spacing w:after="120" w:line="276"/>
      </w:pPr>
      <w:r>
        <w:rPr>
          <w:b/>
          <w:bCs/>
          <w:sz w:val="22"/>
          <w:szCs w:val="22"/>
        </w:rPr>
        <w:t xml:space="preserve">Critical Safety Items.</w:t>
      </w:r>
      <w:r>
        <w:rPr>
          <w:sz w:val="22"/>
          <w:szCs w:val="22"/>
        </w:rPr>
        <w:t xml:space="preserve"> Serialization reaches them through IUID. See Section 6.7.1.</w:t>
      </w:r>
    </w:p>
    <w:p>
      <w:pPr>
        <w:pStyle w:val="ListParagraph"/>
        <w:numPr>
          <w:ilvl w:val="0"/>
          <w:numId w:val="2"/>
        </w:numPr>
        <w:spacing w:after="120" w:line="276"/>
      </w:pPr>
      <w:r>
        <w:rPr>
          <w:b/>
          <w:bCs/>
          <w:sz w:val="22"/>
          <w:szCs w:val="22"/>
        </w:rPr>
        <w:t xml:space="preserve">Fracture-Critical Traceable Parts.</w:t>
      </w:r>
      <w:r>
        <w:rPr>
          <w:sz w:val="22"/>
          <w:szCs w:val="22"/>
        </w:rPr>
        <w:t xml:space="preserve"> Serialization is named as a control in MIL-STD-1530. See Section 6.7.2.</w:t>
      </w:r>
    </w:p>
    <w:p>
      <w:pPr>
        <w:pStyle w:val="ListParagraph"/>
        <w:numPr>
          <w:ilvl w:val="0"/>
          <w:numId w:val="2"/>
        </w:numPr>
        <w:spacing w:after="120" w:line="276"/>
      </w:pPr>
      <w:r>
        <w:rPr>
          <w:b/>
          <w:bCs/>
          <w:sz w:val="22"/>
          <w:szCs w:val="22"/>
        </w:rPr>
        <w:t xml:space="preserve">DoD serially managed items and parent items.</w:t>
      </w:r>
      <w:r>
        <w:rPr>
          <w:sz w:val="22"/>
          <w:szCs w:val="22"/>
        </w:rPr>
        <w:t xml:space="preserve"> Every UII carries a serial number. See Section 6.5.</w:t>
      </w:r>
    </w:p>
    <w:p>
      <w:pPr>
        <w:pStyle w:val="ListParagraph"/>
        <w:numPr>
          <w:ilvl w:val="0"/>
          <w:numId w:val="2"/>
        </w:numPr>
        <w:spacing w:after="120" w:line="276"/>
      </w:pPr>
      <w:r>
        <w:rPr>
          <w:b/>
          <w:bCs/>
          <w:sz w:val="22"/>
          <w:szCs w:val="22"/>
        </w:rPr>
        <w:t xml:space="preserve">Every physical parent of a serialized or lot/batch recorded item.</w:t>
      </w:r>
      <w:r>
        <w:rPr>
          <w:sz w:val="22"/>
          <w:szCs w:val="22"/>
        </w:rPr>
        <w:t xml:space="preserve"> See Section 6.4.1.</w:t>
      </w:r>
    </w:p>
    <w:p>
      <w:pPr>
        <w:pStyle w:val="Heading2"/>
        <w:spacing w:after="140" w:before="300"/>
      </w:pPr>
      <w:r>
        <w:rPr>
          <w:b/>
          <w:bCs/>
          <w:color w:val="000000"/>
          <w:sz w:val="24"/>
          <w:szCs w:val="24"/>
        </w:rPr>
        <w:t xml:space="preserve">6.2.2	Applying the SER Part Note Code</w:t>
      </w:r>
    </w:p>
    <w:p>
      <w:pPr>
        <w:spacing w:after="160" w:line="276"/>
      </w:pPr>
      <w:r>
        <w:rPr>
          <w:sz w:val="22"/>
          <w:szCs w:val="22"/>
        </w:rPr>
        <w:t xml:space="preserve">For an item that holds its own serialization recording requirement, apply part note code and note text:</w:t>
      </w:r>
    </w:p>
    <w:p>
      <w:pPr>
        <w:spacing w:after="160" w:before="60" w:line="264"/>
        <w:ind w:left="504"/>
      </w:pPr>
      <w:r>
        <w:rPr>
          <w:b/>
          <w:bCs/>
          <w:sz w:val="21"/>
          <w:szCs w:val="21"/>
        </w:rPr>
        <w:t xml:space="preserve">SER – SERIALIZATION RECORDING REQUIRED. THIS ITEM IS SERIALIZED AND TRACEABILITY MUST BE MAINTAINED BETWEEN THIS ITEM AND ALL HIGHER-LEVEL PHYSICAL ITEMS UP TO THE END ITEM.</w:t>
      </w:r>
    </w:p>
    <w:p>
      <w:pPr>
        <w:spacing w:after="160" w:line="276"/>
      </w:pPr>
      <w:r>
        <w:rPr>
          <w:sz w:val="22"/>
          <w:szCs w:val="22"/>
        </w:rPr>
        <w:t xml:space="preserve">If that item also has children that hold serialization or lot/batch recording requirements, apply part note code and note text:</w:t>
      </w:r>
    </w:p>
    <w:p>
      <w:pPr>
        <w:spacing w:after="160" w:before="60" w:line="264"/>
        <w:ind w:left="504"/>
      </w:pPr>
      <w:r>
        <w:rPr>
          <w:b/>
          <w:bCs/>
          <w:sz w:val="21"/>
          <w:szCs w:val="21"/>
        </w:rPr>
        <w:t xml:space="preserve">TR – TRACEABILITY RECORDS REQUIRED.</w:t>
      </w:r>
    </w:p>
    <w:p>
      <w:pPr>
        <w:spacing w:after="160" w:line="276"/>
      </w:pPr>
      <w:r>
        <w:rPr>
          <w:sz w:val="22"/>
          <w:szCs w:val="22"/>
        </w:rPr>
        <w:t xml:space="preserve">For each physical parent that does not hold its own serialization recording requirement, apply part note codes and note texts:</w:t>
      </w:r>
    </w:p>
    <w:p>
      <w:pPr>
        <w:spacing w:after="160" w:before="60" w:line="264"/>
        <w:ind w:left="504"/>
      </w:pPr>
      <w:r>
        <w:rPr>
          <w:b/>
          <w:bCs/>
          <w:sz w:val="21"/>
          <w:szCs w:val="21"/>
        </w:rPr>
        <w:t xml:space="preserve">SER – SERIALIZATION RECORDING REQUIRED.</w:t>
      </w:r>
    </w:p>
    <w:p>
      <w:pPr>
        <w:spacing w:after="160" w:before="60" w:line="264"/>
        <w:ind w:left="504"/>
      </w:pPr>
      <w:r>
        <w:rPr>
          <w:b/>
          <w:bCs/>
          <w:sz w:val="21"/>
          <w:szCs w:val="21"/>
        </w:rPr>
        <w:t xml:space="preserve">TR – TRACEABILITY RECORDS REQUIRED.</w:t>
      </w:r>
    </w:p>
    <w:p>
      <w:pPr>
        <w:spacing w:after="160" w:line="276"/>
      </w:pPr>
      <w:r>
        <w:rPr>
          <w:sz w:val="22"/>
          <w:szCs w:val="22"/>
        </w:rPr>
        <w:t xml:space="preserve">Section 6.4.1 governs how far up the product tree these codes are applied.</w:t>
      </w:r>
    </w:p>
    <w:p>
      <w:pPr>
        <w:pStyle w:val="Heading2"/>
        <w:spacing w:after="140" w:before="300"/>
      </w:pPr>
      <w:r>
        <w:rPr>
          <w:b/>
          <w:bCs/>
          <w:color w:val="000000"/>
          <w:sz w:val="24"/>
          <w:szCs w:val="24"/>
        </w:rPr>
        <w:t xml:space="preserve">6.2.3	Airworthiness Limitation Items</w:t>
      </w:r>
    </w:p>
    <w:p>
      <w:pPr>
        <w:spacing w:after="160" w:line="276"/>
      </w:pPr>
      <w:r>
        <w:rPr>
          <w:sz w:val="22"/>
          <w:szCs w:val="22"/>
        </w:rPr>
        <w:t xml:space="preserve">An Airworthiness Limitation Item (ALI) is an item holding a mandatory replacement time, structural inspection interval, or related procedure approved as part of the type design and published in the Airworthiness Limitations Section (ALS) of the Instructions for Continued Airworthiness (ICA). 14 CFR 25.1529 requires ICA prepared in accordance with Appendix H to Part 25. Paragraph H25.4 of Appendix H establishes the content of the ALS.</w:t>
      </w:r>
    </w:p>
    <w:p>
      <w:pPr>
        <w:spacing w:after="160" w:line="276"/>
      </w:pPr>
      <w:r>
        <w:rPr>
          <w:sz w:val="22"/>
          <w:szCs w:val="22"/>
        </w:rPr>
        <w:t xml:space="preserve">14 CFR 45.15(c) requires each person who manufactures a part for which a replacement time, inspection interval, or related procedure is specified in the ALS to permanently and legibly mark that part with a serial number, or equivalent, unique to that part. Three triggers appear in that rule. A replacement time. An inspection interval. A related procedure. Any one of them requires the serial number.</w:t>
      </w:r>
    </w:p>
    <w:p>
      <w:pPr>
        <w:spacing w:after="160" w:line="276"/>
      </w:pPr>
      <w:r>
        <w:rPr>
          <w:b/>
          <w:bCs/>
          <w:sz w:val="22"/>
          <w:szCs w:val="22"/>
        </w:rPr>
        <w:t xml:space="preserve">Three questions set the codes.</w:t>
      </w:r>
      <w:r>
        <w:rPr>
          <w:sz w:val="22"/>
          <w:szCs w:val="22"/>
        </w:rPr>
        <w:t xml:space="preserve"> They are independent. Answer all three.</w:t>
      </w:r>
    </w:p>
    <w:p>
      <w:pPr>
        <w:pStyle w:val="ListParagraph"/>
        <w:numPr>
          <w:ilvl w:val="0"/>
          <w:numId w:val="2"/>
        </w:numPr>
        <w:spacing w:after="120" w:line="276"/>
      </w:pPr>
      <w:r>
        <w:rPr>
          <w:b/>
          <w:bCs/>
          <w:sz w:val="22"/>
          <w:szCs w:val="22"/>
        </w:rPr>
        <w:t xml:space="preserve">What does the ALS entry attach to?</w:t>
      </w:r>
      <w:r>
        <w:rPr>
          <w:sz w:val="22"/>
          <w:szCs w:val="22"/>
        </w:rPr>
        <w:t xml:space="preserve"> This sets the identity code. A discrete part takes SER. An airframe location or zone with no separately manufactured part takes no code.</w:t>
      </w:r>
    </w:p>
    <w:p>
      <w:pPr>
        <w:pStyle w:val="ListParagraph"/>
        <w:numPr>
          <w:ilvl w:val="0"/>
          <w:numId w:val="2"/>
        </w:numPr>
        <w:spacing w:after="120" w:line="276"/>
      </w:pPr>
      <w:r>
        <w:rPr>
          <w:b/>
          <w:bCs/>
          <w:sz w:val="22"/>
          <w:szCs w:val="22"/>
        </w:rPr>
        <w:t xml:space="preserve">Does the entry carry a mandatory replacement limit?</w:t>
      </w:r>
      <w:r>
        <w:rPr>
          <w:sz w:val="22"/>
          <w:szCs w:val="22"/>
        </w:rPr>
        <w:t xml:space="preserve"> This sets whether LL applies, and nothing else. A replacement limit adds LL. An inspection interval or a related procedure alone does not.</w:t>
      </w:r>
    </w:p>
    <w:p>
      <w:pPr>
        <w:pStyle w:val="ListParagraph"/>
        <w:numPr>
          <w:ilvl w:val="0"/>
          <w:numId w:val="2"/>
        </w:numPr>
        <w:spacing w:after="120" w:line="276"/>
      </w:pPr>
      <w:r>
        <w:rPr>
          <w:b/>
          <w:bCs/>
          <w:sz w:val="22"/>
          <w:szCs w:val="22"/>
        </w:rPr>
        <w:t xml:space="preserve">How is the replacement limit expressed?</w:t>
      </w:r>
      <w:r>
        <w:rPr>
          <w:sz w:val="22"/>
          <w:szCs w:val="22"/>
        </w:rPr>
        <w:t xml:space="preserve"> This sets which LL note text to use. It does not change the identity code. Answer this question only when the second answer is yes.</w:t>
      </w:r>
    </w:p>
    <w:p>
      <w:pPr>
        <w:spacing w:after="160" w:line="276"/>
      </w:pPr>
      <w:r>
        <w:rPr>
          <w:sz w:val="22"/>
          <w:szCs w:val="22"/>
        </w:rPr>
        <w:t xml:space="preserve">The third question is the one most often misread. A calendar-limited ALI on a discrete part is still serialized. 14 CFR 45.15(c) does not care how the limit is expressed. An oxygen cylinder with a 5 year replacement limit carries a serial number. Calendar time changes the LL note text. It does not move the part to lot/batch recording.</w:t>
      </w:r>
    </w:p>
    <w:p>
      <w:pPr>
        <w:spacing w:after="160" w:line="276"/>
      </w:pPr>
      <w:r>
        <w:rPr>
          <w:sz w:val="22"/>
          <w:szCs w:val="22"/>
        </w:rPr>
        <w:t xml:space="preserve">The combinations follow: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1500"/>
        <w:gridCol w:w="2260"/>
      </w:tblGrid>
      <w:tr>
        <w:trPr>
          <w:cantSplit/>
          <w:tblHeader/>
        </w:trPr>
        <w:tc>
          <w:tcPr>
            <w:tcW w:type="dxa" w:w="2200"/>
            <w:shd w:fill="E7E7E7" w:val="clear"/>
            <w:tcMar>
              <w:top w:type="dxa" w:w="60"/>
              <w:left w:type="dxa" w:w="90"/>
              <w:bottom w:type="dxa" w:w="60"/>
              <w:right w:type="dxa" w:w="90"/>
            </w:tcMar>
            <w:vAlign w:val="top"/>
          </w:tcPr>
          <w:p>
            <w:pPr>
              <w:spacing w:after="0" w:line="240"/>
            </w:pPr>
            <w:r>
              <w:rPr>
                <w:b/>
                <w:bCs/>
                <w:sz w:val="19"/>
                <w:szCs w:val="19"/>
              </w:rPr>
              <w:t xml:space="preserve">The ALS entry attaches to</w:t>
            </w:r>
          </w:p>
        </w:tc>
        <w:tc>
          <w:tcPr>
            <w:tcW w:type="dxa" w:w="3400"/>
            <w:shd w:fill="E7E7E7" w:val="clear"/>
            <w:tcMar>
              <w:top w:type="dxa" w:w="60"/>
              <w:left w:type="dxa" w:w="90"/>
              <w:bottom w:type="dxa" w:w="60"/>
              <w:right w:type="dxa" w:w="90"/>
            </w:tcMar>
            <w:vAlign w:val="top"/>
          </w:tcPr>
          <w:p>
            <w:pPr>
              <w:spacing w:after="0" w:line="240"/>
            </w:pPr>
            <w:r>
              <w:rPr>
                <w:b/>
                <w:bCs/>
                <w:sz w:val="19"/>
                <w:szCs w:val="19"/>
              </w:rPr>
              <w:t xml:space="preserve">The entry carries</w:t>
            </w:r>
          </w:p>
        </w:tc>
        <w:tc>
          <w:tcPr>
            <w:tcW w:type="dxa" w:w="1500"/>
            <w:shd w:fill="E7E7E7" w:val="clear"/>
            <w:tcMar>
              <w:top w:type="dxa" w:w="60"/>
              <w:left w:type="dxa" w:w="90"/>
              <w:bottom w:type="dxa" w:w="60"/>
              <w:right w:type="dxa" w:w="90"/>
            </w:tcMar>
            <w:vAlign w:val="top"/>
          </w:tcPr>
          <w:p>
            <w:pPr>
              <w:spacing w:after="0" w:line="240"/>
            </w:pPr>
            <w:r>
              <w:rPr>
                <w:b/>
                <w:bCs/>
                <w:sz w:val="19"/>
                <w:szCs w:val="19"/>
              </w:rPr>
              <w:t xml:space="preserve">Codes</w:t>
            </w:r>
          </w:p>
        </w:tc>
        <w:tc>
          <w:tcPr>
            <w:tcW w:type="dxa" w:w="2260"/>
            <w:shd w:fill="E7E7E7" w:val="clear"/>
            <w:tcMar>
              <w:top w:type="dxa" w:w="60"/>
              <w:left w:type="dxa" w:w="90"/>
              <w:bottom w:type="dxa" w:w="60"/>
              <w:right w:type="dxa" w:w="90"/>
            </w:tcMar>
            <w:vAlign w:val="top"/>
          </w:tcPr>
          <w:p>
            <w:pPr>
              <w:spacing w:after="0" w:line="240"/>
            </w:pPr>
            <w:r>
              <w:rPr>
                <w:b/>
                <w:bCs/>
                <w:sz w:val="19"/>
                <w:szCs w:val="19"/>
              </w:rPr>
              <w:t xml:space="preserve">LL note text</w:t>
            </w:r>
          </w:p>
        </w:tc>
      </w:tr>
      <w:tr>
        <w:trPr>
          <w:cantSplit/>
        </w:trPr>
        <w:tc>
          <w:tcPr>
            <w:tcW w:type="dxa" w:w="2200"/>
            <w:tcMar>
              <w:top w:type="dxa" w:w="60"/>
              <w:left w:type="dxa" w:w="90"/>
              <w:bottom w:type="dxa" w:w="60"/>
              <w:right w:type="dxa" w:w="90"/>
            </w:tcMar>
            <w:vAlign w:val="top"/>
          </w:tcPr>
          <w:p>
            <w:pPr>
              <w:spacing w:after="0" w:line="240"/>
            </w:pPr>
            <w:r>
              <w:rPr>
                <w:b w:val="false"/>
                <w:bCs w:val="false"/>
                <w:sz w:val="19"/>
                <w:szCs w:val="19"/>
              </w:rPr>
              <w:t xml:space="preserve">A discrete part</w:t>
            </w:r>
          </w:p>
        </w:tc>
        <w:tc>
          <w:tcPr>
            <w:tcW w:type="dxa" w:w="3400"/>
            <w:tcMar>
              <w:top w:type="dxa" w:w="60"/>
              <w:left w:type="dxa" w:w="90"/>
              <w:bottom w:type="dxa" w:w="60"/>
              <w:right w:type="dxa" w:w="90"/>
            </w:tcMar>
            <w:vAlign w:val="top"/>
          </w:tcPr>
          <w:p>
            <w:pPr>
              <w:spacing w:after="0" w:line="240"/>
            </w:pPr>
            <w:r>
              <w:rPr>
                <w:b w:val="false"/>
                <w:bCs w:val="false"/>
                <w:sz w:val="19"/>
                <w:szCs w:val="19"/>
              </w:rPr>
              <w:t xml:space="preserve">A mandatory replacement limit in cycles, landings, or flight hours</w:t>
            </w:r>
          </w:p>
        </w:tc>
        <w:tc>
          <w:tcPr>
            <w:tcW w:type="dxa" w:w="1500"/>
            <w:tcMar>
              <w:top w:type="dxa" w:w="60"/>
              <w:left w:type="dxa" w:w="90"/>
              <w:bottom w:type="dxa" w:w="60"/>
              <w:right w:type="dxa" w:w="90"/>
            </w:tcMar>
            <w:vAlign w:val="top"/>
          </w:tcPr>
          <w:p>
            <w:pPr>
              <w:spacing w:after="0" w:line="240"/>
            </w:pPr>
            <w:r>
              <w:rPr>
                <w:b w:val="false"/>
                <w:bCs w:val="false"/>
                <w:sz w:val="19"/>
                <w:szCs w:val="19"/>
              </w:rPr>
              <w:t xml:space="preserve">SER, LL</w:t>
            </w:r>
          </w:p>
        </w:tc>
        <w:tc>
          <w:tcPr>
            <w:tcW w:type="dxa" w:w="2260"/>
            <w:tcMar>
              <w:top w:type="dxa" w:w="60"/>
              <w:left w:type="dxa" w:w="90"/>
              <w:bottom w:type="dxa" w:w="60"/>
              <w:right w:type="dxa" w:w="90"/>
            </w:tcMar>
            <w:vAlign w:val="top"/>
          </w:tcPr>
          <w:p>
            <w:pPr>
              <w:spacing w:after="0" w:line="240"/>
            </w:pPr>
            <w:r>
              <w:rPr>
                <w:b w:val="false"/>
                <w:bCs w:val="false"/>
                <w:sz w:val="19"/>
                <w:szCs w:val="19"/>
              </w:rPr>
              <w:t xml:space="preserve">Cycle/usage</w:t>
            </w:r>
          </w:p>
        </w:tc>
      </w:tr>
      <w:tr>
        <w:trPr>
          <w:cantSplit/>
        </w:trPr>
        <w:tc>
          <w:tcPr>
            <w:tcW w:type="dxa" w:w="2200"/>
            <w:tcMar>
              <w:top w:type="dxa" w:w="60"/>
              <w:left w:type="dxa" w:w="90"/>
              <w:bottom w:type="dxa" w:w="60"/>
              <w:right w:type="dxa" w:w="90"/>
            </w:tcMar>
            <w:vAlign w:val="top"/>
          </w:tcPr>
          <w:p>
            <w:pPr>
              <w:spacing w:after="0" w:line="240"/>
            </w:pPr>
            <w:r>
              <w:rPr>
                <w:b w:val="false"/>
                <w:bCs w:val="false"/>
                <w:sz w:val="19"/>
                <w:szCs w:val="19"/>
              </w:rPr>
              <w:t xml:space="preserve">A discrete part</w:t>
            </w:r>
          </w:p>
        </w:tc>
        <w:tc>
          <w:tcPr>
            <w:tcW w:type="dxa" w:w="3400"/>
            <w:tcMar>
              <w:top w:type="dxa" w:w="60"/>
              <w:left w:type="dxa" w:w="90"/>
              <w:bottom w:type="dxa" w:w="60"/>
              <w:right w:type="dxa" w:w="90"/>
            </w:tcMar>
            <w:vAlign w:val="top"/>
          </w:tcPr>
          <w:p>
            <w:pPr>
              <w:spacing w:after="0" w:line="240"/>
            </w:pPr>
            <w:r>
              <w:rPr>
                <w:b w:val="false"/>
                <w:bCs w:val="false"/>
                <w:sz w:val="19"/>
                <w:szCs w:val="19"/>
              </w:rPr>
              <w:t xml:space="preserve">A mandatory replacement limit in calendar time</w:t>
            </w:r>
          </w:p>
        </w:tc>
        <w:tc>
          <w:tcPr>
            <w:tcW w:type="dxa" w:w="1500"/>
            <w:tcMar>
              <w:top w:type="dxa" w:w="60"/>
              <w:left w:type="dxa" w:w="90"/>
              <w:bottom w:type="dxa" w:w="60"/>
              <w:right w:type="dxa" w:w="90"/>
            </w:tcMar>
            <w:vAlign w:val="top"/>
          </w:tcPr>
          <w:p>
            <w:pPr>
              <w:spacing w:after="0" w:line="240"/>
            </w:pPr>
            <w:r>
              <w:rPr>
                <w:b w:val="false"/>
                <w:bCs w:val="false"/>
                <w:sz w:val="19"/>
                <w:szCs w:val="19"/>
              </w:rPr>
              <w:t xml:space="preserve">SER, LL</w:t>
            </w:r>
          </w:p>
        </w:tc>
        <w:tc>
          <w:tcPr>
            <w:tcW w:type="dxa" w:w="2260"/>
            <w:tcMar>
              <w:top w:type="dxa" w:w="60"/>
              <w:left w:type="dxa" w:w="90"/>
              <w:bottom w:type="dxa" w:w="60"/>
              <w:right w:type="dxa" w:w="90"/>
            </w:tcMar>
            <w:vAlign w:val="top"/>
          </w:tcPr>
          <w:p>
            <w:pPr>
              <w:spacing w:after="0" w:line="240"/>
            </w:pPr>
            <w:r>
              <w:rPr>
                <w:b w:val="false"/>
                <w:bCs w:val="false"/>
                <w:sz w:val="19"/>
                <w:szCs w:val="19"/>
              </w:rPr>
              <w:t xml:space="preserve">Age and shelf-life</w:t>
            </w:r>
          </w:p>
        </w:tc>
      </w:tr>
      <w:tr>
        <w:trPr>
          <w:cantSplit/>
        </w:trPr>
        <w:tc>
          <w:tcPr>
            <w:tcW w:type="dxa" w:w="2200"/>
            <w:tcMar>
              <w:top w:type="dxa" w:w="60"/>
              <w:left w:type="dxa" w:w="90"/>
              <w:bottom w:type="dxa" w:w="60"/>
              <w:right w:type="dxa" w:w="90"/>
            </w:tcMar>
            <w:vAlign w:val="top"/>
          </w:tcPr>
          <w:p>
            <w:pPr>
              <w:spacing w:after="0" w:line="240"/>
            </w:pPr>
            <w:r>
              <w:rPr>
                <w:b w:val="false"/>
                <w:bCs w:val="false"/>
                <w:sz w:val="19"/>
                <w:szCs w:val="19"/>
              </w:rPr>
              <w:t xml:space="preserve">A discrete part</w:t>
            </w:r>
          </w:p>
        </w:tc>
        <w:tc>
          <w:tcPr>
            <w:tcW w:type="dxa" w:w="3400"/>
            <w:tcMar>
              <w:top w:type="dxa" w:w="60"/>
              <w:left w:type="dxa" w:w="90"/>
              <w:bottom w:type="dxa" w:w="60"/>
              <w:right w:type="dxa" w:w="90"/>
            </w:tcMar>
            <w:vAlign w:val="top"/>
          </w:tcPr>
          <w:p>
            <w:pPr>
              <w:spacing w:after="0" w:line="240"/>
            </w:pPr>
            <w:r>
              <w:rPr>
                <w:b w:val="false"/>
                <w:bCs w:val="false"/>
                <w:sz w:val="19"/>
                <w:szCs w:val="19"/>
              </w:rPr>
              <w:t xml:space="preserve">An inspection interval or a related procedure only</w:t>
            </w:r>
          </w:p>
        </w:tc>
        <w:tc>
          <w:tcPr>
            <w:tcW w:type="dxa" w:w="150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260"/>
            <w:tcMar>
              <w:top w:type="dxa" w:w="60"/>
              <w:left w:type="dxa" w:w="90"/>
              <w:bottom w:type="dxa" w:w="60"/>
              <w:right w:type="dxa" w:w="90"/>
            </w:tcMar>
            <w:vAlign w:val="top"/>
          </w:tcPr>
          <w:p>
            <w:pPr>
              <w:spacing w:after="0" w:line="240"/>
            </w:pPr>
            <w:r>
              <w:rPr>
                <w:b w:val="false"/>
                <w:bCs w:val="false"/>
                <w:sz w:val="19"/>
                <w:szCs w:val="19"/>
              </w:rPr>
              <w:t xml:space="preserve">None</w:t>
            </w:r>
          </w:p>
        </w:tc>
      </w:tr>
      <w:tr>
        <w:trPr>
          <w:cantSplit/>
        </w:trPr>
        <w:tc>
          <w:tcPr>
            <w:tcW w:type="dxa" w:w="2200"/>
            <w:tcMar>
              <w:top w:type="dxa" w:w="60"/>
              <w:left w:type="dxa" w:w="90"/>
              <w:bottom w:type="dxa" w:w="60"/>
              <w:right w:type="dxa" w:w="90"/>
            </w:tcMar>
            <w:vAlign w:val="top"/>
          </w:tcPr>
          <w:p>
            <w:pPr>
              <w:spacing w:after="0" w:line="240"/>
            </w:pPr>
            <w:r>
              <w:rPr>
                <w:b w:val="false"/>
                <w:bCs w:val="false"/>
                <w:sz w:val="19"/>
                <w:szCs w:val="19"/>
              </w:rPr>
              <w:t xml:space="preserve">An airframe location or zone, with no separately manufactured part</w:t>
            </w:r>
          </w:p>
        </w:tc>
        <w:tc>
          <w:tcPr>
            <w:tcW w:type="dxa" w:w="3400"/>
            <w:tcMar>
              <w:top w:type="dxa" w:w="60"/>
              <w:left w:type="dxa" w:w="90"/>
              <w:bottom w:type="dxa" w:w="60"/>
              <w:right w:type="dxa" w:w="90"/>
            </w:tcMar>
            <w:vAlign w:val="top"/>
          </w:tcPr>
          <w:p>
            <w:pPr>
              <w:spacing w:after="0" w:line="240"/>
            </w:pPr>
            <w:r>
              <w:rPr>
                <w:b w:val="false"/>
                <w:bCs w:val="false"/>
                <w:sz w:val="19"/>
                <w:szCs w:val="19"/>
              </w:rPr>
              <w:t xml:space="preserve">Any of the three triggers</w:t>
            </w:r>
          </w:p>
        </w:tc>
        <w:tc>
          <w:tcPr>
            <w:tcW w:type="dxa" w:w="1500"/>
            <w:tcMar>
              <w:top w:type="dxa" w:w="60"/>
              <w:left w:type="dxa" w:w="90"/>
              <w:bottom w:type="dxa" w:w="60"/>
              <w:right w:type="dxa" w:w="90"/>
            </w:tcMar>
            <w:vAlign w:val="top"/>
          </w:tcPr>
          <w:p>
            <w:pPr>
              <w:spacing w:after="0" w:line="240"/>
            </w:pPr>
            <w:r>
              <w:rPr>
                <w:b w:val="false"/>
                <w:bCs w:val="false"/>
                <w:sz w:val="19"/>
                <w:szCs w:val="19"/>
              </w:rPr>
              <w:t xml:space="preserve">None</w:t>
            </w:r>
          </w:p>
        </w:tc>
        <w:tc>
          <w:tcPr>
            <w:tcW w:type="dxa" w:w="2260"/>
            <w:tcMar>
              <w:top w:type="dxa" w:w="60"/>
              <w:left w:type="dxa" w:w="90"/>
              <w:bottom w:type="dxa" w:w="60"/>
              <w:right w:type="dxa" w:w="90"/>
            </w:tcMar>
            <w:vAlign w:val="top"/>
          </w:tcPr>
          <w:p>
            <w:pPr>
              <w:spacing w:after="0" w:line="240"/>
            </w:pPr>
            <w:r>
              <w:rPr>
                <w:b w:val="false"/>
                <w:bCs w:val="false"/>
                <w:sz w:val="19"/>
                <w:szCs w:val="19"/>
              </w:rPr>
              <w:t xml:space="preserve">None</w:t>
            </w:r>
          </w:p>
        </w:tc>
      </w:tr>
      <w:tr>
        <w:trPr>
          <w:cantSplit/>
        </w:trPr>
        <w:tc>
          <w:tcPr>
            <w:tcW w:type="dxa" w:w="2200"/>
            <w:tcMar>
              <w:top w:type="dxa" w:w="60"/>
              <w:left w:type="dxa" w:w="90"/>
              <w:bottom w:type="dxa" w:w="60"/>
              <w:right w:type="dxa" w:w="90"/>
            </w:tcMar>
            <w:vAlign w:val="top"/>
          </w:tcPr>
          <w:p>
            <w:pPr>
              <w:spacing w:after="0" w:line="240"/>
            </w:pPr>
            <w:r>
              <w:rPr>
                <w:b w:val="false"/>
                <w:bCs w:val="false"/>
                <w:sz w:val="19"/>
                <w:szCs w:val="19"/>
              </w:rPr>
              <w:t xml:space="preserve">A manufactured lot/batch of material, not a discrete part</w:t>
            </w:r>
          </w:p>
        </w:tc>
        <w:tc>
          <w:tcPr>
            <w:tcW w:type="dxa" w:w="3400"/>
            <w:tcMar>
              <w:top w:type="dxa" w:w="60"/>
              <w:left w:type="dxa" w:w="90"/>
              <w:bottom w:type="dxa" w:w="60"/>
              <w:right w:type="dxa" w:w="90"/>
            </w:tcMar>
            <w:vAlign w:val="top"/>
          </w:tcPr>
          <w:p>
            <w:pPr>
              <w:spacing w:after="0" w:line="240"/>
            </w:pPr>
            <w:r>
              <w:rPr>
                <w:b w:val="false"/>
                <w:bCs w:val="false"/>
                <w:sz w:val="19"/>
                <w:szCs w:val="19"/>
              </w:rPr>
              <w:t xml:space="preserve">A mandatory replacement limit (uncommon)</w:t>
            </w:r>
          </w:p>
        </w:tc>
        <w:tc>
          <w:tcPr>
            <w:tcW w:type="dxa" w:w="1500"/>
            <w:tcMar>
              <w:top w:type="dxa" w:w="60"/>
              <w:left w:type="dxa" w:w="90"/>
              <w:bottom w:type="dxa" w:w="60"/>
              <w:right w:type="dxa" w:w="90"/>
            </w:tcMar>
            <w:vAlign w:val="top"/>
          </w:tcPr>
          <w:p>
            <w:pPr>
              <w:spacing w:after="0" w:line="240"/>
            </w:pPr>
            <w:r>
              <w:rPr>
                <w:b w:val="false"/>
                <w:bCs w:val="false"/>
                <w:sz w:val="19"/>
                <w:szCs w:val="19"/>
              </w:rPr>
              <w:t xml:space="preserve">LOT, LL</w:t>
            </w:r>
          </w:p>
        </w:tc>
        <w:tc>
          <w:tcPr>
            <w:tcW w:type="dxa" w:w="2260"/>
            <w:tcMar>
              <w:top w:type="dxa" w:w="60"/>
              <w:left w:type="dxa" w:w="90"/>
              <w:bottom w:type="dxa" w:w="60"/>
              <w:right w:type="dxa" w:w="90"/>
            </w:tcMar>
            <w:vAlign w:val="top"/>
          </w:tcPr>
          <w:p>
            <w:pPr>
              <w:spacing w:after="0" w:line="240"/>
            </w:pPr>
            <w:r>
              <w:rPr>
                <w:b w:val="false"/>
                <w:bCs w:val="false"/>
                <w:sz w:val="19"/>
                <w:szCs w:val="19"/>
              </w:rPr>
              <w:t xml:space="preserve">Per the limit expressed</w:t>
            </w:r>
          </w:p>
        </w:tc>
      </w:tr>
    </w:tbl>
    <w:p>
      <w:pPr>
        <w:spacing w:after="200"/>
      </w:pPr>
    </w:p>
    <w:p>
      <w:pPr>
        <w:spacing w:after="160" w:line="276"/>
      </w:pPr>
      <w:r>
        <w:rPr>
          <w:sz w:val="22"/>
          <w:szCs w:val="22"/>
        </w:rPr>
        <w:t xml:space="preserve">A part often carries both a replacement limit and an inspection interval. Inspect every 5,000 cycles, replace at 30,000 cycles, for example. Use the row for the replacement limit. The inspection interval adds no code of its own.</w:t>
      </w:r>
    </w:p>
    <w:p>
      <w:pPr>
        <w:spacing w:after="160" w:line="276"/>
      </w:pPr>
      <w:r>
        <w:rPr>
          <w:sz w:val="22"/>
          <w:szCs w:val="22"/>
        </w:rPr>
        <w:t xml:space="preserve">Some ALI parts are too small to mark. When the FAA finds a part too small or otherwise impractical to mark, 14 CFR 45.15(d) requires the manufacturer to attach the required information to the part or its container. The part still carries a unique serial number. Lot/batch recording does not replace that serial number.</w:t>
      </w:r>
    </w:p>
    <w:p>
      <w:pPr>
        <w:spacing w:after="160" w:line="276"/>
      </w:pPr>
      <w:r>
        <w:rPr>
          <w:sz w:val="22"/>
          <w:szCs w:val="22"/>
        </w:rPr>
        <w:t xml:space="preserve">An ALI part may also be a Critical Safety Item, a Fracture-Critical Traceable Part, or a premium selected material part. The codes stack. Apply every code that each source drives.</w:t>
      </w:r>
    </w:p>
    <w:p>
      <w:pPr>
        <w:spacing w:after="160" w:line="276"/>
      </w:pPr>
      <w:r>
        <w:rPr>
          <w:sz w:val="22"/>
          <w:szCs w:val="22"/>
        </w:rPr>
        <w:t xml:space="preserve">The last row is uncommon. An ALS limitation is normally expressed against a part, because an ALS entry lists a part number, a limit, and a task. It can be expressed against a manufactured lot/batch instead. The Critical Part Type Register records that case at C12 and notes that it is uncommon for ALIs. Where it occurs, the material takes LOT and LL rather than SER.</w:t>
      </w:r>
    </w:p>
    <w:p>
      <w:pPr>
        <w:spacing w:after="160" w:line="276"/>
      </w:pPr>
      <w:r>
        <w:rPr>
          <w:sz w:val="22"/>
          <w:szCs w:val="22"/>
        </w:rPr>
        <w:t xml:space="preserve">Do not confuse that case with shelf life. Shelf life and cure date limits also attach to lots, but they live in the maintenance manual or the material specification rather than in the ALS. Airworthiness limitations and shelf life are separate regimes. See Section 6.6.</w:t>
      </w:r>
    </w:p>
    <w:p>
      <w:pPr>
        <w:pBdr>
          <w:left w:val="single" w:color="808080" w:sz="12" w:space="8"/>
        </w:pBdr>
        <w:spacing w:after="200" w:before="60" w:line="264"/>
        <w:ind w:left="504"/>
      </w:pPr>
      <w:r>
        <w:rPr>
          <w:i/>
          <w:iCs/>
          <w:sz w:val="21"/>
          <w:szCs w:val="21"/>
        </w:rPr>
        <w:t xml:space="preserve">Codes: SER for any ALS entry on a discrete part. Add LL when the entry carries a mandatory replacement limit. LOT and LL for the uncommon case of a limitation expressed against a manufactured lot/batch. Serialization and traceability records must then be maintained up the product tree to the end item, per Section 6.4.1.</w:t>
      </w:r>
    </w:p>
    <w:p>
      <w:pPr>
        <w:pStyle w:val="Heading2"/>
        <w:spacing w:after="140" w:before="300"/>
      </w:pPr>
      <w:r>
        <w:rPr>
          <w:b/>
          <w:bCs/>
          <w:color w:val="000000"/>
          <w:sz w:val="24"/>
          <w:szCs w:val="24"/>
        </w:rPr>
        <w:t xml:space="preserve">6.2.4	Principal Structural Elements</w:t>
      </w:r>
    </w:p>
    <w:p>
      <w:pPr>
        <w:spacing w:after="160" w:line="276"/>
      </w:pPr>
      <w:r>
        <w:rPr>
          <w:sz w:val="22"/>
          <w:szCs w:val="22"/>
        </w:rPr>
        <w:t xml:space="preserve">A Safe-Life Principal Structural Element (PSE) is a PSE for which the applicant establishes that compliance with the damage-tolerance requirements is impractical. Under 14 CFR 25.571(c), that structure must instead be shown by analysis supported by test evidence to withstand the repeated loads of variable magnitude expected during its service life without detectable cracks. The resulting safe-life limit is published as an ALS mandatory replacement time in flight cycles or flight hours.</w:t>
      </w:r>
    </w:p>
    <w:p>
      <w:pPr>
        <w:spacing w:after="160" w:line="276"/>
      </w:pPr>
      <w:r>
        <w:rPr>
          <w:sz w:val="22"/>
          <w:szCs w:val="22"/>
        </w:rPr>
        <w:t xml:space="preserve">A safe-life PSE is a Cycle/Usage-Controlled Life-Limited Item under 14 CFR 43.10. Serialization recording is required for a safe-life PSE that is a discrete part with an ALS mandatory replacement time, per 14 CFR 45.15(c).</w:t>
      </w:r>
    </w:p>
    <w:p>
      <w:pPr>
        <w:spacing w:after="160" w:line="276"/>
      </w:pPr>
      <w:r>
        <w:rPr>
          <w:sz w:val="22"/>
          <w:szCs w:val="22"/>
        </w:rPr>
        <w:t xml:space="preserve">Do not confuse a safe-life replacement time with the Limit of Validity (LOV). The LOV bounds the engineering data that supports the airplane’s structural maintenance program. It applies to the airplane. It is not a part replacement time.</w:t>
      </w:r>
    </w:p>
    <w:p>
      <w:pPr>
        <w:spacing w:after="160" w:line="276"/>
      </w:pPr>
      <w:r>
        <w:rPr>
          <w:sz w:val="22"/>
          <w:szCs w:val="22"/>
        </w:rPr>
        <w:t xml:space="preserve">Lot/batch recording applies to the raw material heat and lot of the safe-life PSE part’s underlying detail parts. It does not apply to the safe-life PSE part itself.</w:t>
      </w:r>
    </w:p>
    <w:p>
      <w:pPr>
        <w:spacing w:after="160" w:line="276"/>
      </w:pPr>
      <w:r>
        <w:rPr>
          <w:sz w:val="22"/>
          <w:szCs w:val="22"/>
        </w:rPr>
        <w:t xml:space="preserve">PSE constituent materials that are too small to serialize are age and shelf-life limited before installation. These include composite resins, structural adhesives, and prepregs. They are lot/batch recorded. Once installed, they inherit the cycle and usage life of their higher-level assembly.</w:t>
      </w:r>
    </w:p>
    <w:p>
      <w:pPr>
        <w:spacing w:after="160" w:line="276"/>
      </w:pPr>
      <w:r>
        <w:rPr>
          <w:sz w:val="22"/>
          <w:szCs w:val="22"/>
        </w:rPr>
        <w:t xml:space="preserve">A damage-tolerant PSE is treated two ways. A damage-tolerant PSE whose ALS entry is a structural inspection at an airframe location with no separately manufactured part does not require serialization. Such PSEs are tracked by airplane and structural location. A damage-tolerant PSE that is a discrete, separately manufactured part with an ALS inspection interval does require serialization, per 14 CFR 45.15(c).</w:t>
      </w:r>
    </w:p>
    <w:p>
      <w:pPr>
        <w:pBdr>
          <w:left w:val="single" w:color="808080" w:sz="12" w:space="8"/>
        </w:pBdr>
        <w:spacing w:after="200" w:before="60" w:line="264"/>
        <w:ind w:left="504"/>
      </w:pPr>
      <w:r>
        <w:rPr>
          <w:i/>
          <w:iCs/>
          <w:sz w:val="21"/>
          <w:szCs w:val="21"/>
        </w:rPr>
        <w:t xml:space="preserve">Codes: LL and SER for a safe-life PSE. LOT for its detail parts and constituent materials. SER for a discrete damage-tolerant PSE part. No code for a location-based damage-tolerant PSE inspection. Serialization and traceability records must then be maintained up the product tree to the end item, per Section 6.4.1.</w:t>
      </w:r>
    </w:p>
    <w:p>
      <w:pPr>
        <w:pStyle w:val="Heading2"/>
        <w:spacing w:after="140" w:before="300"/>
      </w:pPr>
      <w:r>
        <w:rPr>
          <w:b/>
          <w:bCs/>
          <w:color w:val="000000"/>
          <w:sz w:val="24"/>
          <w:szCs w:val="24"/>
        </w:rPr>
        <w:t xml:space="preserve">6.2.5	Premium Selected Materials and Elevated Design Values</w:t>
      </w:r>
    </w:p>
    <w:p>
      <w:pPr>
        <w:spacing w:after="160" w:line="276"/>
      </w:pPr>
      <w:r>
        <w:rPr>
          <w:sz w:val="22"/>
          <w:szCs w:val="22"/>
        </w:rPr>
        <w:t xml:space="preserve">Premium selection is the condition on which greater material design values may be used. Under 14 CFR 25.613(e), greater material design values may be used “if a ‘premium selection’ of the material is made in which a specimen of each individual item is tested before use to determine that the actual strength properties of that particular item will equal or exceed those used in design.”</w:t>
      </w:r>
    </w:p>
    <w:p>
      <w:pPr>
        <w:spacing w:after="160" w:line="276"/>
      </w:pPr>
      <w:r>
        <w:rPr>
          <w:sz w:val="22"/>
          <w:szCs w:val="22"/>
        </w:rPr>
        <w:t xml:space="preserve">Serialization is required in practice. Neither 14 CFR 25.613(e) nor AC 25.613-1 names serialization. Each test result must still tie to one part instance, from specimen through acceptance to installation. Each part instance therefore requires a distinctive product-unit identifier. 14 CFR 45.15(c) marking also applies if the part carries an ALS entry.</w:t>
      </w:r>
    </w:p>
    <w:p>
      <w:pPr>
        <w:spacing w:after="160" w:line="276"/>
      </w:pPr>
      <w:r>
        <w:rPr>
          <w:sz w:val="22"/>
          <w:szCs w:val="22"/>
        </w:rPr>
        <w:t xml:space="preserve">Lot/batch recording captures heat and lot traceability and a record that correlates each specimen to its part.</w:t>
      </w:r>
    </w:p>
    <w:p>
      <w:pPr>
        <w:pBdr>
          <w:left w:val="single" w:color="808080" w:sz="12" w:space="8"/>
        </w:pBdr>
        <w:spacing w:after="200" w:before="60" w:line="264"/>
        <w:ind w:left="504"/>
      </w:pPr>
      <w:r>
        <w:rPr>
          <w:i/>
          <w:iCs/>
          <w:sz w:val="21"/>
          <w:szCs w:val="21"/>
        </w:rPr>
        <w:t xml:space="preserve">Codes: SER and LOT. Serialization and traceability records must then be maintained up the product tree to the end item, per Section 6.4.1.</w:t>
      </w:r>
    </w:p>
    <w:p>
      <w:pPr>
        <w:pStyle w:val="Heading1"/>
        <w:spacing w:after="160" w:before="360"/>
      </w:pPr>
      <w:r>
        <w:rPr>
          <w:b/>
          <w:bCs/>
          <w:color w:val="000000"/>
          <w:sz w:val="26"/>
          <w:szCs w:val="26"/>
        </w:rPr>
        <w:t xml:space="preserve">6.3	Lot/Batch Recording Required</w:t>
      </w:r>
    </w:p>
    <w:p>
      <w:pPr>
        <w:spacing w:after="160" w:line="276"/>
      </w:pPr>
      <w:r>
        <w:rPr>
          <w:sz w:val="22"/>
          <w:szCs w:val="22"/>
        </w:rPr>
        <w:t xml:space="preserve">The Lot/Batch Recording Required part note code (LOT) drives the action to record lot/batch numbers, or to apply and record lot/batch numbers.</w:t>
      </w:r>
    </w:p>
    <w:p>
      <w:pPr>
        <w:pStyle w:val="Heading2"/>
        <w:spacing w:after="140" w:before="300"/>
      </w:pPr>
      <w:r>
        <w:rPr>
          <w:b/>
          <w:bCs/>
          <w:color w:val="000000"/>
          <w:sz w:val="24"/>
          <w:szCs w:val="24"/>
        </w:rPr>
        <w:t xml:space="preserve">6.3.1	Sources That Drive Lot/Batch Recording</w:t>
      </w:r>
    </w:p>
    <w:p>
      <w:pPr>
        <w:spacing w:after="160" w:line="276"/>
      </w:pPr>
      <w:r>
        <w:rPr>
          <w:sz w:val="22"/>
          <w:szCs w:val="22"/>
        </w:rPr>
        <w:t xml:space="preserve">Numerous items have lot/batch recording requirements. These requirements come from different sources. Each source is defined once, in the section named below.</w:t>
      </w:r>
    </w:p>
    <w:p>
      <w:pPr>
        <w:pStyle w:val="ListParagraph"/>
        <w:numPr>
          <w:ilvl w:val="0"/>
          <w:numId w:val="2"/>
        </w:numPr>
        <w:spacing w:after="120" w:line="276"/>
      </w:pPr>
      <w:r>
        <w:rPr>
          <w:b/>
          <w:bCs/>
          <w:sz w:val="22"/>
          <w:szCs w:val="22"/>
        </w:rPr>
        <w:t xml:space="preserve">Age/Shelf-Life-Controlled Life-Limited Items.</w:t>
      </w:r>
      <w:r>
        <w:rPr>
          <w:sz w:val="22"/>
          <w:szCs w:val="22"/>
        </w:rPr>
        <w:t xml:space="preserve"> The limit attaches to the manufacturing lot/batch. See Section 6.6.2.</w:t>
      </w:r>
    </w:p>
    <w:p>
      <w:pPr>
        <w:pStyle w:val="ListParagraph"/>
        <w:numPr>
          <w:ilvl w:val="0"/>
          <w:numId w:val="2"/>
        </w:numPr>
        <w:spacing w:after="120" w:line="276"/>
      </w:pPr>
      <w:r>
        <w:rPr>
          <w:b/>
          <w:bCs/>
          <w:sz w:val="22"/>
          <w:szCs w:val="22"/>
        </w:rPr>
        <w:t xml:space="preserve">Airworthiness Limitation Items expressed against a manufactured lot/batch.</w:t>
      </w:r>
      <w:r>
        <w:rPr>
          <w:sz w:val="22"/>
          <w:szCs w:val="22"/>
        </w:rPr>
        <w:t xml:space="preserve"> Uncommon. See Section 6.2.3.</w:t>
      </w:r>
    </w:p>
    <w:p>
      <w:pPr>
        <w:pStyle w:val="ListParagraph"/>
        <w:numPr>
          <w:ilvl w:val="0"/>
          <w:numId w:val="2"/>
        </w:numPr>
        <w:spacing w:after="120" w:line="276"/>
      </w:pPr>
      <w:r>
        <w:rPr>
          <w:b/>
          <w:bCs/>
          <w:sz w:val="22"/>
          <w:szCs w:val="22"/>
        </w:rPr>
        <w:t xml:space="preserve">Safe-life PSE detail parts and constituent materials.</w:t>
      </w:r>
      <w:r>
        <w:rPr>
          <w:sz w:val="22"/>
          <w:szCs w:val="22"/>
        </w:rPr>
        <w:t xml:space="preserve"> See Section 6.2.4.</w:t>
      </w:r>
    </w:p>
    <w:p>
      <w:pPr>
        <w:pStyle w:val="ListParagraph"/>
        <w:numPr>
          <w:ilvl w:val="0"/>
          <w:numId w:val="2"/>
        </w:numPr>
        <w:spacing w:after="120" w:line="276"/>
      </w:pPr>
      <w:r>
        <w:rPr>
          <w:b/>
          <w:bCs/>
          <w:sz w:val="22"/>
          <w:szCs w:val="22"/>
        </w:rPr>
        <w:t xml:space="preserve">Premium Selected Materials.</w:t>
      </w:r>
      <w:r>
        <w:rPr>
          <w:sz w:val="22"/>
          <w:szCs w:val="22"/>
        </w:rPr>
        <w:t xml:space="preserve"> See Section 6.2.5.</w:t>
      </w:r>
    </w:p>
    <w:p>
      <w:pPr>
        <w:pStyle w:val="ListParagraph"/>
        <w:numPr>
          <w:ilvl w:val="0"/>
          <w:numId w:val="2"/>
        </w:numPr>
        <w:spacing w:after="120" w:line="276"/>
      </w:pPr>
      <w:r>
        <w:rPr>
          <w:b/>
          <w:bCs/>
          <w:sz w:val="22"/>
          <w:szCs w:val="22"/>
        </w:rPr>
        <w:t xml:space="preserve">Critical Safety Items.</w:t>
      </w:r>
      <w:r>
        <w:rPr>
          <w:sz w:val="22"/>
          <w:szCs w:val="22"/>
        </w:rPr>
        <w:t xml:space="preserve"> Traceability to an approved source, with lot and heat control. See Section 6.7.1.</w:t>
      </w:r>
    </w:p>
    <w:p>
      <w:pPr>
        <w:pStyle w:val="ListParagraph"/>
        <w:numPr>
          <w:ilvl w:val="0"/>
          <w:numId w:val="2"/>
        </w:numPr>
        <w:spacing w:after="120" w:line="276"/>
      </w:pPr>
      <w:r>
        <w:rPr>
          <w:b/>
          <w:bCs/>
          <w:sz w:val="22"/>
          <w:szCs w:val="22"/>
        </w:rPr>
        <w:t xml:space="preserve">Fracture-Critical Traceable Parts, and Fracture-Critical Parts.</w:t>
      </w:r>
      <w:r>
        <w:rPr>
          <w:sz w:val="22"/>
          <w:szCs w:val="22"/>
        </w:rPr>
        <w:t xml:space="preserve"> Fracture control relies on material properties and process condition. See Section 6.7.2.</w:t>
      </w:r>
    </w:p>
    <w:p>
      <w:pPr>
        <w:pStyle w:val="ListParagraph"/>
        <w:numPr>
          <w:ilvl w:val="0"/>
          <w:numId w:val="2"/>
        </w:numPr>
        <w:spacing w:after="120" w:line="276"/>
      </w:pPr>
      <w:r>
        <w:rPr>
          <w:b/>
          <w:bCs/>
          <w:sz w:val="22"/>
          <w:szCs w:val="22"/>
        </w:rPr>
        <w:t xml:space="preserve">Castings and alternative approved material design values.</w:t>
      </w:r>
      <w:r>
        <w:rPr>
          <w:sz w:val="22"/>
          <w:szCs w:val="22"/>
        </w:rPr>
        <w:t xml:space="preserve"> See Section 6.3.3.</w:t>
      </w:r>
    </w:p>
    <w:p>
      <w:pPr>
        <w:pStyle w:val="ListParagraph"/>
        <w:numPr>
          <w:ilvl w:val="0"/>
          <w:numId w:val="2"/>
        </w:numPr>
        <w:spacing w:after="120" w:line="276"/>
      </w:pPr>
      <w:r>
        <w:rPr>
          <w:b/>
          <w:bCs/>
          <w:sz w:val="22"/>
          <w:szCs w:val="22"/>
        </w:rPr>
        <w:t xml:space="preserve">Process and batch conditions.</w:t>
      </w:r>
      <w:r>
        <w:rPr>
          <w:sz w:val="22"/>
          <w:szCs w:val="22"/>
        </w:rPr>
        <w:t xml:space="preserve"> See Section 6.3.4.</w:t>
      </w:r>
    </w:p>
    <w:p>
      <w:pPr>
        <w:pStyle w:val="ListParagraph"/>
        <w:numPr>
          <w:ilvl w:val="0"/>
          <w:numId w:val="2"/>
        </w:numPr>
        <w:spacing w:after="120" w:line="276"/>
      </w:pPr>
      <w:r>
        <w:rPr>
          <w:b/>
          <w:bCs/>
          <w:sz w:val="22"/>
          <w:szCs w:val="22"/>
        </w:rPr>
        <w:t xml:space="preserve">Counterfeit avoidance for electronic parts.</w:t>
      </w:r>
      <w:r>
        <w:rPr>
          <w:sz w:val="22"/>
          <w:szCs w:val="22"/>
        </w:rPr>
        <w:t xml:space="preserve"> See Section 6.3.5.</w:t>
      </w:r>
    </w:p>
    <w:p>
      <w:pPr>
        <w:pStyle w:val="ListParagraph"/>
        <w:numPr>
          <w:ilvl w:val="0"/>
          <w:numId w:val="2"/>
        </w:numPr>
        <w:spacing w:after="120" w:line="276"/>
      </w:pPr>
      <w:r>
        <w:rPr>
          <w:b/>
          <w:bCs/>
          <w:sz w:val="22"/>
          <w:szCs w:val="22"/>
        </w:rPr>
        <w:t xml:space="preserve">Special handling, including explosive and radioactive material.</w:t>
      </w:r>
      <w:r>
        <w:rPr>
          <w:sz w:val="22"/>
          <w:szCs w:val="22"/>
        </w:rPr>
        <w:t xml:space="preserve"> See Sections 6.3.6 through 6.3.8.</w:t>
      </w:r>
    </w:p>
    <w:p>
      <w:pPr>
        <w:pStyle w:val="Heading2"/>
        <w:spacing w:after="140" w:before="300"/>
      </w:pPr>
      <w:r>
        <w:rPr>
          <w:b/>
          <w:bCs/>
          <w:color w:val="000000"/>
          <w:sz w:val="24"/>
          <w:szCs w:val="24"/>
        </w:rPr>
        <w:t xml:space="preserve">6.3.2	Applying the LOT Part Note Code</w:t>
      </w:r>
    </w:p>
    <w:p>
      <w:pPr>
        <w:spacing w:after="160" w:line="276"/>
      </w:pPr>
      <w:r>
        <w:rPr>
          <w:sz w:val="22"/>
          <w:szCs w:val="22"/>
        </w:rPr>
        <w:t xml:space="preserve">For a raw material callout on a parts list that requires lot/batch traceability, such as bar stock, sheet, plate, or bulk sealant, apply part note code and note text:</w:t>
      </w:r>
    </w:p>
    <w:p>
      <w:pPr>
        <w:spacing w:after="160" w:before="60" w:line="264"/>
        <w:ind w:left="504"/>
      </w:pPr>
      <w:r>
        <w:rPr>
          <w:b/>
          <w:bCs/>
          <w:sz w:val="21"/>
          <w:szCs w:val="21"/>
        </w:rPr>
        <w:t xml:space="preserve">LOT – LOT/BATCH RECORDING REQUIRED.</w:t>
      </w:r>
    </w:p>
    <w:p>
      <w:pPr>
        <w:spacing w:after="160" w:line="276"/>
      </w:pPr>
      <w:r>
        <w:rPr>
          <w:sz w:val="22"/>
          <w:szCs w:val="22"/>
        </w:rPr>
        <w:t xml:space="preserve">For a detail part or a vendor part that holds a lot/batch recording requirement, apply part note code and note text:</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spacing w:after="160" w:line="276"/>
      </w:pPr>
      <w:r>
        <w:rPr>
          <w:sz w:val="22"/>
          <w:szCs w:val="22"/>
        </w:rPr>
        <w:t xml:space="preserve">A lot number alone does not establish location. The parent of a Lot/Batch Recording Required item is therefore serialized, so that the lot can be traced to an identified unit. Section 6.4.1 governs how far that chain continues.</w:t>
      </w:r>
    </w:p>
    <w:p>
      <w:pPr>
        <w:pStyle w:val="Heading2"/>
        <w:spacing w:after="140" w:before="300"/>
      </w:pPr>
      <w:r>
        <w:rPr>
          <w:b/>
          <w:bCs/>
          <w:color w:val="000000"/>
          <w:sz w:val="24"/>
          <w:szCs w:val="24"/>
        </w:rPr>
        <w:t xml:space="preserve">6.3.3	Castings and Alternative Material Design Values</w:t>
      </w:r>
    </w:p>
    <w:p>
      <w:pPr>
        <w:spacing w:after="160" w:line="276"/>
      </w:pPr>
      <w:r>
        <w:rPr>
          <w:sz w:val="22"/>
          <w:szCs w:val="22"/>
        </w:rPr>
        <w:t xml:space="preserve">Three conditions in Part 25 depend on production lot and batch records.</w:t>
      </w:r>
    </w:p>
    <w:p>
      <w:pPr>
        <w:pStyle w:val="ListParagraph"/>
        <w:numPr>
          <w:ilvl w:val="0"/>
          <w:numId w:val="2"/>
        </w:numPr>
        <w:spacing w:after="120" w:line="276"/>
      </w:pPr>
      <w:r>
        <w:rPr>
          <w:b/>
          <w:bCs/>
          <w:sz w:val="22"/>
          <w:szCs w:val="22"/>
        </w:rPr>
        <w:t xml:space="preserve">Non-critical castings with reduced non-visual inspection.</w:t>
      </w:r>
      <w:r>
        <w:rPr>
          <w:sz w:val="22"/>
          <w:szCs w:val="22"/>
        </w:rPr>
        <w:t xml:space="preserve"> 14 CFR 25.621(d)(5) allows the number of castings per production batch inspected by non-visual methods to be reduced when an approved quality control procedure is established. Quality control procedures must track and record each production batch to support the reduced sampling. See FAA AC 25.621-1.</w:t>
      </w:r>
    </w:p>
    <w:p>
      <w:pPr>
        <w:pStyle w:val="ListParagraph"/>
        <w:numPr>
          <w:ilvl w:val="0"/>
          <w:numId w:val="2"/>
        </w:numPr>
        <w:spacing w:after="120" w:line="276"/>
      </w:pPr>
      <w:r>
        <w:rPr>
          <w:b/>
          <w:bCs/>
          <w:sz w:val="22"/>
          <w:szCs w:val="22"/>
        </w:rPr>
        <w:t xml:space="preserve">Castings using process monitoring to support a casting factor of 1.0.</w:t>
      </w:r>
      <w:r>
        <w:rPr>
          <w:sz w:val="22"/>
          <w:szCs w:val="22"/>
        </w:rPr>
        <w:t xml:space="preserve"> 14 CFR 25.621(c)(1) and 14 CFR 25.621(d)(1) allow a casting factor of 1.0 or greater under stated conditions. For critical castings, those conditions include process monitoring with testing of coupons cut from the prolongations of each casting, or of each set of castings produced from a single pour into a single mold in a runner system. Records must tie each coupon to its casting or pour. See FAA AC 25.621-1.</w:t>
      </w:r>
    </w:p>
    <w:p>
      <w:pPr>
        <w:pStyle w:val="ListParagraph"/>
        <w:numPr>
          <w:ilvl w:val="0"/>
          <w:numId w:val="2"/>
        </w:numPr>
        <w:spacing w:after="120" w:line="276"/>
      </w:pPr>
      <w:r>
        <w:rPr>
          <w:b/>
          <w:bCs/>
          <w:sz w:val="22"/>
          <w:szCs w:val="22"/>
        </w:rPr>
        <w:t xml:space="preserve">Alternative approved material design values.</w:t>
      </w:r>
      <w:r>
        <w:rPr>
          <w:sz w:val="22"/>
          <w:szCs w:val="22"/>
        </w:rPr>
        <w:t xml:space="preserve"> 14 CFR 25.613(f) permits other material design values when the Administrator approves them. The rule itself does not require lot/batch records. The approval carries the process and statistical conditions. Production lot and batch manufacturing records demonstrate ongoing conformity to those conditions.</w:t>
      </w:r>
    </w:p>
    <w:p>
      <w:pPr>
        <w:pBdr>
          <w:left w:val="single" w:color="808080" w:sz="12" w:space="8"/>
        </w:pBdr>
        <w:spacing w:after="200" w:before="60" w:line="264"/>
        <w:ind w:left="504"/>
      </w:pPr>
      <w:r>
        <w:rPr>
          <w:i/>
          <w:iCs/>
          <w:sz w:val="21"/>
          <w:szCs w:val="21"/>
        </w:rPr>
        <w:t xml:space="preserve">Codes: LOT. Serialization and traceability records must then be maintained up the product tree to the end item, per Section 6.4.1.</w:t>
      </w:r>
    </w:p>
    <w:p>
      <w:pPr>
        <w:pStyle w:val="Heading2"/>
        <w:spacing w:after="140" w:before="300"/>
      </w:pPr>
      <w:r>
        <w:rPr>
          <w:b/>
          <w:bCs/>
          <w:color w:val="000000"/>
          <w:sz w:val="24"/>
          <w:szCs w:val="24"/>
        </w:rPr>
        <w:t xml:space="preserve">6.3.4	Process and Batch Conditions</w:t>
      </w:r>
    </w:p>
    <w:p>
      <w:pPr>
        <w:spacing w:after="160" w:line="276"/>
      </w:pPr>
      <w:r>
        <w:rPr>
          <w:sz w:val="22"/>
          <w:szCs w:val="22"/>
        </w:rPr>
        <w:t xml:space="preserve">Lot/batch recording also applies to items whose identity or performance is established by a batch rather than by a unit. These include:</w:t>
      </w:r>
    </w:p>
    <w:p>
      <w:pPr>
        <w:pStyle w:val="ListParagraph"/>
        <w:numPr>
          <w:ilvl w:val="0"/>
          <w:numId w:val="2"/>
        </w:numPr>
        <w:spacing w:after="120" w:line="276"/>
      </w:pPr>
      <w:r>
        <w:rPr>
          <w:sz w:val="22"/>
          <w:szCs w:val="22"/>
        </w:rPr>
        <w:t xml:space="preserve">Items fabricated using specific batches of bulk materials or processes.</w:t>
      </w:r>
    </w:p>
    <w:p>
      <w:pPr>
        <w:pStyle w:val="ListParagraph"/>
        <w:numPr>
          <w:ilvl w:val="0"/>
          <w:numId w:val="2"/>
        </w:numPr>
        <w:spacing w:after="120" w:line="276"/>
      </w:pPr>
      <w:r>
        <w:rPr>
          <w:sz w:val="22"/>
          <w:szCs w:val="22"/>
        </w:rPr>
        <w:t xml:space="preserve">Items whose testing or certification is conducted by lot/batch.</w:t>
      </w:r>
    </w:p>
    <w:p>
      <w:pPr>
        <w:pStyle w:val="ListParagraph"/>
        <w:numPr>
          <w:ilvl w:val="0"/>
          <w:numId w:val="2"/>
        </w:numPr>
        <w:spacing w:after="120" w:line="276"/>
      </w:pPr>
      <w:r>
        <w:rPr>
          <w:sz w:val="22"/>
          <w:szCs w:val="22"/>
        </w:rPr>
        <w:t xml:space="preserve">Items whose performance may depend on process or batch conditions, including:</w:t>
      </w:r>
    </w:p>
    <w:p>
      <w:pPr>
        <w:pStyle w:val="ListParagraph"/>
        <w:numPr>
          <w:ilvl w:val="1"/>
          <w:numId w:val="2"/>
        </w:numPr>
        <w:spacing w:after="120" w:line="276"/>
      </w:pPr>
      <w:r>
        <w:rPr>
          <w:sz w:val="22"/>
          <w:szCs w:val="22"/>
        </w:rPr>
        <w:t xml:space="preserve">storage conditions</w:t>
      </w:r>
    </w:p>
    <w:p>
      <w:pPr>
        <w:pStyle w:val="ListParagraph"/>
        <w:numPr>
          <w:ilvl w:val="1"/>
          <w:numId w:val="2"/>
        </w:numPr>
        <w:spacing w:after="120" w:line="276"/>
      </w:pPr>
      <w:r>
        <w:rPr>
          <w:sz w:val="22"/>
          <w:szCs w:val="22"/>
        </w:rPr>
        <w:t xml:space="preserve">temperature</w:t>
      </w:r>
    </w:p>
    <w:p>
      <w:pPr>
        <w:pStyle w:val="ListParagraph"/>
        <w:numPr>
          <w:ilvl w:val="1"/>
          <w:numId w:val="2"/>
        </w:numPr>
        <w:spacing w:after="120" w:line="276"/>
      </w:pPr>
      <w:r>
        <w:rPr>
          <w:sz w:val="22"/>
          <w:szCs w:val="22"/>
        </w:rPr>
        <w:t xml:space="preserve">solution strength</w:t>
      </w:r>
    </w:p>
    <w:p>
      <w:pPr>
        <w:pStyle w:val="ListParagraph"/>
        <w:numPr>
          <w:ilvl w:val="1"/>
          <w:numId w:val="2"/>
        </w:numPr>
        <w:spacing w:after="120" w:line="276"/>
      </w:pPr>
      <w:r>
        <w:rPr>
          <w:sz w:val="22"/>
          <w:szCs w:val="22"/>
        </w:rPr>
        <w:t xml:space="preserve">application technique</w:t>
      </w:r>
    </w:p>
    <w:p>
      <w:pPr>
        <w:pStyle w:val="ListParagraph"/>
        <w:numPr>
          <w:ilvl w:val="1"/>
          <w:numId w:val="2"/>
        </w:numPr>
        <w:spacing w:after="120" w:line="276"/>
      </w:pPr>
      <w:r>
        <w:rPr>
          <w:sz w:val="22"/>
          <w:szCs w:val="22"/>
        </w:rPr>
        <w:t xml:space="preserve">cure time</w:t>
      </w:r>
    </w:p>
    <w:p>
      <w:pPr>
        <w:spacing w:after="160" w:line="276"/>
      </w:pPr>
      <w:r>
        <w:rPr>
          <w:sz w:val="22"/>
          <w:szCs w:val="22"/>
        </w:rPr>
        <w:t xml:space="preserve">Common items holding lot/batch recording requirements include printed wiring boards, heat-treated high-strength material, forged items, specialized metallic fasteners for heat and lot traceability, parts and materials holding specific storage requirements, cured epoxy-filled honeycomb panels, electrical fuses, O-rings, simple high-volume electromechanical switches (standard toggles, general-purpose push-button switches, circuit breakers, and internal switches used inside non-critical line replaceable units), and filters. For more information, see BDS-517.</w:t>
      </w:r>
    </w:p>
    <w:p>
      <w:pPr>
        <w:spacing w:after="160" w:line="276"/>
      </w:pPr>
      <w:r>
        <w:rPr>
          <w:sz w:val="22"/>
          <w:szCs w:val="22"/>
        </w:rPr>
        <w:t xml:space="preserve">This is the widest of the lot/batch sources by item count. An item can carry this source and a criticality designation at the same time. The lot records are the same records.</w:t>
      </w:r>
    </w:p>
    <w:p>
      <w:pPr>
        <w:pBdr>
          <w:left w:val="single" w:color="808080" w:sz="12" w:space="8"/>
        </w:pBdr>
        <w:spacing w:after="200" w:before="60" w:line="264"/>
        <w:ind w:left="504"/>
      </w:pPr>
      <w:r>
        <w:rPr>
          <w:i/>
          <w:iCs/>
          <w:sz w:val="21"/>
          <w:szCs w:val="21"/>
        </w:rPr>
        <w:t xml:space="preserve">Codes: LOT. Serialization and traceability records must then be maintained up the product tree to the end item, per Section 6.4.1.</w:t>
      </w:r>
    </w:p>
    <w:p>
      <w:pPr>
        <w:pStyle w:val="Heading2"/>
        <w:spacing w:after="140" w:before="300"/>
      </w:pPr>
      <w:r>
        <w:rPr>
          <w:b/>
          <w:bCs/>
          <w:color w:val="000000"/>
          <w:sz w:val="24"/>
          <w:szCs w:val="24"/>
        </w:rPr>
        <w:t xml:space="preserve">6.3.5	Counterfeit Avoidance for Electronic Parts</w:t>
      </w:r>
    </w:p>
    <w:p>
      <w:pPr>
        <w:spacing w:after="160" w:line="276"/>
      </w:pPr>
      <w:r>
        <w:rPr>
          <w:sz w:val="22"/>
          <w:szCs w:val="22"/>
        </w:rPr>
        <w:t xml:space="preserve">Counterfeit avoidance drives lot/batch traceability on electronic parts. It is a contract requirement rather than a design requirement. It applies when the contract includes DFARS 252.246-7007, Contractor Counterfeit Electronic Part Detection and Avoidance System, or DFARS 252.246-7008, Sources of Electronic Parts.</w:t>
      </w:r>
    </w:p>
    <w:p>
      <w:pPr>
        <w:spacing w:after="160" w:line="276"/>
      </w:pPr>
      <w:r>
        <w:rPr>
          <w:sz w:val="22"/>
          <w:szCs w:val="22"/>
        </w:rPr>
        <w:t xml:space="preserve">DFARS 252.246-7007 defines an electronic part as “an integrated circuit, a discrete electronic component (including, but not limited to, a transistor, capacitor, resistor, or diode), or a circuit assembly.” The definition is broad. It reaches ordinary passive components, not only microcircuits.</w:t>
      </w:r>
    </w:p>
    <w:p>
      <w:pPr>
        <w:spacing w:after="160" w:line="276"/>
      </w:pPr>
      <w:r>
        <w:rPr>
          <w:sz w:val="22"/>
          <w:szCs w:val="22"/>
        </w:rPr>
        <w:t xml:space="preserve">Both clauses state the traceability requirement the same way. The contractor maintains risk-based processes that enable tracking of electronic parts from the original manufacturer to product acceptance by the Government, whether the parts are supplied as discrete electronic parts or are contained in assemblies.</w:t>
      </w:r>
    </w:p>
    <w:p>
      <w:pPr>
        <w:spacing w:after="160" w:line="276"/>
      </w:pPr>
      <w:r>
        <w:rPr>
          <w:sz w:val="22"/>
          <w:szCs w:val="22"/>
        </w:rPr>
        <w:t xml:space="preserve">DFARS 252.246-7008 sets the sourcing order. Electronic parts are obtained from the original manufacturers, from their authorized suppliers, or from suppliers that obtain the parts exclusively from the original manufacturers or their authorized suppliers. Where a part is not available from those sources, a contractor-approved supplier may be used. The contractor then takes responsibility for authenticity and for inspection, testing, and authentication under the applicable industry standards. SAE AS5553 and SAE AS6081 are the standards commonly invoked. Where traceability cannot be established, the inspection, testing, and authentication obligation is what replaces it.</w:t>
      </w:r>
    </w:p>
    <w:p>
      <w:pPr>
        <w:spacing w:after="160" w:line="276"/>
      </w:pPr>
      <w:r>
        <w:rPr>
          <w:sz w:val="22"/>
          <w:szCs w:val="22"/>
        </w:rPr>
        <w:t xml:space="preserve">The record structure is lot/batch with a source chain. The obligation is to trace a part back to its original component manufacturer. This is not a serialization requirement, and it is commonly mistaken for one. Serialization records which unit. Counterfeit avoidance records which source and which lot.</w:t>
      </w:r>
    </w:p>
    <w:p>
      <w:pPr>
        <w:spacing w:after="160" w:line="276"/>
      </w:pPr>
      <w:r>
        <w:rPr>
          <w:sz w:val="22"/>
          <w:szCs w:val="22"/>
        </w:rPr>
        <w:t xml:space="preserve">An electronic part can carry this source and a shelf-life source at the same time. Electronic components, microchips, capacitors, and diodes appear in both Section 6.6.2 and this subsection. One LOT part note code satisfies both. The reasons differ and the lot records are the same records.</w:t>
      </w:r>
    </w:p>
    <w:p>
      <w:pPr>
        <w:pBdr>
          <w:left w:val="single" w:color="808080" w:sz="12" w:space="8"/>
        </w:pBdr>
        <w:spacing w:after="200" w:before="60" w:line="264"/>
        <w:ind w:left="504"/>
      </w:pPr>
      <w:r>
        <w:rPr>
          <w:i/>
          <w:iCs/>
          <w:sz w:val="21"/>
          <w:szCs w:val="21"/>
        </w:rPr>
        <w:t xml:space="preserve">Codes: LOT. Serialization and traceability records must then be maintained up the product tree to the end item, per Section 6.4.1.</w:t>
      </w:r>
    </w:p>
    <w:p>
      <w:pPr>
        <w:pStyle w:val="Heading2"/>
        <w:spacing w:after="140" w:before="300"/>
      </w:pPr>
      <w:r>
        <w:rPr>
          <w:b/>
          <w:bCs/>
          <w:color w:val="000000"/>
          <w:sz w:val="24"/>
          <w:szCs w:val="24"/>
        </w:rPr>
        <w:t xml:space="preserve">6.3.6	Special Handling Required</w:t>
      </w:r>
    </w:p>
    <w:p>
      <w:pPr>
        <w:spacing w:after="160" w:line="276"/>
      </w:pPr>
      <w:r>
        <w:rPr>
          <w:sz w:val="22"/>
          <w:szCs w:val="22"/>
        </w:rPr>
        <w:t xml:space="preserve">Special Handling Required items are Lot/Batch Recording Required items. Manufacturing and Production must follow special handling and packaging methods when storing and working with these items.</w:t>
      </w:r>
    </w:p>
    <w:p>
      <w:pPr>
        <w:spacing w:after="160" w:line="276"/>
      </w:pPr>
      <w:r>
        <w:rPr>
          <w:sz w:val="22"/>
          <w:szCs w:val="22"/>
        </w:rPr>
        <w:t xml:space="preserve">Items requiring special handling and packaging include sensitive electronic parts or assemblies, fragile equipment, easily lost parts of high value, perishable items, and items that must be stored under specific environmental or security conditions. Special handling, packaging, and environmental control may be required when critical limits exist for any of the following factors:</w:t>
      </w:r>
    </w:p>
    <w:p>
      <w:pPr>
        <w:pStyle w:val="ListParagraph"/>
        <w:numPr>
          <w:ilvl w:val="0"/>
          <w:numId w:val="3"/>
        </w:numPr>
        <w:spacing w:after="40" w:line="264"/>
      </w:pPr>
      <w:r>
        <w:rPr>
          <w:sz w:val="22"/>
          <w:szCs w:val="22"/>
        </w:rPr>
        <w:t xml:space="preserve">Life Limits (including expiration dates)</w:t>
      </w:r>
    </w:p>
    <w:p>
      <w:pPr>
        <w:pStyle w:val="ListParagraph"/>
        <w:numPr>
          <w:ilvl w:val="0"/>
          <w:numId w:val="3"/>
        </w:numPr>
        <w:spacing w:after="40" w:line="264"/>
      </w:pPr>
      <w:r>
        <w:rPr>
          <w:sz w:val="22"/>
          <w:szCs w:val="22"/>
        </w:rPr>
        <w:t xml:space="preserve">Atmospheric Pressure</w:t>
      </w:r>
    </w:p>
    <w:p>
      <w:pPr>
        <w:pStyle w:val="ListParagraph"/>
        <w:numPr>
          <w:ilvl w:val="0"/>
          <w:numId w:val="3"/>
        </w:numPr>
        <w:spacing w:after="40" w:line="264"/>
      </w:pPr>
      <w:r>
        <w:rPr>
          <w:sz w:val="22"/>
          <w:szCs w:val="22"/>
        </w:rPr>
        <w:t xml:space="preserve">Electrostatic Discharge Sensitive</w:t>
      </w:r>
    </w:p>
    <w:p>
      <w:pPr>
        <w:pStyle w:val="ListParagraph"/>
        <w:numPr>
          <w:ilvl w:val="0"/>
          <w:numId w:val="3"/>
        </w:numPr>
        <w:spacing w:after="40" w:line="264"/>
      </w:pPr>
      <w:r>
        <w:rPr>
          <w:sz w:val="22"/>
          <w:szCs w:val="22"/>
        </w:rPr>
        <w:t xml:space="preserve">Fungus</w:t>
      </w:r>
    </w:p>
    <w:p>
      <w:pPr>
        <w:pStyle w:val="ListParagraph"/>
        <w:numPr>
          <w:ilvl w:val="0"/>
          <w:numId w:val="3"/>
        </w:numPr>
        <w:spacing w:after="40" w:line="264"/>
      </w:pPr>
      <w:r>
        <w:rPr>
          <w:sz w:val="22"/>
          <w:szCs w:val="22"/>
        </w:rPr>
        <w:t xml:space="preserve">Hail</w:t>
      </w:r>
    </w:p>
    <w:p>
      <w:pPr>
        <w:pStyle w:val="ListParagraph"/>
        <w:numPr>
          <w:ilvl w:val="0"/>
          <w:numId w:val="3"/>
        </w:numPr>
        <w:spacing w:after="40" w:line="264"/>
      </w:pPr>
      <w:r>
        <w:rPr>
          <w:sz w:val="22"/>
          <w:szCs w:val="22"/>
        </w:rPr>
        <w:t xml:space="preserve">Hazardous Material</w:t>
      </w:r>
    </w:p>
    <w:p>
      <w:pPr>
        <w:pStyle w:val="ListParagraph"/>
        <w:numPr>
          <w:ilvl w:val="0"/>
          <w:numId w:val="3"/>
        </w:numPr>
        <w:spacing w:after="40" w:line="264"/>
      </w:pPr>
      <w:r>
        <w:rPr>
          <w:sz w:val="22"/>
          <w:szCs w:val="22"/>
        </w:rPr>
        <w:t xml:space="preserve">Humidity</w:t>
      </w:r>
    </w:p>
    <w:p>
      <w:pPr>
        <w:pStyle w:val="ListParagraph"/>
        <w:numPr>
          <w:ilvl w:val="0"/>
          <w:numId w:val="3"/>
        </w:numPr>
        <w:spacing w:after="40" w:line="264"/>
      </w:pPr>
      <w:r>
        <w:rPr>
          <w:sz w:val="22"/>
          <w:szCs w:val="22"/>
        </w:rPr>
        <w:t xml:space="preserve">Rain</w:t>
      </w:r>
    </w:p>
    <w:p>
      <w:pPr>
        <w:pStyle w:val="ListParagraph"/>
        <w:numPr>
          <w:ilvl w:val="0"/>
          <w:numId w:val="3"/>
        </w:numPr>
        <w:spacing w:after="40" w:line="264"/>
      </w:pPr>
      <w:r>
        <w:rPr>
          <w:sz w:val="22"/>
          <w:szCs w:val="22"/>
        </w:rPr>
        <w:t xml:space="preserve">Salt Spray</w:t>
      </w:r>
    </w:p>
    <w:p>
      <w:pPr>
        <w:pStyle w:val="ListParagraph"/>
        <w:numPr>
          <w:ilvl w:val="0"/>
          <w:numId w:val="3"/>
        </w:numPr>
        <w:spacing w:after="40" w:line="264"/>
      </w:pPr>
      <w:r>
        <w:rPr>
          <w:sz w:val="22"/>
          <w:szCs w:val="22"/>
        </w:rPr>
        <w:t xml:space="preserve">Sand and Dust</w:t>
      </w:r>
    </w:p>
    <w:p>
      <w:pPr>
        <w:pStyle w:val="ListParagraph"/>
        <w:numPr>
          <w:ilvl w:val="0"/>
          <w:numId w:val="3"/>
        </w:numPr>
        <w:spacing w:after="40" w:line="264"/>
      </w:pPr>
      <w:r>
        <w:rPr>
          <w:sz w:val="22"/>
          <w:szCs w:val="22"/>
        </w:rPr>
        <w:t xml:space="preserve">Security Classification</w:t>
      </w:r>
    </w:p>
    <w:p>
      <w:pPr>
        <w:pStyle w:val="ListParagraph"/>
        <w:numPr>
          <w:ilvl w:val="0"/>
          <w:numId w:val="3"/>
        </w:numPr>
        <w:spacing w:after="40" w:line="264"/>
      </w:pPr>
      <w:r>
        <w:rPr>
          <w:sz w:val="22"/>
          <w:szCs w:val="22"/>
        </w:rPr>
        <w:t xml:space="preserve">Sensitive Electronic Devices</w:t>
      </w:r>
    </w:p>
    <w:p>
      <w:pPr>
        <w:pStyle w:val="ListParagraph"/>
        <w:numPr>
          <w:ilvl w:val="0"/>
          <w:numId w:val="3"/>
        </w:numPr>
        <w:spacing w:after="40" w:line="264"/>
      </w:pPr>
      <w:r>
        <w:rPr>
          <w:sz w:val="22"/>
          <w:szCs w:val="22"/>
        </w:rPr>
        <w:t xml:space="preserve">Shock</w:t>
      </w:r>
    </w:p>
    <w:p>
      <w:pPr>
        <w:pStyle w:val="ListParagraph"/>
        <w:numPr>
          <w:ilvl w:val="0"/>
          <w:numId w:val="3"/>
        </w:numPr>
        <w:spacing w:after="40" w:line="264"/>
      </w:pPr>
      <w:r>
        <w:rPr>
          <w:sz w:val="22"/>
          <w:szCs w:val="22"/>
        </w:rPr>
        <w:t xml:space="preserve">Solar Radiation</w:t>
      </w:r>
    </w:p>
    <w:p>
      <w:pPr>
        <w:pStyle w:val="ListParagraph"/>
        <w:numPr>
          <w:ilvl w:val="0"/>
          <w:numId w:val="3"/>
        </w:numPr>
        <w:spacing w:after="40" w:line="264"/>
      </w:pPr>
      <w:r>
        <w:rPr>
          <w:sz w:val="22"/>
          <w:szCs w:val="22"/>
        </w:rPr>
        <w:t xml:space="preserve">Temperature</w:t>
      </w:r>
    </w:p>
    <w:p>
      <w:pPr>
        <w:pStyle w:val="ListParagraph"/>
        <w:numPr>
          <w:ilvl w:val="0"/>
          <w:numId w:val="3"/>
        </w:numPr>
        <w:spacing w:after="40" w:line="264"/>
      </w:pPr>
      <w:r>
        <w:rPr>
          <w:sz w:val="22"/>
          <w:szCs w:val="22"/>
        </w:rPr>
        <w:t xml:space="preserve">Vibration</w:t>
      </w:r>
    </w:p>
    <w:p>
      <w:pPr>
        <w:pStyle w:val="ListParagraph"/>
        <w:numPr>
          <w:ilvl w:val="0"/>
          <w:numId w:val="3"/>
        </w:numPr>
        <w:spacing w:after="200" w:line="264"/>
      </w:pPr>
      <w:r>
        <w:rPr>
          <w:sz w:val="22"/>
          <w:szCs w:val="22"/>
        </w:rPr>
        <w:t xml:space="preserve">Wind</w:t>
      </w:r>
    </w:p>
    <w:p>
      <w:pPr>
        <w:spacing w:after="160" w:line="276"/>
      </w:pPr>
      <w:r>
        <w:rPr>
          <w:sz w:val="22"/>
          <w:szCs w:val="22"/>
        </w:rPr>
        <w:t xml:space="preserve">Parts lists containing these items must specify handling, packaging, or environmental requirements. Parts lists calling out off-the-shelf purchased items must identify the special requirements applicable to those items.</w:t>
      </w:r>
    </w:p>
    <w:p>
      <w:pPr>
        <w:spacing w:after="160" w:line="276"/>
      </w:pPr>
      <w:r>
        <w:rPr>
          <w:sz w:val="22"/>
          <w:szCs w:val="22"/>
        </w:rPr>
        <w:t xml:space="preserve">The special handling conditions, including segregation and packaging, are recorded as a lot.</w:t>
      </w:r>
    </w:p>
    <w:p>
      <w:pPr>
        <w:spacing w:after="160" w:line="276"/>
      </w:pPr>
      <w:r>
        <w:rPr>
          <w:sz w:val="22"/>
          <w:szCs w:val="22"/>
        </w:rPr>
        <w:t xml:space="preserve">For items requiring special handling, apply part note codes and note texts:</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spacing w:after="160" w:before="60" w:line="264"/>
        <w:ind w:left="504"/>
      </w:pPr>
      <w:r>
        <w:rPr>
          <w:b/>
          <w:bCs/>
          <w:sz w:val="21"/>
          <w:szCs w:val="21"/>
        </w:rPr>
        <w:t xml:space="preserve">SH – SPECIAL HANDLING REQUIRED – [ENTER THE SPECIAL HANDLING, PACKAGING, OR ENVIRONMENTAL CONTROL REQUIRED, OR REFERENCE THE SPECIFICATION THAT CONTAINS THAT INFORMATION].</w:t>
      </w:r>
    </w:p>
    <w:p>
      <w:pPr>
        <w:spacing w:after="160" w:line="276"/>
      </w:pPr>
      <w:r>
        <w:rPr>
          <w:sz w:val="22"/>
          <w:szCs w:val="22"/>
        </w:rPr>
        <w:t xml:space="preserve">Below are examples of Special Handling part note texts:</w:t>
      </w:r>
    </w:p>
    <w:p>
      <w:pPr>
        <w:spacing w:after="160" w:before="60" w:line="264"/>
        <w:ind w:left="504"/>
      </w:pPr>
      <w:r>
        <w:rPr>
          <w:i/>
          <w:iCs/>
          <w:sz w:val="21"/>
          <w:szCs w:val="21"/>
        </w:rPr>
        <w:t xml:space="preserve">Example: </w:t>
      </w:r>
      <w:r>
        <w:rPr>
          <w:b/>
          <w:bCs/>
          <w:sz w:val="21"/>
          <w:szCs w:val="21"/>
        </w:rPr>
        <w:t xml:space="preserve">SH – SPECIAL HANDLING REQUIRED – THESE PARTS ARE EXTREMELY FRAGILE. DO NOT DROP OR JAR. PROVIDE 1/8-INCH POLYURETHANE FOAM UNDER THEIR CONTAINER ON THE BENCH OR WHEN STORING OR SHIPPING.</w:t>
      </w:r>
    </w:p>
    <w:p>
      <w:pPr>
        <w:spacing w:after="160" w:before="60" w:line="264"/>
        <w:ind w:left="504"/>
      </w:pPr>
      <w:r>
        <w:rPr>
          <w:i/>
          <w:iCs/>
          <w:sz w:val="21"/>
          <w:szCs w:val="21"/>
        </w:rPr>
        <w:t xml:space="preserve">Example: </w:t>
      </w:r>
      <w:r>
        <w:rPr>
          <w:b/>
          <w:bCs/>
          <w:sz w:val="21"/>
          <w:szCs w:val="21"/>
        </w:rPr>
        <w:t xml:space="preserve">SH – SPECIAL HANDLING REQUIRED – TEMPERATURE SHALL BE KEPT BETWEEN 33°F AND 150°F AND RELATIVE HUMIDITY SHALL BE 70 PERCENT MAXIMUM DURING SHIPMENT AND INSTALLATION.</w:t>
      </w:r>
    </w:p>
    <w:p>
      <w:pPr>
        <w:spacing w:after="160" w:before="60" w:line="264"/>
        <w:ind w:left="504"/>
      </w:pPr>
      <w:r>
        <w:rPr>
          <w:i/>
          <w:iCs/>
          <w:sz w:val="21"/>
          <w:szCs w:val="21"/>
        </w:rPr>
        <w:t xml:space="preserve">Example: </w:t>
      </w:r>
      <w:r>
        <w:rPr>
          <w:b/>
          <w:bCs/>
          <w:sz w:val="21"/>
          <w:szCs w:val="21"/>
        </w:rPr>
        <w:t xml:space="preserve">SH – SPECIAL HANDLING REQUIRED – ELECTROSTATIC DISCHARGE CONTROL PROGRAM FOR PROTECTION OF ELECTRICAL AND ELECTRONIC PARTS, ASSEMBLIES, AND EQUIPMENT SHALL BE IN ACCORDANCE WITH MIL-STD-1686 AND DOD-HDBK-263, CLASS 3 (BAC5485 MANDATORY FOR USE BY BOEING AND THEIR SUBCONTRACTORS).</w:t>
      </w:r>
    </w:p>
    <w:p>
      <w:pPr>
        <w:spacing w:after="160" w:before="60" w:line="264"/>
        <w:ind w:left="504"/>
      </w:pPr>
      <w:r>
        <w:rPr>
          <w:i/>
          <w:iCs/>
          <w:sz w:val="21"/>
          <w:szCs w:val="21"/>
        </w:rPr>
        <w:t xml:space="preserve">Example: </w:t>
      </w:r>
      <w:r>
        <w:rPr>
          <w:b/>
          <w:bCs/>
          <w:sz w:val="21"/>
          <w:szCs w:val="21"/>
        </w:rPr>
        <w:t xml:space="preserve">SH – SPECIAL HANDLING REQUIRED – CONTROLLED AND SENSITIVE EQUIPMENT (CASE) PER D200-10015-1.</w:t>
      </w:r>
    </w:p>
    <w:p>
      <w:pPr>
        <w:pBdr>
          <w:left w:val="single" w:color="808080" w:sz="12" w:space="8"/>
        </w:pBdr>
        <w:spacing w:after="200" w:before="60" w:line="264"/>
        <w:ind w:left="504"/>
      </w:pPr>
      <w:r>
        <w:rPr>
          <w:i/>
          <w:iCs/>
          <w:sz w:val="21"/>
          <w:szCs w:val="21"/>
        </w:rPr>
        <w:t xml:space="preserve">Codes: SH and LOT. Serialization and traceability records must then be maintained up the product tree to the end item, per Section 6.4.1.</w:t>
      </w:r>
    </w:p>
    <w:p>
      <w:pPr>
        <w:pStyle w:val="Heading2"/>
        <w:spacing w:after="140" w:before="300"/>
      </w:pPr>
      <w:r>
        <w:rPr>
          <w:b/>
          <w:bCs/>
          <w:color w:val="000000"/>
          <w:sz w:val="24"/>
          <w:szCs w:val="24"/>
        </w:rPr>
        <w:t xml:space="preserve">6.3.7	Explosive Material – Special Handling Required</w:t>
      </w:r>
    </w:p>
    <w:p>
      <w:pPr>
        <w:spacing w:after="160" w:line="276"/>
      </w:pPr>
      <w:r>
        <w:rPr>
          <w:sz w:val="22"/>
          <w:szCs w:val="22"/>
        </w:rPr>
        <w:t xml:space="preserve">Explosive materials include, but are not limited to, ammunition, pyrotechnics, destructors, detonators, initiators, thrusters, JATO units, fuels, catapults, and explosive units. This category includes solids, liquids, and gases.</w:t>
      </w:r>
    </w:p>
    <w:p>
      <w:pPr>
        <w:spacing w:after="160" w:line="276"/>
      </w:pPr>
      <w:r>
        <w:rPr>
          <w:sz w:val="22"/>
          <w:szCs w:val="22"/>
        </w:rPr>
        <w:t xml:space="preserve">Before releasing any data, coordinate the use of these materials with the Materials and Processes organization in accordance with existing operating procedures. Coordinate any material suspected of being explosive the same way.</w:t>
      </w:r>
    </w:p>
    <w:p>
      <w:pPr>
        <w:spacing w:after="160" w:line="276"/>
      </w:pPr>
      <w:r>
        <w:rPr>
          <w:sz w:val="22"/>
          <w:szCs w:val="22"/>
        </w:rPr>
        <w:t xml:space="preserve">Beryllium and beryllium alloys are toxic hazardous materials. They are not explosive materials. Treat them as Special Handling Required items under Section 6.3.6, factor f, Hazardous Material.</w:t>
      </w:r>
    </w:p>
    <w:p>
      <w:pPr>
        <w:spacing w:after="160" w:line="276"/>
      </w:pPr>
      <w:r>
        <w:rPr>
          <w:sz w:val="22"/>
          <w:szCs w:val="22"/>
        </w:rPr>
        <w:t xml:space="preserve">For explosive material items, apply part note codes and note texts:</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spacing w:after="160" w:before="60" w:line="264"/>
        <w:ind w:left="504"/>
      </w:pPr>
      <w:r>
        <w:rPr>
          <w:b/>
          <w:bCs/>
          <w:sz w:val="21"/>
          <w:szCs w:val="21"/>
        </w:rPr>
        <w:t xml:space="preserve">SH – EXPLOSIVE MATERIAL – SPECIAL HANDLING REQUIRED – [INCLUDE A DESCRIPTION OF THE METHOD FOR HANDLING EXPLOSIVE MATERIAL AND THE SAFETY PRECAUTIONS TO BE OBSERVED].</w:t>
      </w:r>
    </w:p>
    <w:p>
      <w:pPr>
        <w:spacing w:after="160" w:line="276"/>
      </w:pPr>
      <w:r>
        <w:rPr>
          <w:sz w:val="22"/>
          <w:szCs w:val="22"/>
        </w:rPr>
        <w:t xml:space="preserve">Also include the Explosive Material part note text on the drawing picture sheet. If that is not practicable, provide a reference to it on the drawing picture sheet. The Explosive Material part note text, or a reference to it, is required on the drawing picture sheet and on all higher-level drawings.</w:t>
      </w:r>
    </w:p>
    <w:p>
      <w:pPr>
        <w:pBdr>
          <w:left w:val="single" w:color="808080" w:sz="12" w:space="8"/>
        </w:pBdr>
        <w:spacing w:after="200" w:before="60" w:line="264"/>
        <w:ind w:left="504"/>
      </w:pPr>
      <w:r>
        <w:rPr>
          <w:i/>
          <w:iCs/>
          <w:sz w:val="21"/>
          <w:szCs w:val="21"/>
        </w:rPr>
        <w:t xml:space="preserve">Codes: SH and LOT. Serialization and traceability records must then be maintained up the product tree to the end item, per Section 6.4.1.</w:t>
      </w:r>
    </w:p>
    <w:p>
      <w:pPr>
        <w:pStyle w:val="Heading2"/>
        <w:spacing w:after="140" w:before="300"/>
      </w:pPr>
      <w:r>
        <w:rPr>
          <w:b/>
          <w:bCs/>
          <w:color w:val="000000"/>
          <w:sz w:val="24"/>
          <w:szCs w:val="24"/>
        </w:rPr>
        <w:t xml:space="preserve">6.3.8	Radioactive Material – Special Handling Required</w:t>
      </w:r>
    </w:p>
    <w:p>
      <w:pPr>
        <w:spacing w:after="160" w:line="276"/>
      </w:pPr>
      <w:r>
        <w:rPr>
          <w:sz w:val="22"/>
          <w:szCs w:val="22"/>
        </w:rPr>
        <w:t xml:space="preserve">Radioactive materials are items that Radiation Health Protection has identified as radioactive beyond tolerable limits.</w:t>
      </w:r>
    </w:p>
    <w:p>
      <w:pPr>
        <w:spacing w:after="160" w:line="276"/>
      </w:pPr>
      <w:r>
        <w:rPr>
          <w:sz w:val="22"/>
          <w:szCs w:val="22"/>
        </w:rPr>
        <w:t xml:space="preserve">For radioactive material items, apply part note codes and note texts:</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spacing w:after="160" w:before="60" w:line="264"/>
        <w:ind w:left="504"/>
      </w:pPr>
      <w:r>
        <w:rPr>
          <w:b/>
          <w:bCs/>
          <w:sz w:val="21"/>
          <w:szCs w:val="21"/>
        </w:rPr>
        <w:t xml:space="preserve">SH – RADIOACTIVE MATERIAL – SPECIAL HANDLING REQUIRED – WARNING: RADIOACTIVE MATERIAL [IDENTIFY THE ISOTOPE], [NUMBER OF CURIES]. CONTACT RADIATION HEALTH PROTECTION FOR SPECIAL HANDLING.</w:t>
      </w:r>
    </w:p>
    <w:p>
      <w:pPr>
        <w:spacing w:after="160" w:line="276"/>
      </w:pPr>
      <w:r>
        <w:rPr>
          <w:sz w:val="22"/>
          <w:szCs w:val="22"/>
        </w:rPr>
        <w:t xml:space="preserve">Include the isotope and the amount of radioactivity in the part note text. The part note is required on the lowest-level drawing that calls for radioactive material. It is required on higher-level drawings when Radiation Health Protection requests it.</w:t>
      </w:r>
    </w:p>
    <w:p>
      <w:pPr>
        <w:pBdr>
          <w:left w:val="single" w:color="808080" w:sz="12" w:space="8"/>
        </w:pBdr>
        <w:spacing w:after="200" w:before="60" w:line="264"/>
        <w:ind w:left="504"/>
      </w:pPr>
      <w:r>
        <w:rPr>
          <w:i/>
          <w:iCs/>
          <w:sz w:val="21"/>
          <w:szCs w:val="21"/>
        </w:rPr>
        <w:t xml:space="preserve">Codes: SH and LOT. Serialization and traceability records must then be maintained up the product tree to the end item, per Section 6.4.1.</w:t>
      </w:r>
    </w:p>
    <w:p>
      <w:pPr>
        <w:pStyle w:val="Heading1"/>
        <w:spacing w:after="160" w:before="360"/>
      </w:pPr>
      <w:r>
        <w:rPr>
          <w:b/>
          <w:bCs/>
          <w:color w:val="000000"/>
          <w:sz w:val="26"/>
          <w:szCs w:val="26"/>
        </w:rPr>
        <w:t xml:space="preserve">6.4	Traceability Records Required</w:t>
      </w:r>
    </w:p>
    <w:p>
      <w:pPr>
        <w:spacing w:after="160" w:line="276"/>
      </w:pPr>
      <w:r>
        <w:rPr>
          <w:sz w:val="22"/>
          <w:szCs w:val="22"/>
        </w:rPr>
        <w:t xml:space="preserve">The Traceability Records Required part note code (TR) directs the build environment to generate part traceability records. These records document where each Serialization Recording Required item and each Lot/Batch Recording Required item is installed. Each record links an item to its next-higher parent.</w:t>
      </w:r>
    </w:p>
    <w:p>
      <w:pPr>
        <w:pStyle w:val="Heading2"/>
        <w:spacing w:after="140" w:before="300"/>
      </w:pPr>
      <w:r>
        <w:rPr>
          <w:b/>
          <w:bCs/>
          <w:color w:val="000000"/>
          <w:sz w:val="24"/>
          <w:szCs w:val="24"/>
        </w:rPr>
        <w:t xml:space="preserve">6.4.1	The Cascade to the End Item</w:t>
      </w:r>
    </w:p>
    <w:p>
      <w:pPr>
        <w:spacing w:after="160" w:line="276"/>
      </w:pPr>
      <w:r>
        <w:rPr>
          <w:b/>
          <w:bCs/>
          <w:sz w:val="22"/>
          <w:szCs w:val="22"/>
        </w:rPr>
        <w:t xml:space="preserve">Company directive.</w:t>
      </w:r>
      <w:r>
        <w:rPr>
          <w:sz w:val="22"/>
          <w:szCs w:val="22"/>
        </w:rPr>
        <w:t xml:space="preserve"> When an item holds a serialization recording requirement or a lot/batch recording requirement, serialization and traceability records must be maintained up the product tree to the end item.</w:t>
      </w:r>
    </w:p>
    <w:p>
      <w:pPr>
        <w:spacing w:after="160" w:line="276"/>
      </w:pPr>
      <w:r>
        <w:rPr>
          <w:sz w:val="22"/>
          <w:szCs w:val="22"/>
        </w:rPr>
        <w:t xml:space="preserve">This rule applies to every item carrying SER or LOT, whatever its requirement source. There is no threshold and no shorter scope.</w:t>
      </w:r>
    </w:p>
    <w:p>
      <w:pPr>
        <w:spacing w:after="160" w:line="276"/>
      </w:pPr>
      <w:r>
        <w:rPr>
          <w:sz w:val="22"/>
          <w:szCs w:val="22"/>
        </w:rPr>
        <w:t xml:space="preserve">The end item is not a Line Replaceable Unit (LRU). The end item is the top-level asset or system under contract. It is typically the complete aircraft tail number or the missile system.</w:t>
      </w:r>
    </w:p>
    <w:p>
      <w:pPr>
        <w:spacing w:after="160" w:line="276"/>
      </w:pPr>
      <w:r>
        <w:rPr>
          <w:sz w:val="22"/>
          <w:szCs w:val="22"/>
        </w:rPr>
        <w:t xml:space="preserve">A serialized item’s next-higher physical parent must also be serialized. So must every higher physical parent below the end item. A lot number alone does not establish location, so the parent of a Lot/Batch Recording Required item is serialized for the same reason.</w:t>
      </w:r>
    </w:p>
    <w:p>
      <w:pPr>
        <w:spacing w:after="160" w:line="276"/>
      </w:pPr>
      <w:r>
        <w:rPr>
          <w:sz w:val="22"/>
          <w:szCs w:val="22"/>
        </w:rPr>
        <w:t xml:space="preserve">For each physical parent below the end item, apply part note codes and note texts:</w:t>
      </w:r>
    </w:p>
    <w:p>
      <w:pPr>
        <w:spacing w:after="160" w:before="60" w:line="264"/>
        <w:ind w:left="504"/>
      </w:pPr>
      <w:r>
        <w:rPr>
          <w:b/>
          <w:bCs/>
          <w:sz w:val="21"/>
          <w:szCs w:val="21"/>
        </w:rPr>
        <w:t xml:space="preserve">SER – SERIALIZATION RECORDING REQUIRED.</w:t>
      </w:r>
    </w:p>
    <w:p>
      <w:pPr>
        <w:spacing w:after="160" w:before="60" w:line="264"/>
        <w:ind w:left="504"/>
      </w:pPr>
      <w:r>
        <w:rPr>
          <w:b/>
          <w:bCs/>
          <w:sz w:val="21"/>
          <w:szCs w:val="21"/>
        </w:rPr>
        <w:t xml:space="preserve">TR – TRACEABILITY RECORDS REQUIRED.</w:t>
      </w:r>
    </w:p>
    <w:p>
      <w:pPr>
        <w:spacing w:after="160" w:line="276"/>
      </w:pPr>
      <w:r>
        <w:rPr>
          <w:sz w:val="22"/>
          <w:szCs w:val="22"/>
        </w:rPr>
        <w:t xml:space="preserve">Installation drawings are the exception. An installation drawing depicts installation instructions. It is not consumed into the production system as a physical part. See Section 6.4.2.</w:t>
      </w:r>
    </w:p>
    <w:p>
      <w:pPr>
        <w:pStyle w:val="Heading2"/>
        <w:spacing w:after="140" w:before="300"/>
      </w:pPr>
      <w:r>
        <w:rPr>
          <w:b/>
          <w:bCs/>
          <w:color w:val="000000"/>
          <w:sz w:val="24"/>
          <w:szCs w:val="24"/>
        </w:rPr>
        <w:t xml:space="preserve">6.4.2	Installation Drawings and the End Item</w:t>
      </w:r>
    </w:p>
    <w:p>
      <w:pPr>
        <w:spacing w:after="160" w:line="276"/>
      </w:pPr>
      <w:r>
        <w:rPr>
          <w:sz w:val="22"/>
          <w:szCs w:val="22"/>
        </w:rPr>
        <w:t xml:space="preserve">For each installation drawing that sits in the product tree between a traceable item and the end item, apply part note code and note text:</w:t>
      </w:r>
    </w:p>
    <w:p>
      <w:pPr>
        <w:spacing w:after="160" w:before="60" w:line="264"/>
        <w:ind w:left="504"/>
      </w:pPr>
      <w:r>
        <w:rPr>
          <w:b/>
          <w:bCs/>
          <w:sz w:val="21"/>
          <w:szCs w:val="21"/>
        </w:rPr>
        <w:t xml:space="preserve">TR – TRACEABILITY RECORDS REQUIRED. THIS INSTALLATION DRAWING DEPICTS TRACEABLE PARTS WHOSE SERIAL NUMBERS MUST BE TRACED TO ALL HIGHER-LEVEL PHYSICAL ITEMS UP TO THE END ITEM.</w:t>
      </w:r>
    </w:p>
    <w:p>
      <w:pPr>
        <w:spacing w:after="160" w:line="276"/>
      </w:pPr>
      <w:r>
        <w:rPr>
          <w:sz w:val="22"/>
          <w:szCs w:val="22"/>
        </w:rPr>
        <w:t xml:space="preserve">For the end item, apply part note code and note text:</w:t>
      </w:r>
    </w:p>
    <w:p>
      <w:pPr>
        <w:spacing w:after="160" w:before="60" w:line="264"/>
        <w:ind w:left="504"/>
      </w:pPr>
      <w:r>
        <w:rPr>
          <w:b/>
          <w:bCs/>
          <w:sz w:val="21"/>
          <w:szCs w:val="21"/>
        </w:rPr>
        <w:t xml:space="preserve">TR – TRACEABILITY BEYOND THIS LEVEL IS NOT REQUIRED.</w:t>
      </w:r>
    </w:p>
    <w:p>
      <w:pPr>
        <w:spacing w:after="160" w:line="276"/>
      </w:pPr>
      <w:r>
        <w:rPr>
          <w:sz w:val="22"/>
          <w:szCs w:val="22"/>
        </w:rPr>
        <w:t xml:space="preserve">The end item does not receive the SER part note code. The contract assigns the end item’s identity, such as a tail number or a system serial number. When the contract requires IUID for the end item, apply the IUID part note code per Section 6.5.</w:t>
      </w:r>
    </w:p>
    <w:p>
      <w:pPr>
        <w:pStyle w:val="Heading1"/>
        <w:spacing w:after="160" w:before="360"/>
      </w:pPr>
      <w:r>
        <w:rPr>
          <w:b/>
          <w:bCs/>
          <w:color w:val="000000"/>
          <w:sz w:val="26"/>
          <w:szCs w:val="26"/>
        </w:rPr>
        <w:t xml:space="preserve">6.5	Item Unique Identification Required</w:t>
      </w:r>
    </w:p>
    <w:p>
      <w:pPr>
        <w:spacing w:after="160" w:line="276"/>
      </w:pPr>
      <w:r>
        <w:rPr>
          <w:sz w:val="22"/>
          <w:szCs w:val="22"/>
        </w:rPr>
        <w:t xml:space="preserve">The Item Unique Identification Required part note code (IUID) drives the action to mark an item with a unique item identifier (UII) and to report that UII to the Department of Defense IUID Registry.</w:t>
      </w:r>
    </w:p>
    <w:p>
      <w:pPr>
        <w:spacing w:after="160" w:line="276"/>
      </w:pPr>
      <w:r>
        <w:rPr>
          <w:sz w:val="22"/>
          <w:szCs w:val="22"/>
        </w:rPr>
        <w:t xml:space="preserve">IUID is a contract requirement. It applies when the contract includes the clause at DFARS 252.211-7003, Item Unique Identification and Valuation. It does not apply to aircraft or subsystems delivered only under FAA certification, unless the contract requires it. When the prime contract requires IUID for an item that a supplier provides, the contractor flows DFARS 252.211-7003 down to that subcontract, including subcontracts for commercial products and commercial services.</w:t>
      </w:r>
    </w:p>
    <w:p>
      <w:pPr>
        <w:spacing w:after="160" w:line="276"/>
      </w:pPr>
      <w:r>
        <w:rPr>
          <w:sz w:val="22"/>
          <w:szCs w:val="22"/>
        </w:rPr>
        <w:t xml:space="preserve">Every UII carries a serial number. An IUID item is therefore a serialized item. The UII adds two things that a serial number alone does not. It adds a machine-readable mark. It adds a registry record.</w:t>
      </w:r>
    </w:p>
    <w:p>
      <w:pPr>
        <w:pStyle w:val="Heading2"/>
        <w:spacing w:after="140" w:before="300"/>
      </w:pPr>
      <w:r>
        <w:rPr>
          <w:b/>
          <w:bCs/>
          <w:color w:val="000000"/>
          <w:sz w:val="24"/>
          <w:szCs w:val="24"/>
        </w:rPr>
        <w:t xml:space="preserve">6.5.1	Definitions</w:t>
      </w:r>
    </w:p>
    <w:p>
      <w:pPr>
        <w:spacing w:after="160" w:line="276"/>
      </w:pPr>
      <w:r>
        <w:rPr>
          <w:sz w:val="22"/>
          <w:szCs w:val="22"/>
        </w:rPr>
        <w:t xml:space="preserve">DFARS 252.211-7003 defines the key terms:</w:t>
      </w:r>
    </w:p>
    <w:p>
      <w:pPr>
        <w:pStyle w:val="ListParagraph"/>
        <w:numPr>
          <w:ilvl w:val="0"/>
          <w:numId w:val="2"/>
        </w:numPr>
        <w:spacing w:after="120" w:line="276"/>
      </w:pPr>
      <w:r>
        <w:rPr>
          <w:b/>
          <w:bCs/>
          <w:sz w:val="22"/>
          <w:szCs w:val="22"/>
        </w:rPr>
        <w:t xml:space="preserve">DoD item unique identification</w:t>
      </w:r>
      <w:r>
        <w:rPr>
          <w:sz w:val="22"/>
          <w:szCs w:val="22"/>
        </w:rPr>
        <w:t xml:space="preserve"> means “a system of marking items delivered to DoD with unique item identifiers that have machine-readable data elements to distinguish an item from all other like and unlike items. For items that are serialized within the enterprise identifier, the unique item identifier shall include the data elements of the enterprise identifier and a unique serial number. For items that are serialized within the part, lot, or batch number within the enterprise identifier, the unique item identifier shall include the data elements of the enterprise identifier; the original part, lot, or batch number; and the serial number.”</w:t>
      </w:r>
    </w:p>
    <w:p>
      <w:pPr>
        <w:pStyle w:val="ListParagraph"/>
        <w:numPr>
          <w:ilvl w:val="0"/>
          <w:numId w:val="2"/>
        </w:numPr>
        <w:spacing w:after="120" w:line="276"/>
      </w:pPr>
      <w:r>
        <w:rPr>
          <w:b/>
          <w:bCs/>
          <w:sz w:val="22"/>
          <w:szCs w:val="22"/>
        </w:rPr>
        <w:t xml:space="preserve">Unique item identifier</w:t>
      </w:r>
      <w:r>
        <w:rPr>
          <w:sz w:val="22"/>
          <w:szCs w:val="22"/>
        </w:rPr>
        <w:t xml:space="preserve"> means “a set of data elements marked on items that is globally unique and unambiguous. The term includes a concatenated unique item identifier or a DoD recognized unique identification equivalent.”</w:t>
      </w:r>
    </w:p>
    <w:p>
      <w:pPr>
        <w:pStyle w:val="ListParagraph"/>
        <w:numPr>
          <w:ilvl w:val="0"/>
          <w:numId w:val="2"/>
        </w:numPr>
        <w:spacing w:after="120" w:line="276"/>
      </w:pPr>
      <w:r>
        <w:rPr>
          <w:b/>
          <w:bCs/>
          <w:sz w:val="22"/>
          <w:szCs w:val="22"/>
        </w:rPr>
        <w:t xml:space="preserve">Parent item</w:t>
      </w:r>
      <w:r>
        <w:rPr>
          <w:sz w:val="22"/>
          <w:szCs w:val="22"/>
        </w:rPr>
        <w:t xml:space="preserve"> means “the item assembly, intermediate component, or subassembly that has an embedded item with a unique item identifier or DoD recognized unique identification equivalent.”</w:t>
      </w:r>
    </w:p>
    <w:p>
      <w:pPr>
        <w:pStyle w:val="Heading2"/>
        <w:spacing w:after="140" w:before="300"/>
      </w:pPr>
      <w:r>
        <w:rPr>
          <w:b/>
          <w:bCs/>
          <w:color w:val="000000"/>
          <w:sz w:val="24"/>
          <w:szCs w:val="24"/>
        </w:rPr>
        <w:t xml:space="preserve">6.5.2	When IUID Applies</w:t>
      </w:r>
    </w:p>
    <w:p>
      <w:pPr>
        <w:spacing w:after="160" w:line="276"/>
      </w:pPr>
      <w:r>
        <w:rPr>
          <w:sz w:val="22"/>
          <w:szCs w:val="22"/>
        </w:rPr>
        <w:t xml:space="preserve">DFARS 211.274-2(a) establishes the policy. IUID requirements come from the contract rather than from the type design.</w:t>
      </w:r>
    </w:p>
    <w:p>
      <w:pPr>
        <w:pStyle w:val="ListParagraph"/>
        <w:numPr>
          <w:ilvl w:val="0"/>
          <w:numId w:val="2"/>
        </w:numPr>
        <w:spacing w:after="120" w:line="276"/>
      </w:pPr>
      <w:r>
        <w:rPr>
          <w:b/>
          <w:bCs/>
          <w:sz w:val="22"/>
          <w:szCs w:val="22"/>
        </w:rPr>
        <w:t xml:space="preserve">Items at or above the value threshold:</w:t>
      </w:r>
      <w:r>
        <w:rPr>
          <w:sz w:val="22"/>
          <w:szCs w:val="22"/>
        </w:rPr>
        <w:t xml:space="preserve"> a delivered item for which the Government’s unit acquisition cost is $5,000 or more. IUID is required per DFARS 211.274-2(a)(1). The contract line item establishes the unit acquisition cost.</w:t>
      </w:r>
    </w:p>
    <w:p>
      <w:pPr>
        <w:pStyle w:val="ListParagraph"/>
        <w:numPr>
          <w:ilvl w:val="0"/>
          <w:numId w:val="2"/>
        </w:numPr>
        <w:spacing w:after="120" w:line="276"/>
      </w:pPr>
      <w:r>
        <w:rPr>
          <w:b/>
          <w:bCs/>
          <w:sz w:val="22"/>
          <w:szCs w:val="22"/>
        </w:rPr>
        <w:t xml:space="preserve">Mission essential or controlled inventory items below the value threshold:</w:t>
      </w:r>
      <w:r>
        <w:rPr>
          <w:sz w:val="22"/>
          <w:szCs w:val="22"/>
        </w:rPr>
        <w:t xml:space="preserve"> a delivered item for which the Government’s unit acquisition cost is less than $5,000. IUID is required per DFARS 211.274-2(a)(2) when the requiring activity determines that item unique identification is required for mission essential or controlled inventory items. The contract identifies these items.</w:t>
      </w:r>
    </w:p>
    <w:p>
      <w:pPr>
        <w:pStyle w:val="ListParagraph"/>
        <w:numPr>
          <w:ilvl w:val="0"/>
          <w:numId w:val="2"/>
        </w:numPr>
        <w:spacing w:after="120" w:line="276"/>
      </w:pPr>
      <w:r>
        <w:rPr>
          <w:b/>
          <w:bCs/>
          <w:sz w:val="22"/>
          <w:szCs w:val="22"/>
        </w:rPr>
        <w:t xml:space="preserve">DoD serially managed items:</w:t>
      </w:r>
      <w:r>
        <w:rPr>
          <w:sz w:val="22"/>
          <w:szCs w:val="22"/>
        </w:rPr>
        <w:t xml:space="preserve"> an item that the primary inventory control activity identifies as serially managed under DoDI 8320.04. These include capital asset equipment, Critical Safety Items, relocatable facilities, special test equipment and special tooling that is part of a major defense acquisition program, controlled inventory items as appropriate, and depot-level repairable items as determined by the item manager or the program manager. IUID is required regardless of value per DFARS 211.274-2(a)(3)(i). The requirement covers reparable and nonreparable items, and a subassembly, component, or part embedded within a subassembly, component, or part. The contract lists embedded DoD serially managed items in the attachment called out by DFARS 252.211-7003(c)(1)(iii).</w:t>
      </w:r>
    </w:p>
    <w:p>
      <w:pPr>
        <w:pStyle w:val="ListParagraph"/>
        <w:numPr>
          <w:ilvl w:val="0"/>
          <w:numId w:val="2"/>
        </w:numPr>
        <w:spacing w:after="120" w:line="276"/>
      </w:pPr>
      <w:r>
        <w:rPr>
          <w:b/>
          <w:bCs/>
          <w:sz w:val="22"/>
          <w:szCs w:val="22"/>
        </w:rPr>
        <w:t xml:space="preserve">Parent items:</w:t>
      </w:r>
      <w:r>
        <w:rPr>
          <w:sz w:val="22"/>
          <w:szCs w:val="22"/>
        </w:rPr>
        <w:t xml:space="preserve"> IUID is required regardless of value per DFARS 211.274-2(a)(3)(ii). At delivery, the contractor reports the UII of the parent item together with the UII of each embedded item, per DFARS 252.211-7003(e).</w:t>
      </w:r>
    </w:p>
    <w:p>
      <w:pPr>
        <w:pStyle w:val="ListParagraph"/>
        <w:numPr>
          <w:ilvl w:val="0"/>
          <w:numId w:val="2"/>
        </w:numPr>
        <w:spacing w:after="120" w:line="276"/>
      </w:pPr>
      <w:r>
        <w:rPr>
          <w:b/>
          <w:bCs/>
          <w:sz w:val="22"/>
          <w:szCs w:val="22"/>
        </w:rPr>
        <w:t xml:space="preserve">Warranted serialized items:</w:t>
      </w:r>
      <w:r>
        <w:rPr>
          <w:sz w:val="22"/>
          <w:szCs w:val="22"/>
        </w:rPr>
        <w:t xml:space="preserve"> a serialized item delivered under a warranty. IUID is required regardless of value per DFARS 211.274-2(a)(3)(iii).</w:t>
      </w:r>
    </w:p>
    <w:p>
      <w:pPr>
        <w:pStyle w:val="ListParagraph"/>
        <w:numPr>
          <w:ilvl w:val="0"/>
          <w:numId w:val="2"/>
        </w:numPr>
        <w:spacing w:after="120" w:line="276"/>
      </w:pPr>
      <w:r>
        <w:rPr>
          <w:b/>
          <w:bCs/>
          <w:sz w:val="22"/>
          <w:szCs w:val="22"/>
        </w:rPr>
        <w:t xml:space="preserve">Special tooling and special test equipment:</w:t>
      </w:r>
      <w:r>
        <w:rPr>
          <w:sz w:val="22"/>
          <w:szCs w:val="22"/>
        </w:rPr>
        <w:t xml:space="preserve"> an item of special tooling or special test equipment, as defined at FAR 2.101, for a major defense acquisition program that is designated for preservation and storage in accordance with section 815 of the National Defense Authorization Act for Fiscal Year 2009 (Public Law 110-417). IUID is required regardless of value per DFARS 211.274-2(a)(3)(iv).</w:t>
      </w:r>
    </w:p>
    <w:p>
      <w:pPr>
        <w:pStyle w:val="ListParagraph"/>
        <w:numPr>
          <w:ilvl w:val="0"/>
          <w:numId w:val="2"/>
        </w:numPr>
        <w:spacing w:after="120" w:line="276"/>
      </w:pPr>
      <w:r>
        <w:rPr>
          <w:b/>
          <w:bCs/>
          <w:sz w:val="22"/>
          <w:szCs w:val="22"/>
        </w:rPr>
        <w:t xml:space="preserve">High risk items:</w:t>
      </w:r>
      <w:r>
        <w:rPr>
          <w:sz w:val="22"/>
          <w:szCs w:val="22"/>
        </w:rPr>
        <w:t xml:space="preserve"> an item that the requiring activity identifies as vulnerable to supply chain threat, as a target of cyber threats, or as susceptible to counterfeiting. IUID is required regardless of value per DFARS 211.274-2(a)(3)(v).</w:t>
      </w:r>
    </w:p>
    <w:p>
      <w:pPr>
        <w:pStyle w:val="Heading2"/>
        <w:spacing w:after="140" w:before="300"/>
      </w:pPr>
      <w:r>
        <w:rPr>
          <w:b/>
          <w:bCs/>
          <w:color w:val="000000"/>
          <w:sz w:val="24"/>
          <w:szCs w:val="24"/>
        </w:rPr>
        <w:t xml:space="preserve">6.5.3	Marking, Serialization Construct, and Reporting</w:t>
      </w:r>
    </w:p>
    <w:p>
      <w:pPr>
        <w:spacing w:after="160" w:line="276"/>
      </w:pPr>
      <w:r>
        <w:rPr>
          <w:b/>
          <w:bCs/>
          <w:sz w:val="22"/>
          <w:szCs w:val="22"/>
        </w:rPr>
        <w:t xml:space="preserve">Marking.</w:t>
      </w:r>
      <w:r>
        <w:rPr>
          <w:sz w:val="22"/>
          <w:szCs w:val="22"/>
        </w:rPr>
        <w:t xml:space="preserve"> The build environment marks the UII data elements on the item using a two-dimensional data matrix symbol that complies with ISO/IEC 16022, ECC200. Marking follows MIL-STD-130, Identification Marking of U.S. Military Property, latest version. The build environment verifies each mark with an automatic identification technology device programmed to the requirements of Appendix A of MIL-STD-130. The issuing agency code is not placed on the item. When an item is too small or otherwise impractical to mark, follow the alternative marking provisions of MIL-STD-130. Shipments, storage containers, and packages that contain uniquely identified items are labeled in accordance with MIL-STD-129, Military Marking for Shipment and Storage, latest version.</w:t>
      </w:r>
    </w:p>
    <w:p>
      <w:pPr>
        <w:spacing w:after="160" w:line="276"/>
      </w:pPr>
      <w:r>
        <w:rPr>
          <w:b/>
          <w:bCs/>
          <w:sz w:val="22"/>
          <w:szCs w:val="22"/>
        </w:rPr>
        <w:t xml:space="preserve">Serialization construct.</w:t>
      </w:r>
      <w:r>
        <w:rPr>
          <w:sz w:val="22"/>
          <w:szCs w:val="22"/>
        </w:rPr>
        <w:t xml:space="preserve"> The enterprise chooses one of three methods. It may serialize within the enterprise identifier. It may serialize within the original part, lot, or batch number. It may use a DoD recognized unique identification equivalent. Each method gives every item its own identity. Lot/batch recording alone does not satisfy IUID.</w:t>
      </w:r>
    </w:p>
    <w:p>
      <w:pPr>
        <w:spacing w:after="160" w:line="276"/>
      </w:pPr>
      <w:r>
        <w:rPr>
          <w:b/>
          <w:bCs/>
          <w:sz w:val="22"/>
          <w:szCs w:val="22"/>
        </w:rPr>
        <w:t xml:space="preserve">Reporting.</w:t>
      </w:r>
      <w:r>
        <w:rPr>
          <w:sz w:val="22"/>
          <w:szCs w:val="22"/>
        </w:rPr>
        <w:t xml:space="preserve"> The contractor reports each UII at the time of delivery, as part of the Material Inspection and Receiving Report. End items are reported using the receiving report capability in Wide Area WorkFlow (WAWF). Embedded items are reported through the WAWF embedded items capability, by direct data submission to the IUID Registry, or as a WAWF deliverable attachment. For each embedded item, the report includes the UII of the parent item that contains it. Configuration Management reconciles the IUID part note code on the design with the UIIs reported.</w:t>
      </w:r>
    </w:p>
    <w:p>
      <w:pPr>
        <w:pStyle w:val="Heading2"/>
        <w:spacing w:after="140" w:before="300"/>
      </w:pPr>
      <w:r>
        <w:rPr>
          <w:b/>
          <w:bCs/>
          <w:color w:val="000000"/>
          <w:sz w:val="24"/>
          <w:szCs w:val="24"/>
        </w:rPr>
        <w:t xml:space="preserve">6.5.4	Applying the IUID Part Note Code</w:t>
      </w:r>
    </w:p>
    <w:p>
      <w:pPr>
        <w:spacing w:after="160" w:line="276"/>
      </w:pPr>
      <w:r>
        <w:rPr>
          <w:sz w:val="22"/>
          <w:szCs w:val="22"/>
        </w:rPr>
        <w:t xml:space="preserve">For each item that holds an IUID requirement, apply part note codes and note texts:</w:t>
      </w:r>
    </w:p>
    <w:p>
      <w:pPr>
        <w:spacing w:after="160" w:before="60" w:line="264"/>
        <w:ind w:left="504"/>
      </w:pPr>
      <w:r>
        <w:rPr>
          <w:b/>
          <w:bCs/>
          <w:sz w:val="21"/>
          <w:szCs w:val="21"/>
        </w:rPr>
        <w:t xml:space="preserve">IUID – ITEM UNIQUE IDENTIFICATION REQUIRED. MARK THIS ITEM WITH A UNIQUE ITEM IDENTIFIER (UII) IN ACCORDANCE WITH MIL-STD-130 AND REPORT THE UII IN ACCORDANCE WITH DFARS 252.211-7003.</w:t>
      </w:r>
    </w:p>
    <w:p>
      <w:pPr>
        <w:spacing w:after="160" w:before="60" w:line="264"/>
        <w:ind w:left="504"/>
      </w:pPr>
      <w:r>
        <w:rPr>
          <w:b/>
          <w:bCs/>
          <w:sz w:val="21"/>
          <w:szCs w:val="21"/>
        </w:rPr>
        <w:t xml:space="preserve">SER – SERIALIZATION RECORDING REQUIRED. THIS ITEM IS SERIALIZED AND TRACEABILITY MUST BE MAINTAINED BETWEEN THIS ITEM AND ALL HIGHER-LEVEL PHYSICAL ITEMS UP TO THE END ITEM.</w:t>
      </w:r>
    </w:p>
    <w:p>
      <w:pPr>
        <w:spacing w:after="160" w:line="276"/>
      </w:pPr>
      <w:r>
        <w:rPr>
          <w:sz w:val="22"/>
          <w:szCs w:val="22"/>
        </w:rPr>
        <w:t xml:space="preserve">For each parent item that contains an embedded item carrying a UII, apply part note code and note text:</w:t>
      </w:r>
    </w:p>
    <w:p>
      <w:pPr>
        <w:spacing w:after="160" w:before="60" w:line="264"/>
        <w:ind w:left="504"/>
      </w:pPr>
      <w:r>
        <w:rPr>
          <w:b/>
          <w:bCs/>
          <w:sz w:val="21"/>
          <w:szCs w:val="21"/>
        </w:rPr>
        <w:t xml:space="preserve">IUID – ITEM UNIQUE IDENTIFICATION REQUIRED. THIS ITEM IS A PARENT ITEM. MARK THIS ITEM WITH A UNIQUE ITEM IDENTIFIER (UII) IN ACCORDANCE WITH MIL-STD-130 AND REPORT THE UIIS OF ITS EMBEDDED ITEMS IN ACCORDANCE WITH DFARS 252.211-7003.</w:t>
      </w:r>
    </w:p>
    <w:p>
      <w:pPr>
        <w:spacing w:after="160" w:line="276"/>
      </w:pPr>
      <w:r>
        <w:rPr>
          <w:sz w:val="22"/>
          <w:szCs w:val="22"/>
        </w:rPr>
        <w:t xml:space="preserve">Coordinate the parent item level with the contracting activity. The contract governs which assembly is the parent item.</w:t>
      </w:r>
    </w:p>
    <w:p>
      <w:pPr>
        <w:spacing w:after="160" w:line="276"/>
      </w:pPr>
      <w:r>
        <w:rPr>
          <w:sz w:val="22"/>
          <w:szCs w:val="22"/>
        </w:rPr>
        <w:t xml:space="preserve">The IUID part note code does not flow up the product tree on its own. Apply it only to items that hold an IUID requirement and to the parent items that the contract identifies. The SER and TR part note codes do flow up the product tree.</w:t>
      </w:r>
    </w:p>
    <w:p>
      <w:pPr>
        <w:pBdr>
          <w:left w:val="single" w:color="808080" w:sz="12" w:space="8"/>
        </w:pBdr>
        <w:spacing w:after="200" w:before="60" w:line="264"/>
        <w:ind w:left="504"/>
      </w:pPr>
      <w:r>
        <w:rPr>
          <w:i/>
          <w:iCs/>
          <w:sz w:val="21"/>
          <w:szCs w:val="21"/>
        </w:rPr>
        <w:t xml:space="preserve">Codes: IUID and SER. Serialization and traceability records must then be maintained up the product tree to the end item, per Section 6.4.1.</w:t>
      </w:r>
    </w:p>
    <w:p>
      <w:pPr>
        <w:pStyle w:val="Heading1"/>
        <w:spacing w:after="160" w:before="360"/>
      </w:pPr>
      <w:r>
        <w:rPr>
          <w:b/>
          <w:bCs/>
          <w:color w:val="000000"/>
          <w:sz w:val="26"/>
          <w:szCs w:val="26"/>
        </w:rPr>
        <w:t xml:space="preserve">6.6	Life Limited</w:t>
      </w:r>
    </w:p>
    <w:p>
      <w:pPr>
        <w:spacing w:after="160" w:line="276"/>
      </w:pPr>
      <w:r>
        <w:rPr>
          <w:sz w:val="22"/>
          <w:szCs w:val="22"/>
        </w:rPr>
        <w:t xml:space="preserve">The Life Limited part note code (LL) identifies the item as life-limited and states its limit. It does not create records on its own. Apply it together with the identity code that the requirement source drives.</w:t>
      </w:r>
    </w:p>
    <w:p>
      <w:pPr>
        <w:spacing w:after="160" w:line="276"/>
      </w:pPr>
      <w:r>
        <w:rPr>
          <w:sz w:val="22"/>
          <w:szCs w:val="22"/>
        </w:rPr>
        <w:t xml:space="preserve">14 CFR 43.10 defines a life-limited part as “any part for which a mandatory replacement limit is specified in the type design, the Instructions for Continued Airworthiness, or the maintenance manual.” It defines life status as “the accumulated cycles, hours, or any other mandatory replacement limit of a life-limited part.” The limit may be expressed in cycles, hours, or calendar time.</w:t>
      </w:r>
    </w:p>
    <w:p>
      <w:pPr>
        <w:spacing w:after="160" w:line="276"/>
      </w:pPr>
      <w:r>
        <w:rPr>
          <w:sz w:val="22"/>
          <w:szCs w:val="22"/>
        </w:rPr>
        <w:t xml:space="preserve">14 CFR 43.10 requires each person who removes a life-limited part from a type-certificated product to control that part by a method that deters installation after the part reaches its life limit. Acceptable methods are a record keeping system, a tag or record attached to the part, non-permanent marking, permanent marking, segregation, mutilation, or another method approved or accepted by the FAA. When the part is later sold or transferred, the mark, tag, or record must go with it, unless the part is mutilated first.</w:t>
      </w:r>
    </w:p>
    <w:p>
      <w:pPr>
        <w:spacing w:after="160" w:line="276"/>
      </w:pPr>
      <w:r>
        <w:rPr>
          <w:sz w:val="22"/>
          <w:szCs w:val="22"/>
        </w:rPr>
        <w:t xml:space="preserve">Most of these methods require a part number and a serial number. Serialization is what makes 14 CFR 43.10 compliance workable. The serialization requirement itself comes from 14 CFR 45.15(c) when the limit appears in the Airworthiness Limitations Section.</w:t>
      </w:r>
    </w:p>
    <w:p>
      <w:pPr>
        <w:spacing w:after="160" w:line="276"/>
      </w:pPr>
      <w:r>
        <w:rPr>
          <w:sz w:val="22"/>
          <w:szCs w:val="22"/>
        </w:rPr>
        <w:t xml:space="preserve">A shelf life, cure date, or storage age limit on material held in storage is not, by itself, a 14 CFR 43.10 mandatory replacement limit.</w:t>
      </w:r>
    </w:p>
    <w:p>
      <w:pPr>
        <w:spacing w:after="160" w:line="276"/>
      </w:pPr>
      <w:r>
        <w:rPr>
          <w:sz w:val="22"/>
          <w:szCs w:val="22"/>
        </w:rPr>
        <w:t xml:space="preserve">There are two categories of life-limited part. The LL note text states which category the limit belongs to. It does not set the identity code. Set the identity code from the requirement source.</w:t>
      </w:r>
    </w:p>
    <w:p>
      <w:pPr>
        <w:pStyle w:val="Heading2"/>
        <w:spacing w:after="140" w:before="300"/>
      </w:pPr>
      <w:r>
        <w:rPr>
          <w:b/>
          <w:bCs/>
          <w:color w:val="000000"/>
          <w:sz w:val="24"/>
          <w:szCs w:val="24"/>
        </w:rPr>
        <w:t xml:space="preserve">6.6.1	Cycle/Usage-Controlled Life-Limited Items</w:t>
      </w:r>
    </w:p>
    <w:p>
      <w:pPr>
        <w:spacing w:after="160" w:line="276"/>
      </w:pPr>
      <w:r>
        <w:rPr>
          <w:sz w:val="22"/>
          <w:szCs w:val="22"/>
        </w:rPr>
        <w:t xml:space="preserve">A Cycle/Usage-Controlled Life-Limited Item is an item life-limited by cycles or operating hours. It is serialized because remaining life is a per-unit quantity.</w:t>
      </w:r>
    </w:p>
    <w:p>
      <w:pPr>
        <w:spacing w:after="160" w:line="276"/>
      </w:pPr>
      <w:r>
        <w:rPr>
          <w:sz w:val="22"/>
          <w:szCs w:val="22"/>
        </w:rPr>
        <w:t xml:space="preserve">Common examples requiring serialization: landing gear assemblies, main gear shock struts and oleo cylinders, main wheel axles, side stays and drag braces, flap and slat actuator ball screws, auxiliary power unit components, air cycle machine turbines, air cycle machine compressors, ram air turbine deploy actuators, turbine disks, compressor disks, turbine blades, primary bleed air valves, and pitch change actuator piston assemblies.</w:t>
      </w:r>
    </w:p>
    <w:p>
      <w:pPr>
        <w:spacing w:after="160" w:line="276"/>
      </w:pPr>
      <w:r>
        <w:rPr>
          <w:sz w:val="22"/>
          <w:szCs w:val="22"/>
        </w:rPr>
        <w:t xml:space="preserve">For a Cycle/Usage-Controlled Life-Limited Item, apply part note codes and note texts:</w:t>
      </w:r>
    </w:p>
    <w:p>
      <w:pPr>
        <w:spacing w:after="160" w:before="60" w:line="264"/>
        <w:ind w:left="504"/>
      </w:pPr>
      <w:r>
        <w:rPr>
          <w:b/>
          <w:bCs/>
          <w:sz w:val="21"/>
          <w:szCs w:val="21"/>
        </w:rPr>
        <w:t xml:space="preserve">LL – LIFE LIMITED PART. THIS PART IS CYCLE/USAGE-CONTROLLED AND IS LIMITED TO A SPECIFIC NUMBER OF USAGES. [NUMBER OF FLIGHTS, CYCLE LIMIT, ETC.].</w:t>
      </w:r>
    </w:p>
    <w:p>
      <w:pPr>
        <w:spacing w:after="160" w:before="60" w:line="264"/>
        <w:ind w:left="504"/>
      </w:pPr>
      <w:r>
        <w:rPr>
          <w:b/>
          <w:bCs/>
          <w:sz w:val="21"/>
          <w:szCs w:val="21"/>
        </w:rPr>
        <w:t xml:space="preserve">SER – SERIALIZATION RECORDING REQUIRED. THIS ITEM IS SERIALIZED AND TRACEABILITY MUST BE MAINTAINED BETWEEN THIS ITEM AND ALL HIGHER-LEVEL PHYSICAL ITEMS UP TO THE END ITEM.</w:t>
      </w:r>
    </w:p>
    <w:p>
      <w:pPr>
        <w:pBdr>
          <w:left w:val="single" w:color="808080" w:sz="12" w:space="8"/>
        </w:pBdr>
        <w:spacing w:after="200" w:before="60" w:line="264"/>
        <w:ind w:left="504"/>
      </w:pPr>
      <w:r>
        <w:rPr>
          <w:i/>
          <w:iCs/>
          <w:sz w:val="21"/>
          <w:szCs w:val="21"/>
        </w:rPr>
        <w:t xml:space="preserve">Codes: LL and SER. Serialization and traceability records must then be maintained up the product tree to the end item, per Section 6.4.1.</w:t>
      </w:r>
    </w:p>
    <w:p>
      <w:pPr>
        <w:pStyle w:val="Heading2"/>
        <w:spacing w:after="140" w:before="300"/>
      </w:pPr>
      <w:r>
        <w:rPr>
          <w:b/>
          <w:bCs/>
          <w:color w:val="000000"/>
          <w:sz w:val="24"/>
          <w:szCs w:val="24"/>
        </w:rPr>
        <w:t xml:space="preserve">6.6.2	Age/Shelf-Life-Controlled Life-Limited Items</w:t>
      </w:r>
    </w:p>
    <w:p>
      <w:pPr>
        <w:spacing w:after="160" w:line="276"/>
      </w:pPr>
      <w:r>
        <w:rPr>
          <w:sz w:val="22"/>
          <w:szCs w:val="22"/>
        </w:rPr>
        <w:t xml:space="preserve">An Age/Shelf-Life-Controlled Life-Limited Item is an item life-limited by shelf life, cure date, or storage age. It is lot/batch recorded because the limit attaches to the manufacturing lot/batch rather than to the individual unit.</w:t>
      </w:r>
    </w:p>
    <w:p>
      <w:pPr>
        <w:spacing w:after="160" w:line="276"/>
      </w:pPr>
      <w:r>
        <w:rPr>
          <w:sz w:val="22"/>
          <w:szCs w:val="22"/>
        </w:rPr>
        <w:t xml:space="preserve">Common examples requiring lot/batch recording: O-rings, gaskets, rubber-based hoses such as hydraulic hoses and fuel hoses, electronic components (EEE), microchips, capacitors, diodes, lithium batteries, standard circuit breakers, relays, epoxy resins used in structural bonding, carbon fiber or fiberglass sheets pre-impregnated with a synthetic resin matrix (prepregs), polysulfide or polythioether gap and fuel tank sealants, polyurethane topcoats, chromate and non-chromate primers, synthetic grease used on actuator screws or landing gear pivots or bearings, emergency oxygen candles, fire extinguisher squibs, oxygen mask rebreather bags, medical kits, life vests, life jackets, and filters.</w:t>
      </w:r>
    </w:p>
    <w:p>
      <w:pPr>
        <w:spacing w:after="160" w:line="276"/>
      </w:pPr>
      <w:r>
        <w:rPr>
          <w:sz w:val="22"/>
          <w:szCs w:val="22"/>
        </w:rPr>
        <w:t xml:space="preserve">Specialized metallic fasteners have no shelf life. They carry heat and lot traceability. Treat them under Section 6.3.4, not as life-limited items.</w:t>
      </w:r>
    </w:p>
    <w:p>
      <w:pPr>
        <w:spacing w:after="160" w:line="276"/>
      </w:pPr>
      <w:r>
        <w:rPr>
          <w:sz w:val="22"/>
          <w:szCs w:val="22"/>
        </w:rPr>
        <w:t xml:space="preserve">Two pairings follow. A calendar limit does not by itself make an item a lot/batch item.</w:t>
      </w:r>
    </w:p>
    <w:p>
      <w:pPr>
        <w:spacing w:after="160" w:line="276"/>
      </w:pPr>
      <w:r>
        <w:rPr>
          <w:b/>
          <w:bCs/>
          <w:sz w:val="22"/>
          <w:szCs w:val="22"/>
        </w:rPr>
        <w:t xml:space="preserve">Calendar limit on a discrete part carrying an Airworthiness Limitations Section entry.</w:t>
      </w:r>
      <w:r>
        <w:rPr>
          <w:sz w:val="22"/>
          <w:szCs w:val="22"/>
        </w:rPr>
        <w:t xml:space="preserve"> 14 CFR 45.15(c) requires the serial number whether the limit is expressed in cycles, hours, or calendar time. Apply part note codes and note texts:</w:t>
      </w:r>
    </w:p>
    <w:p>
      <w:pPr>
        <w:spacing w:after="160" w:before="60" w:line="264"/>
        <w:ind w:left="504"/>
      </w:pPr>
      <w:r>
        <w:rPr>
          <w:b/>
          <w:bCs/>
          <w:sz w:val="21"/>
          <w:szCs w:val="21"/>
        </w:rPr>
        <w:t xml:space="preserve">LL – LIFE LIMITED PART. THIS PART IS AGE/SHELF-LIFE-CONTROLLED IRRESPECTIVE OF HOW MANY TIMES IT IS USED. [SHELF LIFE, CURE DATE LIMIT, OR STORAGE AGE LIMIT].</w:t>
      </w:r>
    </w:p>
    <w:p>
      <w:pPr>
        <w:spacing w:after="160" w:before="60" w:line="264"/>
        <w:ind w:left="504"/>
      </w:pPr>
      <w:r>
        <w:rPr>
          <w:b/>
          <w:bCs/>
          <w:sz w:val="21"/>
          <w:szCs w:val="21"/>
        </w:rPr>
        <w:t xml:space="preserve">SER – SERIALIZATION RECORDING REQUIRED. THIS ITEM IS SERIALIZED AND TRACEABILITY MUST BE MAINTAINED BETWEEN THIS ITEM AND ALL HIGHER-LEVEL PHYSICAL ITEMS UP TO THE END ITEM.</w:t>
      </w:r>
    </w:p>
    <w:p>
      <w:pPr>
        <w:spacing w:after="160" w:line="276"/>
      </w:pPr>
      <w:r>
        <w:rPr>
          <w:b/>
          <w:bCs/>
          <w:sz w:val="22"/>
          <w:szCs w:val="22"/>
        </w:rPr>
        <w:t xml:space="preserve">Shelf life, cure date, or storage age limit that attaches to the manufacturing lot/batch.</w:t>
      </w:r>
      <w:r>
        <w:rPr>
          <w:sz w:val="22"/>
          <w:szCs w:val="22"/>
        </w:rPr>
        <w:t xml:space="preserve"> Use this pairing when no certification or contractual requirement calls for serialization. Apply part note codes and note texts:</w:t>
      </w:r>
    </w:p>
    <w:p>
      <w:pPr>
        <w:spacing w:after="160" w:before="60" w:line="264"/>
        <w:ind w:left="504"/>
      </w:pPr>
      <w:r>
        <w:rPr>
          <w:b/>
          <w:bCs/>
          <w:sz w:val="21"/>
          <w:szCs w:val="21"/>
        </w:rPr>
        <w:t xml:space="preserve">LL – LIFE LIMITED PART. THIS PART IS AGE/SHELF-LIFE-CONTROLLED IRRESPECTIVE OF HOW MANY TIMES IT IS USED. [SHELF LIFE, CURE DATE LIMIT, OR STORAGE AGE LIMIT].</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pBdr>
          <w:left w:val="single" w:color="808080" w:sz="12" w:space="8"/>
        </w:pBdr>
        <w:spacing w:after="200" w:before="60" w:line="264"/>
        <w:ind w:left="504"/>
      </w:pPr>
      <w:r>
        <w:rPr>
          <w:i/>
          <w:iCs/>
          <w:sz w:val="21"/>
          <w:szCs w:val="21"/>
        </w:rPr>
        <w:t xml:space="preserve">Codes: LL, with SER or LOT per the two pairings above. Serialization and traceability records must then be maintained up the product tree to the end item, per Section 6.4.1.</w:t>
      </w:r>
    </w:p>
    <w:p>
      <w:pPr>
        <w:pStyle w:val="Heading1"/>
        <w:spacing w:after="160" w:before="360"/>
      </w:pPr>
      <w:r>
        <w:rPr>
          <w:b/>
          <w:bCs/>
          <w:color w:val="000000"/>
          <w:sz w:val="26"/>
          <w:szCs w:val="26"/>
        </w:rPr>
        <w:t xml:space="preserve">6.7	Critical Items</w:t>
      </w:r>
    </w:p>
    <w:p>
      <w:pPr>
        <w:spacing w:after="160" w:line="276"/>
      </w:pPr>
      <w:r>
        <w:rPr>
          <w:sz w:val="22"/>
          <w:szCs w:val="22"/>
        </w:rPr>
        <w:t xml:space="preserve">“Critical Items” is a broad term. It covers numerous part classifications and designations related to safety. Some are distinctive to customer requirements or to applicable regulatory agencies. Others rest on engineering governance and analysis, and are not driven solely by customer or regulatory agency definition. Critical Items include Critical Safety Items, Fracture-Critical Traceable Parts, and Safety-Critical Items.</w:t>
      </w:r>
    </w:p>
    <w:p>
      <w:pPr>
        <w:pStyle w:val="Heading2"/>
        <w:spacing w:after="140" w:before="300"/>
      </w:pPr>
      <w:r>
        <w:rPr>
          <w:b/>
          <w:bCs/>
          <w:color w:val="000000"/>
          <w:sz w:val="24"/>
          <w:szCs w:val="24"/>
        </w:rPr>
        <w:t xml:space="preserve">6.7.1	Critical Safety Items</w:t>
      </w:r>
    </w:p>
    <w:p>
      <w:pPr>
        <w:spacing w:after="160" w:line="276"/>
      </w:pPr>
      <w:r>
        <w:rPr>
          <w:sz w:val="22"/>
          <w:szCs w:val="22"/>
        </w:rPr>
        <w:t xml:space="preserve">DFARS 209.270-2 defines an aviation critical safety item as a part, an assembly, installation equipment, launch equipment, recovery equipment, or support equipment for an aircraft or aviation weapon system if the part, assembly, or equipment contains a characteristic any failure, malfunction, or absence of which could cause any of the following:</w:t>
      </w:r>
    </w:p>
    <w:p>
      <w:pPr>
        <w:pStyle w:val="ListParagraph"/>
        <w:numPr>
          <w:ilvl w:val="0"/>
          <w:numId w:val="2"/>
        </w:numPr>
        <w:spacing w:after="120" w:line="276"/>
      </w:pPr>
      <w:r>
        <w:rPr>
          <w:sz w:val="22"/>
          <w:szCs w:val="22"/>
        </w:rPr>
        <w:t xml:space="preserve">“(1) A catastrophic or critical failure resulting in the loss of or serious damage to the aircraft or weapon system;”</w:t>
      </w:r>
    </w:p>
    <w:p>
      <w:pPr>
        <w:pStyle w:val="ListParagraph"/>
        <w:numPr>
          <w:ilvl w:val="0"/>
          <w:numId w:val="2"/>
        </w:numPr>
        <w:spacing w:after="120" w:line="276"/>
      </w:pPr>
      <w:r>
        <w:rPr>
          <w:sz w:val="22"/>
          <w:szCs w:val="22"/>
        </w:rPr>
        <w:t xml:space="preserve">“(2) An unacceptable risk of personal injury or loss of life; or”</w:t>
      </w:r>
    </w:p>
    <w:p>
      <w:pPr>
        <w:pStyle w:val="ListParagraph"/>
        <w:numPr>
          <w:ilvl w:val="0"/>
          <w:numId w:val="2"/>
        </w:numPr>
        <w:spacing w:after="120" w:line="276"/>
      </w:pPr>
      <w:r>
        <w:rPr>
          <w:sz w:val="22"/>
          <w:szCs w:val="22"/>
        </w:rPr>
        <w:t xml:space="preserve">“(3) An uncommanded engine shutdown that jeopardizes safety.”</w:t>
      </w:r>
    </w:p>
    <w:p>
      <w:pPr>
        <w:spacing w:after="160" w:line="276"/>
      </w:pPr>
      <w:r>
        <w:rPr>
          <w:sz w:val="22"/>
          <w:szCs w:val="22"/>
        </w:rPr>
        <w:t xml:space="preserve">Section 802 of Public Law 108-136 is the statutory basis. DFARS 209.270 and DFARS PGI 209.270 establish the qualification requirements, source approval, and procedures. The contract clause at DFARS 252.209-7010, also published at 48 CFR 252.209-7010, carries the definitions and the heightened quality assurance surveillance requirement.</w:t>
      </w:r>
    </w:p>
    <w:p>
      <w:pPr>
        <w:spacing w:after="160" w:line="276"/>
      </w:pPr>
      <w:r>
        <w:rPr>
          <w:sz w:val="22"/>
          <w:szCs w:val="22"/>
        </w:rPr>
        <w:t xml:space="preserve">The design control activity designates Critical Safety Items. DFARS 252.209-7010 defines the design control activity, for an aviation critical safety item, as “the systems command of a military department that is specifically responsible for ensuring the airworthiness of an aviation system or equipment, in which an aviation critical safety item is to be used.” Systems Safety and engineering support provide inputs to that designation.</w:t>
      </w:r>
    </w:p>
    <w:p>
      <w:pPr>
        <w:spacing w:after="160" w:line="276"/>
      </w:pPr>
      <w:r>
        <w:rPr>
          <w:sz w:val="22"/>
          <w:szCs w:val="22"/>
        </w:rPr>
        <w:t xml:space="preserve">Critical Safety Item identification does not apply to aircraft or subsystems purchased, operated, and maintained in accordance with FAA certification, unless the United States Air Force Engineering Support Activity requires it. Critical Safety Item policies do not override or duplicate FAA approaches when those approaches apply and satisfy military Critical Safety Item objectives.</w:t>
      </w:r>
    </w:p>
    <w:p>
      <w:pPr>
        <w:spacing w:after="160" w:line="276"/>
      </w:pPr>
      <w:r>
        <w:rPr>
          <w:sz w:val="22"/>
          <w:szCs w:val="22"/>
        </w:rPr>
        <w:t xml:space="preserve">Serialization reaches a Critical Safety Item through IUID. DoDI 8320.04 directs the primary inventory control activity to identify Critical Safety Items as DoD serially managed items. DFARS 211.274-2(a)(3)(i) requires IUID for any DoD serially managed item regardless of value. Every UII carries a serial number. See Section 6.5.</w:t>
      </w:r>
    </w:p>
    <w:p>
      <w:pPr>
        <w:spacing w:after="160" w:line="276"/>
      </w:pPr>
      <w:r>
        <w:rPr>
          <w:sz w:val="22"/>
          <w:szCs w:val="22"/>
        </w:rPr>
        <w:t xml:space="preserve">Lot/batch recording is also required, with traceability to an approved source. Lot and heat control is typical for structural and rotating hardware.</w:t>
      </w:r>
    </w:p>
    <w:p>
      <w:pPr>
        <w:spacing w:after="160" w:line="276"/>
      </w:pPr>
      <w:r>
        <w:rPr>
          <w:sz w:val="22"/>
          <w:szCs w:val="22"/>
        </w:rPr>
        <w:t xml:space="preserve">For Critical Safety Items, apply part note codes and note texts:</w:t>
      </w:r>
    </w:p>
    <w:p>
      <w:pPr>
        <w:spacing w:after="160" w:before="60" w:line="264"/>
        <w:ind w:left="504"/>
      </w:pPr>
      <w:r>
        <w:rPr>
          <w:b/>
          <w:bCs/>
          <w:sz w:val="21"/>
          <w:szCs w:val="21"/>
        </w:rPr>
        <w:t xml:space="preserve">CSI – CRITICAL SAFETY ITEM.</w:t>
      </w:r>
    </w:p>
    <w:p>
      <w:pPr>
        <w:spacing w:after="160" w:before="60" w:line="264"/>
        <w:ind w:left="504"/>
      </w:pPr>
      <w:r>
        <w:rPr>
          <w:b/>
          <w:bCs/>
          <w:sz w:val="21"/>
          <w:szCs w:val="21"/>
        </w:rPr>
        <w:t xml:space="preserve">SER – SERIALIZATION RECORDING REQUIRED. THIS ITEM IS SERIALIZED AND TRACEABILITY MUST BE MAINTAINED BETWEEN THIS ITEM AND ALL HIGHER-LEVEL PHYSICAL ITEMS UP TO THE END ITEM.</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spacing w:after="160" w:before="60" w:line="264"/>
        <w:ind w:left="504"/>
      </w:pPr>
      <w:r>
        <w:rPr>
          <w:b/>
          <w:bCs/>
          <w:sz w:val="21"/>
          <w:szCs w:val="21"/>
        </w:rPr>
        <w:t xml:space="preserve">IUID – ITEM UNIQUE IDENTIFICATION REQUIRED. MARK THIS ITEM WITH A UNIQUE ITEM IDENTIFIER (UII) IN ACCORDANCE WITH MIL-STD-130 AND REPORT THE UII IN ACCORDANCE WITH DFARS 252.211-7003.</w:t>
      </w:r>
    </w:p>
    <w:p>
      <w:pPr>
        <w:spacing w:after="160" w:line="276"/>
      </w:pPr>
      <w:r>
        <w:rPr>
          <w:sz w:val="22"/>
          <w:szCs w:val="22"/>
        </w:rPr>
        <w:t xml:space="preserve">Do not apply the CSI part note code up the product tree. Apply the SER and TR part note codes up the product tree in accordance with Section 6.4.1. Apply the IUID part note code to parent items in accordance with Section 6.5.4.</w:t>
      </w:r>
    </w:p>
    <w:p>
      <w:pPr>
        <w:pBdr>
          <w:left w:val="single" w:color="808080" w:sz="12" w:space="8"/>
        </w:pBdr>
        <w:spacing w:after="200" w:before="60" w:line="264"/>
        <w:ind w:left="504"/>
      </w:pPr>
      <w:r>
        <w:rPr>
          <w:i/>
          <w:iCs/>
          <w:sz w:val="21"/>
          <w:szCs w:val="21"/>
        </w:rPr>
        <w:t xml:space="preserve">Codes: CSI, SER, LOT, and IUID. Serialization and traceability records must then be maintained up the product tree to the end item, per Section 6.4.1.</w:t>
      </w:r>
    </w:p>
    <w:p>
      <w:pPr>
        <w:pStyle w:val="Heading2"/>
        <w:spacing w:after="140" w:before="300"/>
      </w:pPr>
      <w:r>
        <w:rPr>
          <w:b/>
          <w:bCs/>
          <w:color w:val="000000"/>
          <w:sz w:val="24"/>
          <w:szCs w:val="24"/>
        </w:rPr>
        <w:t xml:space="preserve">6.7.2	Fracture-Critical Traceable Parts</w:t>
      </w:r>
    </w:p>
    <w:p>
      <w:pPr>
        <w:spacing w:after="160" w:line="276"/>
      </w:pPr>
      <w:r>
        <w:rPr>
          <w:sz w:val="22"/>
          <w:szCs w:val="22"/>
        </w:rPr>
        <w:t xml:space="preserve">A Fracture-Critical Traceable Part is a safety-of-flight structural component that is either single load path or sized by durability or damage tolerance requirements. MIL-STD-1530D with Change 1 defines this category. It is a distinct part category within the Aircraft Structural Integrity Program (ASIP). The same definition appears in MIL-STD-1530C.</w:t>
      </w:r>
    </w:p>
    <w:p>
      <w:pPr>
        <w:spacing w:after="160" w:line="276"/>
      </w:pPr>
      <w:r>
        <w:rPr>
          <w:sz w:val="22"/>
          <w:szCs w:val="22"/>
        </w:rPr>
        <w:t xml:space="preserve">MIL-STD-1530 defines a Fracture-Critical Part as a separate category. A Fracture-Critical Part is a safety-of-flight structural component that is not single load path and is not sized by durability or damage tolerance requirements, but that requires special emphasis due to the criticality. The two definitions exclude each other. Figure 1 of the standard shows them as separate branches rather than one nested inside the other. A Fracture-Critical Traceable Part is not a subclass of a Fracture-Critical Part.</w:t>
      </w:r>
    </w:p>
    <w:p>
      <w:pPr>
        <w:spacing w:after="160" w:line="276"/>
      </w:pPr>
      <w:r>
        <w:rPr>
          <w:sz w:val="22"/>
          <w:szCs w:val="22"/>
        </w:rPr>
        <w:t xml:space="preserve">Fracture-Critical Traceable Parts require serialization and lot/batch recording as one of their controls, per MIL-STD-1530D with Change 1. Lot/batch recording supports material and process traceability.</w:t>
      </w:r>
    </w:p>
    <w:p>
      <w:pPr>
        <w:spacing w:after="160" w:line="276"/>
      </w:pPr>
      <w:r>
        <w:rPr>
          <w:sz w:val="22"/>
          <w:szCs w:val="22"/>
        </w:rPr>
        <w:t xml:space="preserve">A Fracture-Critical Part still takes lot/batch recording. Fracture control relies on material properties and process condition, so raw material heat and lot traceability applies, together with process control on forging, machining, and surface treatment. A Fracture-Critical Part does not take the FC part note code and does not take SER on this basis.</w:t>
      </w:r>
    </w:p>
    <w:p>
      <w:pPr>
        <w:spacing w:after="160" w:line="276"/>
      </w:pPr>
      <w:r>
        <w:rPr>
          <w:sz w:val="22"/>
          <w:szCs w:val="22"/>
        </w:rPr>
        <w:t xml:space="preserve">See the critical part and process selection and controls section of MIL-STD-1530D with Change 1 and the Durability and Damage Tolerance Control Plan for more information.</w:t>
      </w:r>
    </w:p>
    <w:p>
      <w:pPr>
        <w:spacing w:after="160" w:line="276"/>
      </w:pPr>
      <w:r>
        <w:rPr>
          <w:sz w:val="22"/>
          <w:szCs w:val="22"/>
        </w:rPr>
        <w:t xml:space="preserve">Fracture-Critical Traceable Parts differ from Fracture Critical Category I and Category II Parts </w:t>
      </w:r>
      <w:r>
        <w:rPr>
          <w:b/>
          <w:bCs/>
          <w:sz w:val="22"/>
          <w:szCs w:val="22"/>
          <w:highlight w:val="yellow"/>
          <w:highlightCs w:val="yellow"/>
        </w:rPr>
        <w:t xml:space="preserve">[VERIFY THE SOURCE DOCUMENT AND REVISION FOR THESE TWO CATEGORIES BEFORE RELEASE.]</w:t>
      </w:r>
      <w:r>
        <w:rPr>
          <w:sz w:val="22"/>
          <w:szCs w:val="22"/>
        </w:rPr>
        <w:t xml:space="preserve">. Fracture Critical Category I and Category II Parts go through the Critical Safety Item or Safety-Critical Item screening process. That process determines whether part traceability applies. Fracture-Critical Traceable Parts always require serialization and lot/batch recording.</w:t>
      </w:r>
    </w:p>
    <w:p>
      <w:pPr>
        <w:spacing w:after="160" w:line="276"/>
      </w:pPr>
      <w:r>
        <w:rPr>
          <w:sz w:val="22"/>
          <w:szCs w:val="22"/>
        </w:rPr>
        <w:t xml:space="preserve">For Fracture-Critical Traceable Parts, apply part note codes and note texts:</w:t>
      </w:r>
    </w:p>
    <w:p>
      <w:pPr>
        <w:spacing w:after="160" w:before="60" w:line="264"/>
        <w:ind w:left="504"/>
      </w:pPr>
      <w:r>
        <w:rPr>
          <w:b/>
          <w:bCs/>
          <w:sz w:val="21"/>
          <w:szCs w:val="21"/>
        </w:rPr>
        <w:t xml:space="preserve">FC – FRACTURE-CRITICAL ITEM.</w:t>
      </w:r>
    </w:p>
    <w:p>
      <w:pPr>
        <w:spacing w:after="160" w:before="60" w:line="264"/>
        <w:ind w:left="504"/>
      </w:pPr>
      <w:r>
        <w:rPr>
          <w:b/>
          <w:bCs/>
          <w:sz w:val="21"/>
          <w:szCs w:val="21"/>
        </w:rPr>
        <w:t xml:space="preserve">SER – SERIALIZATION RECORDING REQUIRED. THIS ITEM IS SERIALIZED AND TRACEABILITY MUST BE MAINTAINED BETWEEN THIS ITEM AND ALL HIGHER-LEVEL PHYSICAL ITEMS UP TO THE END ITEM.</w:t>
      </w:r>
    </w:p>
    <w:p>
      <w:pPr>
        <w:spacing w:after="160" w:before="60" w:line="264"/>
        <w:ind w:left="504"/>
      </w:pPr>
      <w:r>
        <w:rPr>
          <w:b/>
          <w:bCs/>
          <w:sz w:val="21"/>
          <w:szCs w:val="21"/>
        </w:rPr>
        <w:t xml:space="preserve">LOT – LOT/BATCH RECORDING REQUIRED. THIS ITEM REQUIRES LOT/BATCH TRACEABILITY AND TRACEABILITY MUST BE MAINTAINED BETWEEN THIS ITEM AND ALL HIGHER-LEVEL PHYSICAL ITEMS UP TO THE END ITEM.</w:t>
      </w:r>
    </w:p>
    <w:p>
      <w:pPr>
        <w:spacing w:after="160" w:line="276"/>
      </w:pPr>
      <w:r>
        <w:rPr>
          <w:sz w:val="22"/>
          <w:szCs w:val="22"/>
        </w:rPr>
        <w:t xml:space="preserve">Do not apply the FC part note code up the product tree. Apply the SER and TR part note codes up the product tree in accordance with Section 6.4.1.</w:t>
      </w:r>
    </w:p>
    <w:p>
      <w:pPr>
        <w:pBdr>
          <w:left w:val="single" w:color="808080" w:sz="12" w:space="8"/>
        </w:pBdr>
        <w:spacing w:after="200" w:before="60" w:line="264"/>
        <w:ind w:left="504"/>
      </w:pPr>
      <w:r>
        <w:rPr>
          <w:i/>
          <w:iCs/>
          <w:sz w:val="21"/>
          <w:szCs w:val="21"/>
        </w:rPr>
        <w:t xml:space="preserve">Codes: FC, SER, and LOT for a Fracture-Critical Traceable Part. LOT only for a Fracture-Critical Part. Serialization and traceability records must then be maintained up the product tree to the end item, per Section 6.4.1.</w:t>
      </w:r>
    </w:p>
    <w:p>
      <w:pPr>
        <w:pStyle w:val="Heading2"/>
        <w:spacing w:after="140" w:before="300"/>
      </w:pPr>
      <w:r>
        <w:rPr>
          <w:b/>
          <w:bCs/>
          <w:color w:val="000000"/>
          <w:sz w:val="24"/>
          <w:szCs w:val="24"/>
        </w:rPr>
        <w:t xml:space="preserve">6.7.3	Safety-Critical Items</w:t>
      </w:r>
    </w:p>
    <w:p>
      <w:pPr>
        <w:spacing w:after="160" w:line="276"/>
      </w:pPr>
      <w:r>
        <w:rPr>
          <w:sz w:val="22"/>
          <w:szCs w:val="22"/>
        </w:rPr>
        <w:t xml:space="preserve">MIL-STD-882E defines a Safety-Critical Item (SCI) as “a hardware or software item that has been determined through analysis to potentially contribute to a hazard with Catastrophic or Critical mishap potential, or that may be implemented to mitigate a hazard with Catastrophic or Critical mishap potential.”</w:t>
      </w:r>
    </w:p>
    <w:p>
      <w:pPr>
        <w:spacing w:after="160" w:line="276"/>
      </w:pPr>
      <w:r>
        <w:rPr>
          <w:sz w:val="22"/>
          <w:szCs w:val="22"/>
        </w:rPr>
        <w:t xml:space="preserve">Safety-Critical Items are frequently confused with Critical Safety Items. MIL-STD-882E settles the point. It states that the definition of the term “safety-critical item” in that standard is independent of the definition of the term “critical safety item” in Public Laws 108-136 and 109-364.</w:t>
      </w:r>
    </w:p>
    <w:p>
      <w:pPr>
        <w:spacing w:after="160" w:line="276"/>
      </w:pPr>
      <w:r>
        <w:rPr>
          <w:sz w:val="22"/>
          <w:szCs w:val="22"/>
        </w:rPr>
        <w:t xml:space="preserve">System Safety analysis outputs drive design and process controls for Safety-Critical Items. They do not drive item marking. No part note code currently identifies Safety-Critical Items.</w:t>
      </w:r>
    </w:p>
    <w:p>
      <w:pPr>
        <w:spacing w:after="160" w:line="276"/>
      </w:pPr>
      <w:r>
        <w:rPr>
          <w:sz w:val="22"/>
          <w:szCs w:val="22"/>
        </w:rPr>
        <w:t xml:space="preserve">Safety-Critical Item designation does not drive serialization or lot/batch recording on its own. A Safety-Critical Item is serialized or lot/batch recorded when the item is life-limited or otherwise holds a serialization recording or lot/batch recording requirement.</w:t>
      </w:r>
    </w:p>
    <w:p>
      <w:pPr>
        <w:pBdr>
          <w:left w:val="single" w:color="808080" w:sz="12" w:space="8"/>
        </w:pBdr>
        <w:spacing w:after="200" w:before="60" w:line="264"/>
        <w:ind w:left="504"/>
      </w:pPr>
      <w:r>
        <w:rPr>
          <w:i/>
          <w:iCs/>
          <w:sz w:val="21"/>
          <w:szCs w:val="21"/>
        </w:rPr>
        <w:t xml:space="preserve">Codes: none on this basis.</w:t>
      </w:r>
    </w:p>
    <w:p>
      <w:pPr>
        <w:pStyle w:val="Heading1"/>
        <w:spacing w:after="160" w:before="360"/>
      </w:pPr>
      <w:r>
        <w:rPr>
          <w:b/>
          <w:bCs/>
          <w:color w:val="000000"/>
          <w:sz w:val="26"/>
          <w:szCs w:val="26"/>
        </w:rPr>
        <w:t xml:space="preserve">6.8	Application Matrix</w:t>
      </w:r>
    </w:p>
    <w:p>
      <w:pPr>
        <w:spacing w:after="160" w:line="276"/>
      </w:pPr>
      <w:r>
        <w:rPr>
          <w:sz w:val="22"/>
          <w:szCs w:val="22"/>
        </w:rPr>
        <w:t xml:space="preserve">Start here when you know the item and need the codes. The matrix is a summary. The governing text is in the referenced section.</w:t>
      </w:r>
    </w:p>
    <w:p>
      <w:pPr>
        <w:spacing w:after="160" w:line="276"/>
      </w:pPr>
      <w:r>
        <w:rPr>
          <w:sz w:val="22"/>
          <w:szCs w:val="22"/>
        </w:rPr>
        <w:t xml:space="preserve">Every item carrying SER or LOT also cascades to the end item under Section 6.4.1.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360"/>
        <w:gridCol w:w="2000"/>
      </w:tblGrid>
      <w:tr>
        <w:trPr>
          <w:cantSplit/>
          <w:tblHeader/>
        </w:trPr>
        <w:tc>
          <w:tcPr>
            <w:tcW w:type="dxa" w:w="4000"/>
            <w:shd w:fill="E7E7E7" w:val="clear"/>
            <w:tcMar>
              <w:top w:type="dxa" w:w="60"/>
              <w:left w:type="dxa" w:w="90"/>
              <w:bottom w:type="dxa" w:w="60"/>
              <w:right w:type="dxa" w:w="90"/>
            </w:tcMar>
            <w:vAlign w:val="top"/>
          </w:tcPr>
          <w:p>
            <w:pPr>
              <w:spacing w:after="0" w:line="240"/>
            </w:pPr>
            <w:r>
              <w:rPr>
                <w:b/>
                <w:bCs/>
                <w:sz w:val="19"/>
                <w:szCs w:val="19"/>
              </w:rPr>
              <w:t xml:space="preserve">Item or condition</w:t>
            </w:r>
          </w:p>
        </w:tc>
        <w:tc>
          <w:tcPr>
            <w:tcW w:type="dxa" w:w="3360"/>
            <w:shd w:fill="E7E7E7" w:val="clear"/>
            <w:tcMar>
              <w:top w:type="dxa" w:w="60"/>
              <w:left w:type="dxa" w:w="90"/>
              <w:bottom w:type="dxa" w:w="60"/>
              <w:right w:type="dxa" w:w="90"/>
            </w:tcMar>
            <w:vAlign w:val="top"/>
          </w:tcPr>
          <w:p>
            <w:pPr>
              <w:spacing w:after="0" w:line="240"/>
            </w:pPr>
            <w:r>
              <w:rPr>
                <w:b/>
                <w:bCs/>
                <w:sz w:val="19"/>
                <w:szCs w:val="19"/>
              </w:rPr>
              <w:t xml:space="preserve">Part note codes to apply</w:t>
            </w:r>
          </w:p>
        </w:tc>
        <w:tc>
          <w:tcPr>
            <w:tcW w:type="dxa" w:w="2000"/>
            <w:shd w:fill="E7E7E7" w:val="clear"/>
            <w:tcMar>
              <w:top w:type="dxa" w:w="60"/>
              <w:left w:type="dxa" w:w="90"/>
              <w:bottom w:type="dxa" w:w="60"/>
              <w:right w:type="dxa" w:w="90"/>
            </w:tcMar>
            <w:vAlign w:val="top"/>
          </w:tcPr>
          <w:p>
            <w:pPr>
              <w:spacing w:after="0" w:line="240"/>
            </w:pPr>
            <w:r>
              <w:rPr>
                <w:b/>
                <w:bCs/>
                <w:sz w:val="19"/>
                <w:szCs w:val="19"/>
              </w:rPr>
              <w:t xml:space="preserve">Section</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Cycle/Usage-Controlled Life-Limited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6.6.1</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Age/Shelf-Life-Controlled Life-Limited Item, limit on the lot/batch</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6.6.2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ALI on a discrete part, replacement limit in cycles, landings, or flight hours</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 LL (cycle/usage note text)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6.2.3, 6.6.1</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ALI on a discrete part, replacement limit in calendar time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 LL (age and shelf-life note text)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6.2.3, 6.6.2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ALI on a discrete part, inspection interval or related procedure only</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ALI at an airframe location or zone, no separately manufactured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ALI expressed against a manufactured lot/batch (uncommon)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 LL</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Safe-life PSE, discrete part with an ALS replacement time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LL,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6.2.4</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Safe-life PSE detail parts and constituent materials</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6.2.4</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Damage-tolerant PSE, discrete part with an ALS inspection interval</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6.2.4</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Damage-tolerant PSE, location-based inspection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6.2.4</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Premium selected material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6.2.5</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Critical Safety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CSI, SER, LOT, IUID</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6.7.1</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Fracture-Critical Traceable Part</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FC, SER,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6.7.2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Fracture-Critical Part (not traceable)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6.7.2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Safety-Critical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None on this basis</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6.7.3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Casting with reduced non-visual inspection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Casting using process monitoring for a factor of 1.0</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Part using alternative approved material design values</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6.3.3</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Item established by a process or batch condition</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6.3.4</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Electronic part under a counterfeit avoidance clause</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6.3.5</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Raw material callout requiring traceability</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LOT (short note text)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Item requiring special handling</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SH,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6.3.6</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Explosive material</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SH,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6.3.7</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Radioactive material</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SH, LOT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6.3.8</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DoD serially managed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Parent item of an embedded item carrying a UII</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6.5.4</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Warranted serialized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Special tooling or special test equipment for an MDAP</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High risk item identified by the requiring activity</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IUID, SER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6.5.2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Physical parent of a SER or LOT item, below the end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SER, TR</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6.4.1</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Installation drawing between a traceable item and the end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TR (installation note text)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6.4.2</w:t>
            </w:r>
          </w:p>
        </w:tc>
      </w:tr>
      <w:tr>
        <w:trPr>
          <w:cantSplit/>
        </w:trPr>
        <w:tc>
          <w:tcPr>
            <w:tcW w:type="dxa" w:w="4000"/>
            <w:tcMar>
              <w:top w:type="dxa" w:w="60"/>
              <w:left w:type="dxa" w:w="90"/>
              <w:bottom w:type="dxa" w:w="60"/>
              <w:right w:type="dxa" w:w="90"/>
            </w:tcMar>
            <w:vAlign w:val="top"/>
          </w:tcPr>
          <w:p>
            <w:pPr>
              <w:spacing w:after="0" w:line="240"/>
            </w:pPr>
            <w:r>
              <w:rPr>
                <w:b w:val="false"/>
                <w:bCs w:val="false"/>
                <w:sz w:val="19"/>
                <w:szCs w:val="19"/>
              </w:rPr>
              <w:t xml:space="preserve">End item</w:t>
            </w:r>
          </w:p>
        </w:tc>
        <w:tc>
          <w:tcPr>
            <w:tcW w:type="dxa" w:w="3360"/>
            <w:tcMar>
              <w:top w:type="dxa" w:w="60"/>
              <w:left w:type="dxa" w:w="90"/>
              <w:bottom w:type="dxa" w:w="60"/>
              <w:right w:type="dxa" w:w="90"/>
            </w:tcMar>
            <w:vAlign w:val="top"/>
          </w:tcPr>
          <w:p>
            <w:pPr>
              <w:spacing w:after="0" w:line="240"/>
            </w:pPr>
            <w:r>
              <w:rPr>
                <w:b w:val="false"/>
                <w:bCs w:val="false"/>
                <w:sz w:val="19"/>
                <w:szCs w:val="19"/>
              </w:rPr>
              <w:t xml:space="preserve">TR (terminator note text), IUID if the contract requires it</w:t>
            </w:r>
          </w:p>
        </w:tc>
        <w:tc>
          <w:tcPr>
            <w:tcW w:type="dxa" w:w="2000"/>
            <w:tcMar>
              <w:top w:type="dxa" w:w="60"/>
              <w:left w:type="dxa" w:w="90"/>
              <w:bottom w:type="dxa" w:w="60"/>
              <w:right w:type="dxa" w:w="90"/>
            </w:tcMar>
            <w:vAlign w:val="top"/>
          </w:tcPr>
          <w:p>
            <w:pPr>
              <w:spacing w:after="0" w:line="240"/>
            </w:pPr>
            <w:r>
              <w:rPr>
                <w:b w:val="false"/>
                <w:bCs w:val="false"/>
                <w:sz w:val="19"/>
                <w:szCs w:val="19"/>
              </w:rPr>
              <w:t xml:space="preserve">6.4.2, 6.5</w:t>
            </w:r>
          </w:p>
        </w:tc>
      </w:tr>
    </w:tbl>
    <w:p>
      <w:pPr>
        <w:spacing w:after="200"/>
      </w:pPr>
    </w:p>
    <w:p>
      <w:pPr>
        <w:pStyle w:val="Heading1"/>
        <w:spacing w:after="160" w:before="360"/>
      </w:pPr>
      <w:r>
        <w:rPr>
          <w:b/>
          <w:bCs/>
          <w:color w:val="000000"/>
          <w:sz w:val="26"/>
          <w:szCs w:val="26"/>
        </w:rPr>
        <w:t xml:space="preserve">Editor’s Notes: Open Items Requiring Confirmation</w:t>
      </w:r>
    </w:p>
    <w:p>
      <w:pPr>
        <w:spacing w:after="160" w:line="276"/>
      </w:pPr>
      <w:r>
        <w:rPr>
          <w:sz w:val="22"/>
          <w:szCs w:val="22"/>
        </w:rPr>
        <w:t xml:space="preserve">The following items need a decision or a source check before release. They are listed here, not marked in the body, so the body reads clean.</w:t>
      </w:r>
    </w:p>
    <w:p>
      <w:pPr>
        <w:pStyle w:val="ListParagraph"/>
        <w:numPr>
          <w:ilvl w:val="0"/>
          <w:numId w:val="4"/>
        </w:numPr>
        <w:spacing w:after="140" w:line="276"/>
      </w:pPr>
      <w:r>
        <w:rPr>
          <w:b/>
          <w:bCs/>
          <w:sz w:val="22"/>
          <w:szCs w:val="22"/>
        </w:rPr>
        <w:t xml:space="preserve">Authority for the end item cascade (Section 6.4.1).</w:t>
      </w:r>
      <w:r>
        <w:rPr>
          <w:sz w:val="22"/>
          <w:szCs w:val="22"/>
        </w:rPr>
        <w:t xml:space="preserve"> The cascade rests on the company directive, not on a regulation. Cite the directive by number in 6.4.1 before release. No reviewed regulation or standard requires it. 14 CFR 43.10 and 14 CFR 45.15(c) attach to the part and do not cascade. AS9100D 8.5.2 sets the mechanism and defers the extent to customer, regulatory, and legal requirements, and the four familiar items on the extent of traceability appear in a note to that clause rather than in the requirement text. DFARS 211.274-2(a)(3)(ii) bounds item unique identification at the parent item. The directive therefore exceeds the cited sources, which is permitted, but the procedure should say so rather than implying a regulatory basis.</w:t>
      </w:r>
    </w:p>
    <w:p>
      <w:pPr>
        <w:pStyle w:val="ListParagraph"/>
        <w:numPr>
          <w:ilvl w:val="0"/>
          <w:numId w:val="4"/>
        </w:numPr>
        <w:spacing w:after="140" w:line="276"/>
      </w:pPr>
      <w:r>
        <w:rPr>
          <w:b/>
          <w:bCs/>
          <w:sz w:val="22"/>
          <w:szCs w:val="22"/>
        </w:rPr>
        <w:t xml:space="preserve">Orphan process callouts (Section 6.4.1).</w:t>
      </w:r>
      <w:r>
        <w:rPr>
          <w:sz w:val="22"/>
          <w:szCs w:val="22"/>
        </w:rPr>
        <w:t xml:space="preserve"> Primers, topcoats, sealants, and grease often appear under a process specification or an installation note rather than as a component of a physical assembly. They have no physical parent in the ordinary sense. State whether the lot is recorded against the assembly the process is performed on, or whether the callout is exempt from the cascade.</w:t>
      </w:r>
    </w:p>
    <w:p>
      <w:pPr>
        <w:pStyle w:val="ListParagraph"/>
        <w:numPr>
          <w:ilvl w:val="0"/>
          <w:numId w:val="4"/>
        </w:numPr>
        <w:spacing w:after="140" w:line="276"/>
      </w:pPr>
      <w:r>
        <w:rPr>
          <w:b/>
          <w:bCs/>
          <w:sz w:val="22"/>
          <w:szCs w:val="22"/>
        </w:rPr>
        <w:t xml:space="preserve">Lot consumption on the build record (Section 6.4.1).</w:t>
      </w:r>
      <w:r>
        <w:rPr>
          <w:sz w:val="22"/>
          <w:szCs w:val="22"/>
        </w:rPr>
        <w:t xml:space="preserve"> Some build environments tie a work order to a unit and record which lots that work order consumed. Confirm whether the build environment carries lot consumption against a unit, and whether that record satisfies the directive at intermediate levels.</w:t>
      </w:r>
    </w:p>
    <w:p>
      <w:pPr>
        <w:pStyle w:val="ListParagraph"/>
        <w:numPr>
          <w:ilvl w:val="0"/>
          <w:numId w:val="4"/>
        </w:numPr>
        <w:spacing w:after="140" w:line="276"/>
      </w:pPr>
      <w:r>
        <w:rPr>
          <w:b/>
          <w:bCs/>
          <w:sz w:val="22"/>
          <w:szCs w:val="22"/>
        </w:rPr>
        <w:t xml:space="preserve">Fracture Critical Category I and Category II Parts (Section 6.7.2).</w:t>
      </w:r>
      <w:r>
        <w:rPr>
          <w:sz w:val="22"/>
          <w:szCs w:val="22"/>
        </w:rPr>
        <w:t xml:space="preserve"> The source for these two categories could not be confirmed in MIL-STD-882E. Verify the source document and cite the current revision. MIL-STD-882E now carries Change 1, dated 27 September 2023.</w:t>
      </w:r>
    </w:p>
    <w:p>
      <w:pPr>
        <w:pStyle w:val="ListParagraph"/>
        <w:numPr>
          <w:ilvl w:val="0"/>
          <w:numId w:val="4"/>
        </w:numPr>
        <w:spacing w:after="140" w:line="276"/>
      </w:pPr>
      <w:r>
        <w:rPr>
          <w:b/>
          <w:bCs/>
          <w:sz w:val="22"/>
          <w:szCs w:val="22"/>
        </w:rPr>
        <w:t xml:space="preserve">MIL-STD-1530 revision (Section 6.7.2).</w:t>
      </w:r>
      <w:r>
        <w:rPr>
          <w:sz w:val="22"/>
          <w:szCs w:val="22"/>
        </w:rPr>
        <w:t xml:space="preserve"> The definitions were verified against MIL-STD-1530C. They are mutually exclusive and Figure 1 shows separate branches. Confirm that MIL-STD-1530D with Change 1 keeps that structure. The Critical Part Type Register carried the same subclass error at C15 and C16 and was corrected in Rev C.</w:t>
      </w:r>
    </w:p>
    <w:p>
      <w:pPr>
        <w:pStyle w:val="ListParagraph"/>
        <w:numPr>
          <w:ilvl w:val="0"/>
          <w:numId w:val="4"/>
        </w:numPr>
        <w:spacing w:after="140" w:line="276"/>
      </w:pPr>
      <w:r>
        <w:rPr>
          <w:b/>
          <w:bCs/>
          <w:sz w:val="22"/>
          <w:szCs w:val="22"/>
        </w:rPr>
        <w:t xml:space="preserve">DoDI 8320.04 (Sections 6.5.2 and 6.7.1).</w:t>
      </w:r>
      <w:r>
        <w:rPr>
          <w:sz w:val="22"/>
          <w:szCs w:val="22"/>
        </w:rPr>
        <w:t xml:space="preserve"> The Critical Part Type Register cites DoDI 8320.04, November 29, 2024, paragraph 3.2.b(2), as directing the primary inventory control activity to identify Critical Safety Items as DoD serially managed items. Spot check that paragraph, then add the date and paragraph to the citations. Consider also citing DoDM 4140.01, Volume 11, which establishes the top-level procedures for managing aviation Critical Safety Items.</w:t>
      </w:r>
    </w:p>
    <w:p>
      <w:pPr>
        <w:pStyle w:val="ListParagraph"/>
        <w:numPr>
          <w:ilvl w:val="0"/>
          <w:numId w:val="4"/>
        </w:numPr>
        <w:spacing w:after="140" w:line="276"/>
      </w:pPr>
      <w:r>
        <w:rPr>
          <w:b/>
          <w:bCs/>
          <w:sz w:val="22"/>
          <w:szCs w:val="22"/>
        </w:rPr>
        <w:t xml:space="preserve">ALS limitations against a lot/batch (Section 6.2.3).</w:t>
      </w:r>
      <w:r>
        <w:rPr>
          <w:sz w:val="22"/>
          <w:szCs w:val="22"/>
        </w:rPr>
        <w:t xml:space="preserve"> This case is carried on the authority of the Critical Part Type Register at C12, which records it as real but uncommon for ALIs. No worked example was located. If a program ALS produces one, add the citation. If a review of the ALS population finds none, consider removing the row.</w:t>
      </w:r>
    </w:p>
    <w:p>
      <w:pPr>
        <w:pStyle w:val="ListParagraph"/>
        <w:numPr>
          <w:ilvl w:val="0"/>
          <w:numId w:val="4"/>
        </w:numPr>
        <w:spacing w:after="140" w:line="276"/>
      </w:pPr>
      <w:r>
        <w:rPr>
          <w:b/>
          <w:bCs/>
          <w:sz w:val="22"/>
          <w:szCs w:val="22"/>
        </w:rPr>
        <w:t xml:space="preserve">Counterfeit avoidance clauses (Section 6.3.5).</w:t>
      </w:r>
      <w:r>
        <w:rPr>
          <w:sz w:val="22"/>
          <w:szCs w:val="22"/>
        </w:rPr>
        <w:t xml:space="preserve"> Confirm which contracts carry DFARS 252.246-7007 and DFARS 252.246-7008, and confirm that the contractor-approved supplier process referenced by 252.246-7008 is named in a controlled procedure. Both clauses carry a JAN 2023 date.</w:t>
      </w:r>
    </w:p>
    <w:p>
      <w:pPr>
        <w:pStyle w:val="ListParagraph"/>
        <w:numPr>
          <w:ilvl w:val="0"/>
          <w:numId w:val="4"/>
        </w:numPr>
        <w:spacing w:after="140" w:line="276"/>
      </w:pPr>
      <w:r>
        <w:rPr>
          <w:b/>
          <w:bCs/>
          <w:sz w:val="22"/>
          <w:szCs w:val="22"/>
        </w:rPr>
        <w:t xml:space="preserve">ESD references (Section 6.3.6).</w:t>
      </w:r>
      <w:r>
        <w:rPr>
          <w:sz w:val="22"/>
          <w:szCs w:val="22"/>
        </w:rPr>
        <w:t xml:space="preserve"> Confirm the status and revision letters of MIL-STD-1686 and DOD-HDBK-263. Both are legacy documents.</w:t>
      </w:r>
    </w:p>
    <w:p>
      <w:pPr>
        <w:pStyle w:val="ListParagraph"/>
        <w:numPr>
          <w:ilvl w:val="0"/>
          <w:numId w:val="4"/>
        </w:numPr>
        <w:spacing w:after="140" w:line="276"/>
      </w:pPr>
      <w:r>
        <w:rPr>
          <w:b/>
          <w:bCs/>
          <w:sz w:val="22"/>
          <w:szCs w:val="22"/>
        </w:rPr>
        <w:t xml:space="preserve">Higher-level drawing callouts (Sections 6.3.7 and 6.3.8).</w:t>
      </w:r>
      <w:r>
        <w:rPr>
          <w:sz w:val="22"/>
          <w:szCs w:val="22"/>
        </w:rPr>
        <w:t xml:space="preserve"> Explosive material part notes are always required on higher-level drawings. Radioactive material part notes are required on higher-level drawings only when Radiation Health Protection requests them. Confirm that this difference is intended.</w:t>
      </w:r>
    </w:p>
    <w:p>
      <w:pPr>
        <w:pStyle w:val="ListParagraph"/>
        <w:numPr>
          <w:ilvl w:val="0"/>
          <w:numId w:val="4"/>
        </w:numPr>
        <w:spacing w:after="140" w:line="276"/>
      </w:pPr>
      <w:r>
        <w:rPr>
          <w:b/>
          <w:bCs/>
          <w:sz w:val="22"/>
          <w:szCs w:val="22"/>
        </w:rPr>
        <w:t xml:space="preserve">Parent item level for IUID (Section 6.5.4).</w:t>
      </w:r>
      <w:r>
        <w:rPr>
          <w:sz w:val="22"/>
          <w:szCs w:val="22"/>
        </w:rPr>
        <w:t xml:space="preserve"> The contract identifies parent items. Confirm the coordination path between Design Engineering, Configuration Management, and the contracting activity for establishing which assembly is the parent item.</w:t>
      </w:r>
    </w:p>
    <w:p>
      <w:pPr>
        <w:pStyle w:val="ListParagraph"/>
        <w:numPr>
          <w:ilvl w:val="0"/>
          <w:numId w:val="4"/>
        </w:numPr>
        <w:spacing w:after="140" w:line="276"/>
      </w:pPr>
      <w:r>
        <w:rPr>
          <w:b/>
          <w:bCs/>
          <w:sz w:val="22"/>
          <w:szCs w:val="22"/>
        </w:rPr>
        <w:t xml:space="preserve">Section renumbering.</w:t>
      </w:r>
      <w:r>
        <w:rPr>
          <w:sz w:val="22"/>
          <w:szCs w:val="22"/>
        </w:rPr>
        <w:t xml:space="preserve"> This revision organizes Section 6 by part note code, with one section per code. Each requirement source is defined once, in the section for the code it primarily drives. Check any document that cross-references the former section numbers.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rPr>
        <w:rFonts w:ascii="Symbol" w:cs="Symbol" w:eastAsia="Symbol" w:hAnsi="Symbol"/>
      </w:rPr>
    </w:lvl>
    <w:lvl w:ilvl="1" w15:tentative="1">
      <w:start w:val="1"/>
      <w:numFmt w:val="bullet"/>
      <w:lvlText w:val="o"/>
      <w:lvlJc w:val="left"/>
      <w:pPr>
        <w:ind w:left="1080" w:hanging="288"/>
      </w:pPr>
      <w:rPr>
        <w:rFonts w:ascii="Courier New" w:cs="Courier New" w:eastAsia="Courier New" w:hAnsi="Courier New"/>
      </w:rPr>
    </w:lvl>
    <w:lvl w:ilvl="2" w15:tentative="1">
      <w:start w:val="1"/>
      <w:numFmt w:val="bullet"/>
      <w:lvlText w:val="§"/>
      <w:lvlJc w:val="left"/>
      <w:pPr>
        <w:ind w:left="1656" w:hanging="288"/>
      </w:pPr>
      <w:rPr>
        <w:rFonts w:ascii="Wingdings" w:cs="Wingdings" w:eastAsia="Wingdings" w:hAnsi="Wingdings"/>
      </w:rPr>
    </w:lvl>
  </w:abstractNum>
  <w:abstractNum w:abstractNumId="3" w15:restartNumberingAfterBreak="0">
    <w:multiLevelType w:val="hybridMultilevel"/>
    <w:lvl w:ilvl="0" w15:tentative="1">
      <w:start w:val="1"/>
      <w:numFmt w:val="lowerLetter"/>
      <w:lvlText w:val="%1."/>
      <w:lvlJc w:val="left"/>
      <w:pPr>
        <w:ind w:left="792" w:hanging="431"/>
      </w:pPr>
    </w:lvl>
  </w:abstractNum>
  <w:abstractNum w:abstractNumId="4"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000000"/>
    </w:rPr>
  </w:style>
  <w:style w:type="paragraph" w:styleId="Heading2">
    <w:name w:val="Heading 2"/>
    <w:basedOn w:val="Normal"/>
    <w:next w:val="Normal"/>
    <w:qFormat/>
    <w:rPr>
      <w:rFonts w:ascii="Calibri" w:cs="Calibri" w:eastAsia="Calibri" w:hAnsi="Calibri"/>
      <w:color w:val="00000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 Note Codes for Traceable Parts and Product-Unit Records</dc:title>
  <dc:creator>Configuration Management</dc:creator>
  <dc:description>Revised Section 6 with the Item Unique Identification Required subsection added.</dc:description>
  <cp:lastModifiedBy>Un-named</cp:lastModifiedBy>
  <cp:revision>1</cp:revision>
  <dcterms:created xsi:type="dcterms:W3CDTF">2026-09-17T17:49:57.275Z</dcterms:created>
  <dcterms:modified xsi:type="dcterms:W3CDTF">2026-09-17T17:49:57.275Z</dcterms:modified>
</cp:coreProperties>
</file>

<file path=docProps/custom.xml><?xml version="1.0" encoding="utf-8"?>
<Properties xmlns="http://schemas.openxmlformats.org/officeDocument/2006/custom-properties" xmlns:vt="http://schemas.openxmlformats.org/officeDocument/2006/docPropsVTypes"/>
</file>