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3864"/>
          <w:sz w:val="24"/>
          <w:szCs w:val="24"/>
        </w:rPr>
        <w:t xml:space="preserve">SELF-PACED TRAINING COURSE</w:t>
      </w:r>
    </w:p>
    <w:p>
      <w:pPr>
        <w:spacing w:after="200"/>
        <w:jc w:val="center"/>
      </w:pPr>
      <w:r>
        <w:rPr>
          <w:rFonts w:ascii="Calibri" w:cs="Calibri" w:eastAsia="Calibri" w:hAnsi="Calibri"/>
          <w:b/>
          <w:bCs/>
          <w:sz w:val="46"/>
          <w:szCs w:val="46"/>
        </w:rPr>
        <w:t xml:space="preserve">Flowing CM Requirements to Sub-Suppliers</w:t>
      </w:r>
    </w:p>
    <w:p>
      <w:pPr>
        <w:spacing w:after="1000"/>
        <w:jc w:val="center"/>
      </w:pPr>
      <w:r>
        <w:rPr>
          <w:rFonts w:ascii="Calibri" w:cs="Calibri" w:eastAsia="Calibri" w:hAnsi="Calibri"/>
          <w:i/>
          <w:iCs/>
          <w:sz w:val="26"/>
          <w:szCs w:val="26"/>
        </w:rPr>
        <w:t xml:space="preserve">Work-type classification, requirement derivation, and the supplier statement of work</w:t>
      </w:r>
    </w:p>
    <w:p>
      <w:pPr>
        <w:spacing w:after="100"/>
        <w:jc w:val="center"/>
      </w:pPr>
      <w:r>
        <w:rPr>
          <w:rFonts w:ascii="Calibri" w:cs="Calibri" w:eastAsia="Calibri" w:hAnsi="Calibri"/>
          <w:sz w:val="22"/>
          <w:szCs w:val="22"/>
        </w:rPr>
        <w:t xml:space="preserve">Course No.: [insert]     Revision: [Initial]     Date: [Date]</w:t>
      </w:r>
    </w:p>
    <w:p>
      <w:pPr>
        <w:spacing w:after="100"/>
        <w:jc w:val="center"/>
      </w:pPr>
      <w:r>
        <w:rPr>
          <w:rFonts w:ascii="Calibri" w:cs="Calibri" w:eastAsia="Calibri" w:hAnsi="Calibri"/>
          <w:sz w:val="22"/>
          <w:szCs w:val="22"/>
        </w:rPr>
        <w:t xml:space="preserve">Estimated seat time: 4–6 hours (full path), chunked by module</w:t>
      </w:r>
    </w:p>
    <w:p>
      <w:r>
        <w:br w:type="page"/>
      </w:r>
    </w:p>
    <w:p>
      <w:pPr>
        <w:pStyle w:val="Heading1"/>
        <w:spacing w:after="160" w:before="320"/>
      </w:pPr>
      <w:r>
        <w:rPr>
          <w:rFonts w:ascii="Calibri" w:cs="Calibri" w:eastAsia="Calibri" w:hAnsi="Calibri"/>
        </w:rPr>
        <w:t xml:space="preserve">How to Use This Course</w:t>
      </w:r>
    </w:p>
    <w:p>
      <w:pPr>
        <w:spacing w:after="120" w:line="276"/>
      </w:pPr>
      <w:r>
        <w:rPr>
          <w:rFonts w:ascii="Calibri" w:cs="Calibri" w:eastAsia="Calibri" w:hAnsi="Calibri"/>
          <w:sz w:val="22"/>
          <w:szCs w:val="22"/>
        </w:rPr>
        <w:t xml:space="preserve">Flowdown fails in two directions: over-imposition (a full CM program on a build-to-print machine shop — cost without control) and under-imposition (no change control on a design agent — control lost where the design lives). This course trains the judgment that avoids both: classifying the work, deriving the requirement set from the classification, citing it correctly in the supplier statement of work, and closing the loop with effectiveness evidence.</w:t>
      </w:r>
    </w:p>
    <w:p>
      <w:pPr>
        <w:spacing w:after="120" w:line="276"/>
      </w:pPr>
      <w:r>
        <w:rPr>
          <w:rFonts w:ascii="Calibri" w:cs="Calibri" w:eastAsia="Calibri" w:hAnsi="Calibri"/>
          <w:sz w:val="22"/>
          <w:szCs w:val="22"/>
        </w:rPr>
        <w:t xml:space="preserve">Each module: concept, worked example, exercise, annotated key. The key’s reasoning is the teaching — read it even when your answer matched. The capstone red-teams a deliberately defective supplier statement of work; do not read Appendix A until your defect list is written.</w:t>
      </w:r>
    </w:p>
    <w:p>
      <w:pPr>
        <w:pStyle w:val="Heading2"/>
        <w:spacing w:after="120" w:before="260"/>
      </w:pPr>
      <w:r>
        <w:rPr>
          <w:rFonts w:ascii="Calibri" w:cs="Calibri" w:eastAsia="Calibri" w:hAnsi="Calibri"/>
        </w:rPr>
        <w:t xml:space="preserve">Paths by Role</w:t>
      </w:r>
    </w:p>
    <w:p>
      <w:pPr>
        <w:pStyle w:val="ListParagraph"/>
        <w:numPr>
          <w:ilvl w:val="0"/>
          <w:numId w:val="2"/>
        </w:numPr>
        <w:spacing w:after="80" w:line="276"/>
      </w:pPr>
      <w:r>
        <w:rPr>
          <w:rFonts w:ascii="Calibri" w:cs="Calibri" w:eastAsia="Calibri" w:hAnsi="Calibri"/>
          <w:sz w:val="22"/>
          <w:szCs w:val="22"/>
        </w:rPr>
        <w:t xml:space="preserve">CM practitioners who classify procurements and author or review supplier statements of work: all modules.</w:t>
      </w:r>
    </w:p>
    <w:p>
      <w:pPr>
        <w:pStyle w:val="ListParagraph"/>
        <w:numPr>
          <w:ilvl w:val="0"/>
          <w:numId w:val="2"/>
        </w:numPr>
        <w:spacing w:after="80" w:line="276"/>
      </w:pPr>
      <w:r>
        <w:rPr>
          <w:rFonts w:ascii="Calibri" w:cs="Calibri" w:eastAsia="Calibri" w:hAnsi="Calibri"/>
          <w:sz w:val="22"/>
          <w:szCs w:val="22"/>
        </w:rPr>
        <w:t xml:space="preserve">Subcontracts and supply chain staff: Modules 1, 2, 4, 6, and 8 — the taxonomy, the audit conditionality, the statement-of-work mechanics, and the recursion rule.</w:t>
      </w:r>
    </w:p>
    <w:p>
      <w:pPr>
        <w:pStyle w:val="ListParagraph"/>
        <w:numPr>
          <w:ilvl w:val="0"/>
          <w:numId w:val="2"/>
        </w:numPr>
        <w:spacing w:after="80" w:line="276"/>
      </w:pPr>
      <w:r>
        <w:rPr>
          <w:rFonts w:ascii="Calibri" w:cs="Calibri" w:eastAsia="Calibri" w:hAnsi="Calibri"/>
          <w:sz w:val="22"/>
          <w:szCs w:val="22"/>
        </w:rPr>
        <w:t xml:space="preserve">Program leadership: Modules 1 and 7 — why flowdown is a safety and control question, and how effectiveness feeds back. About one hour.</w:t>
      </w:r>
    </w:p>
    <w:p>
      <w:pPr>
        <w:pStyle w:val="Heading2"/>
        <w:spacing w:after="120" w:before="260"/>
      </w:pPr>
      <w:r>
        <w:rPr>
          <w:rFonts w:ascii="Calibri" w:cs="Calibri" w:eastAsia="Calibri" w:hAnsi="Calibri"/>
        </w:rPr>
        <w:t xml:space="preserve">Prerequisite</w:t>
      </w:r>
    </w:p>
    <w:p>
      <w:pPr>
        <w:spacing w:after="120" w:line="276"/>
      </w:pPr>
      <w:r>
        <w:rPr>
          <w:rFonts w:ascii="Calibri" w:cs="Calibri" w:eastAsia="Calibri" w:hAnsi="Calibri"/>
          <w:sz w:val="22"/>
          <w:szCs w:val="22"/>
        </w:rPr>
        <w:t xml:space="preserve">Working knowledge of configuration items and audits — the CI identification course and the configuration audit course, or equivalent. The capstone reuses their scenario system (the Coastal Surveyor unmanned aircraft and its motor controller supplier), so the three courses form one curriculum.</w:t>
      </w:r>
    </w:p>
    <w:p>
      <w:r>
        <w:br w:type="page"/>
      </w:r>
    </w:p>
    <w:p>
      <w:pPr>
        <w:pStyle w:val="Heading1"/>
        <w:spacing w:after="160" w:before="320"/>
      </w:pPr>
      <w:r>
        <w:rPr>
          <w:rFonts w:ascii="Calibri" w:cs="Calibri" w:eastAsia="Calibri" w:hAnsi="Calibri"/>
        </w:rPr>
        <w:t xml:space="preserve">References</w:t>
      </w:r>
    </w:p>
    <w:p>
      <w:pPr>
        <w:spacing w:after="120" w:line="276"/>
      </w:pPr>
      <w:r>
        <w:rPr>
          <w:rFonts w:ascii="Calibri" w:cs="Calibri" w:eastAsia="Calibri" w:hAnsi="Calibri"/>
          <w:sz w:val="22"/>
          <w:szCs w:val="22"/>
        </w:rPr>
        <w:t xml:space="preserve">Plain names are used throughout. Complete the mapping once; every reference resolves.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Plain name used in this course</w:t>
            </w:r>
          </w:p>
        </w:tc>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Your document number</w:t>
            </w:r>
          </w:p>
        </w:tc>
        <w:tc>
          <w:tcPr>
            <w:tcW w:type="dxa" w:w="2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Location</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Sub-supplier flowdown guide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Sub-supplier flowdown matrix workbook (work types, requirement matrix, deliverable definitions, classification log)</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Sub-supplier effectiveness workbook</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process document and audit-designation selection checklist</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Enterprise safety-floor register and operating model</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planning and management process document (supply chain section)</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bl>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Module 1 — Why Flowdown Exists</w:t>
      </w:r>
    </w:p>
    <w:p>
      <w:pPr>
        <w:spacing w:after="120" w:line="276"/>
      </w:pPr>
      <w:r>
        <w:rPr>
          <w:rFonts w:ascii="Calibri" w:cs="Calibri" w:eastAsia="Calibri" w:hAnsi="Calibri"/>
          <w:sz w:val="22"/>
          <w:szCs w:val="22"/>
        </w:rPr>
        <w:t xml:space="preserve">Performing configuration management includes responsibility for the CM performance of the supply chain. The governing obligation: flow to sub-suppliers the same CM requirements imposed on the company, or suitable tailorings of them — and on safety-significant product lines, that obligation is a safety-floor item that holds regardless of what the prime contract flows down. A barrier that exists at your tier and not at the tier that actually builds the part is not a barrier.</w:t>
      </w:r>
    </w:p>
    <w:p>
      <w:pPr>
        <w:spacing w:after="120" w:line="276"/>
      </w:pPr>
      <w:r>
        <w:rPr>
          <w:rFonts w:ascii="Calibri" w:cs="Calibri" w:eastAsia="Calibri" w:hAnsi="Calibri"/>
          <w:sz w:val="22"/>
          <w:szCs w:val="22"/>
        </w:rPr>
        <w:t xml:space="preserve">“Suitable tailoring” is where the judgment lives, and it cuts both ways. Imposing your full CM program on a plating house buys nothing and costs real money — and worse, teaches the supply base that your requirements are negotiable boilerplate. Omitting change control from a design subcontract loses control precisely where the design authority sits. The discipline that prevents both: classify the work first, derive the requirements from the classification, and record the classification — because the recorded classification is the documented tailoring rationale the obligation requires. Tailoring without a recorded basis is just omission with better manners.</w:t>
      </w:r>
    </w:p>
    <w:p>
      <w:pPr>
        <w:shd w:fill="EDF0F7" w:val="clear"/>
        <w:spacing w:after="60" w:before="160"/>
      </w:pPr>
      <w:r>
        <w:rPr>
          <w:rFonts w:ascii="Calibri" w:cs="Calibri" w:eastAsia="Calibri" w:hAnsi="Calibri"/>
          <w:b/>
          <w:bCs/>
          <w:color w:val="1F3864"/>
          <w:sz w:val="22"/>
          <w:szCs w:val="22"/>
        </w:rPr>
        <w:t xml:space="preserve">Self-check</w:t>
      </w:r>
    </w:p>
    <w:p>
      <w:pPr>
        <w:shd w:fill="EDF0F7" w:val="clear"/>
        <w:spacing w:after="160" w:line="276"/>
      </w:pPr>
      <w:r>
        <w:rPr>
          <w:rFonts w:ascii="Calibri" w:cs="Calibri" w:eastAsia="Calibri" w:hAnsi="Calibri"/>
          <w:sz w:val="22"/>
          <w:szCs w:val="22"/>
        </w:rPr>
        <w:t xml:space="preserve">A teammate says: “we flow the full CM spec to everyone — that way we’re always covered.” Name both problems. Compare: (1) over-imposition on simple work types drives cost and no-bids, and invites suppliers to treat all requirements as negotiable — including the ones that matter; (2) “the full spec” still fails the obligation, because suitable tailoring with rationale is the requirement — uniform imposition is not a tailoring decision, it is the absence of one.</w:t>
      </w:r>
    </w:p>
    <w:p>
      <w:r>
        <w:br w:type="page"/>
      </w:r>
    </w:p>
    <w:p>
      <w:pPr>
        <w:pStyle w:val="Heading1"/>
        <w:spacing w:after="160" w:before="320"/>
      </w:pPr>
      <w:r>
        <w:rPr>
          <w:rFonts w:ascii="Calibri" w:cs="Calibri" w:eastAsia="Calibri" w:hAnsi="Calibri"/>
        </w:rPr>
        <w:t xml:space="preserve">Module 2 — The Work Type Taxonomy</w:t>
      </w:r>
    </w:p>
    <w:p>
      <w:pPr>
        <w:pStyle w:val="Heading2"/>
        <w:spacing w:after="120" w:before="260"/>
      </w:pPr>
      <w:r>
        <w:rPr>
          <w:rFonts w:ascii="Calibri" w:cs="Calibri" w:eastAsia="Calibri" w:hAnsi="Calibri"/>
        </w:rPr>
        <w:t xml:space="preserve">Concept</w:t>
      </w:r>
    </w:p>
    <w:p>
      <w:pPr>
        <w:spacing w:after="120" w:line="276"/>
      </w:pPr>
      <w:r>
        <w:rPr>
          <w:rFonts w:ascii="Calibri" w:cs="Calibri" w:eastAsia="Calibri" w:hAnsi="Calibri"/>
          <w:sz w:val="22"/>
          <w:szCs w:val="22"/>
        </w:rPr>
        <w:t xml:space="preserve">Two questions drive everything: who holds design authority, and who performs the build — with item type (hardware, software, commercial, service) as a modifier. Eight work types cover the space; mixed engagements combine them, and a supplier doing two types receives the union of both requirement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3700"/>
        <w:gridCol w:w="1960"/>
      </w:tblGrid>
      <w:tr>
        <w:trPr>
          <w:tblHeader/>
        </w:trPr>
        <w:tc>
          <w:tcPr>
            <w:tcW w:type="dxa" w:w="1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Type</w:t>
            </w:r>
          </w:p>
        </w:tc>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Name</w:t>
            </w:r>
          </w:p>
        </w:tc>
        <w:tc>
          <w:tcPr>
            <w:tcW w:type="dxa" w:w="3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Definition</w:t>
            </w:r>
          </w:p>
        </w:tc>
        <w:tc>
          <w:tcPr>
            <w:tcW w:type="dxa" w:w="19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Authority / Build</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Build-to-Print</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Company designs; supplier manufactures to the released technical data package.</w:t>
            </w:r>
          </w:p>
        </w:tc>
        <w:tc>
          <w:tcPr>
            <w:tcW w:type="dxa" w:w="1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Company / Supplier</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Source-Controlled Design + Build</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designs and builds item internals under a company source control drawing; company controls form, fit, function, interface, and qualification.</w:t>
            </w:r>
          </w:p>
        </w:tc>
        <w:tc>
          <w:tcPr>
            <w:tcW w:type="dxa" w:w="1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Split / Supplier</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 Agent</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develops the design to company specification; company builds. The deliverable is the technical data package itself.</w:t>
            </w:r>
          </w:p>
        </w:tc>
        <w:tc>
          <w:tcPr>
            <w:tcW w:type="dxa" w:w="1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develops / Company</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4</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Full CI Development</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develops a designated configuration item to company specification and holds design authority at their level. Heaviest flowdown — comply-or-tailor the full standard.</w:t>
            </w:r>
          </w:p>
        </w:tc>
        <w:tc>
          <w:tcPr>
            <w:tcW w:type="dxa" w:w="1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 Supplier</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5</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Commercial / Catalog</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Vendor holds design; company controls via a vendor item control drawing. Flowdown is minimal and mostly notification.</w:t>
            </w:r>
          </w:p>
        </w:tc>
        <w:tc>
          <w:tcPr>
            <w:tcW w:type="dxa" w:w="1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Vendor / Vendor</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6</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Software / Firmware Development</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Adds software CM plan, developmental configuration, library control, version identification, and build reproducibility. Usually combined with type 2 or 4.</w:t>
            </w:r>
          </w:p>
        </w:tc>
        <w:tc>
          <w:tcPr>
            <w:tcW w:type="dxa" w:w="1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 Supplier</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7</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Repair / Overhaul</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maintains fielded configuration: as-maintained records, retrofit incorporation, unit-identifier and life retention through part-number changes.</w:t>
            </w:r>
          </w:p>
        </w:tc>
        <w:tc>
          <w:tcPr>
            <w:tcW w:type="dxa" w:w="1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Company / Supplier</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8</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Special Process Services</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Process-only work (heat treat, coating, inspection); no item design. Flowdown is process-spec revision control and process-change notification.</w:t>
            </w:r>
          </w:p>
        </w:tc>
        <w:tc>
          <w:tcPr>
            <w:tcW w:type="dxa" w:w="1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Company / N/A</w:t>
            </w:r>
          </w:p>
        </w:tc>
      </w:tr>
    </w:tbl>
    <w:p>
      <w:pPr>
        <w:pStyle w:val="Heading2"/>
        <w:spacing w:after="120" w:before="260"/>
      </w:pPr>
      <w:r>
        <w:rPr>
          <w:rFonts w:ascii="Calibri" w:cs="Calibri" w:eastAsia="Calibri" w:hAnsi="Calibri"/>
        </w:rPr>
        <w:t xml:space="preserve">Classification Exercise</w:t>
      </w:r>
    </w:p>
    <w:p>
      <w:pPr>
        <w:spacing w:after="120" w:line="276"/>
      </w:pPr>
      <w:r>
        <w:rPr>
          <w:rFonts w:ascii="Calibri" w:cs="Calibri" w:eastAsia="Calibri" w:hAnsi="Calibri"/>
          <w:sz w:val="22"/>
          <w:szCs w:val="22"/>
        </w:rPr>
        <w:t xml:space="preserve">Classify each procurement (types combine where warranted), then compare:</w:t>
      </w:r>
    </w:p>
    <w:p>
      <w:pPr>
        <w:pStyle w:val="ListParagraph"/>
        <w:numPr>
          <w:ilvl w:val="0"/>
          <w:numId w:val="2"/>
        </w:numPr>
        <w:spacing w:after="80" w:line="276"/>
      </w:pPr>
      <w:r>
        <w:rPr>
          <w:rFonts w:ascii="Calibri" w:cs="Calibri" w:eastAsia="Calibri" w:hAnsi="Calibri"/>
          <w:sz w:val="22"/>
          <w:szCs w:val="22"/>
        </w:rPr>
        <w:t xml:space="preserve">A. A machine shop making brackets to your released drawings.</w:t>
      </w:r>
    </w:p>
    <w:p>
      <w:pPr>
        <w:pStyle w:val="ListParagraph"/>
        <w:numPr>
          <w:ilvl w:val="0"/>
          <w:numId w:val="2"/>
        </w:numPr>
        <w:spacing w:after="80" w:line="276"/>
      </w:pPr>
      <w:r>
        <w:rPr>
          <w:rFonts w:ascii="Calibri" w:cs="Calibri" w:eastAsia="Calibri" w:hAnsi="Calibri"/>
          <w:sz w:val="22"/>
          <w:szCs w:val="22"/>
        </w:rPr>
        <w:t xml:space="preserve">B. A supplier developing and building an actuator to your source control drawing, with embedded firmware they also write.</w:t>
      </w:r>
    </w:p>
    <w:p>
      <w:pPr>
        <w:pStyle w:val="ListParagraph"/>
        <w:numPr>
          <w:ilvl w:val="0"/>
          <w:numId w:val="2"/>
        </w:numPr>
        <w:spacing w:after="80" w:line="276"/>
      </w:pPr>
      <w:r>
        <w:rPr>
          <w:rFonts w:ascii="Calibri" w:cs="Calibri" w:eastAsia="Calibri" w:hAnsi="Calibri"/>
          <w:sz w:val="22"/>
          <w:szCs w:val="22"/>
        </w:rPr>
        <w:t xml:space="preserve">C. An engineering services firm producing the detailed design of a housing you will machine in-house.</w:t>
      </w:r>
    </w:p>
    <w:p>
      <w:pPr>
        <w:pStyle w:val="ListParagraph"/>
        <w:numPr>
          <w:ilvl w:val="0"/>
          <w:numId w:val="2"/>
        </w:numPr>
        <w:spacing w:after="80" w:line="276"/>
      </w:pPr>
      <w:r>
        <w:rPr>
          <w:rFonts w:ascii="Calibri" w:cs="Calibri" w:eastAsia="Calibri" w:hAnsi="Calibri"/>
          <w:sz w:val="22"/>
          <w:szCs w:val="22"/>
        </w:rPr>
        <w:t xml:space="preserve">D. A catalog GPS module bought through distribution.</w:t>
      </w:r>
    </w:p>
    <w:p>
      <w:pPr>
        <w:pStyle w:val="ListParagraph"/>
        <w:numPr>
          <w:ilvl w:val="0"/>
          <w:numId w:val="2"/>
        </w:numPr>
        <w:spacing w:after="80" w:line="276"/>
      </w:pPr>
      <w:r>
        <w:rPr>
          <w:rFonts w:ascii="Calibri" w:cs="Calibri" w:eastAsia="Calibri" w:hAnsi="Calibri"/>
          <w:sz w:val="22"/>
          <w:szCs w:val="22"/>
        </w:rPr>
        <w:t xml:space="preserve">E. A repair station overhauling your fielded pumps to your approved repair scheme.</w:t>
      </w:r>
    </w:p>
    <w:p>
      <w:pPr>
        <w:pStyle w:val="ListParagraph"/>
        <w:numPr>
          <w:ilvl w:val="0"/>
          <w:numId w:val="2"/>
        </w:numPr>
        <w:spacing w:after="80" w:line="276"/>
      </w:pPr>
      <w:r>
        <w:rPr>
          <w:rFonts w:ascii="Calibri" w:cs="Calibri" w:eastAsia="Calibri" w:hAnsi="Calibri"/>
          <w:sz w:val="22"/>
          <w:szCs w:val="22"/>
        </w:rPr>
        <w:t xml:space="preserve">F. An anodize line processing parts between your machining and assembly steps.</w:t>
      </w:r>
    </w:p>
    <w:p>
      <w:pPr>
        <w:shd w:fill="EDF0F7" w:val="clear"/>
        <w:spacing w:after="60" w:before="160"/>
      </w:pPr>
      <w:r>
        <w:rPr>
          <w:rFonts w:ascii="Calibri" w:cs="Calibri" w:eastAsia="Calibri" w:hAnsi="Calibri"/>
          <w:b/>
          <w:bCs/>
          <w:color w:val="1F3864"/>
          <w:sz w:val="22"/>
          <w:szCs w:val="22"/>
        </w:rPr>
        <w:t xml:space="preserve">Answers</w:t>
      </w:r>
    </w:p>
    <w:p>
      <w:pPr>
        <w:shd w:fill="EDF0F7" w:val="clear"/>
        <w:spacing w:after="160" w:line="276"/>
      </w:pPr>
      <w:r>
        <w:rPr>
          <w:rFonts w:ascii="Calibri" w:cs="Calibri" w:eastAsia="Calibri" w:hAnsi="Calibri"/>
          <w:sz w:val="22"/>
          <w:szCs w:val="22"/>
        </w:rPr>
        <w:t xml:space="preserve">A: type 1. B: types 2 + 6 — the union of both columns applies, and the firmware’s independent release cadence is exactly why type 6 exists as a separate overlay. C: type 3 — note the flowdown centers on release discipline and design change control, not manufacturing controls, because the deliverable is the data. D: type 5. E: type 7. F: type 8. The recurring error is under-classifying mixed work (B as type 2 only), which silently drops the software CM set from the statement of work.</w:t>
      </w:r>
    </w:p>
    <w:p>
      <w:r>
        <w:br w:type="page"/>
      </w:r>
    </w:p>
    <w:p>
      <w:pPr>
        <w:pStyle w:val="Heading1"/>
        <w:spacing w:after="160" w:before="320"/>
      </w:pPr>
      <w:r>
        <w:rPr>
          <w:rFonts w:ascii="Calibri" w:cs="Calibri" w:eastAsia="Calibri" w:hAnsi="Calibri"/>
        </w:rPr>
        <w:t xml:space="preserve">Module 3 — Deriving the Requirement Set</w:t>
      </w:r>
    </w:p>
    <w:p>
      <w:pPr>
        <w:pStyle w:val="Heading2"/>
        <w:spacing w:after="120" w:before="260"/>
      </w:pPr>
      <w:r>
        <w:rPr>
          <w:rFonts w:ascii="Calibri" w:cs="Calibri" w:eastAsia="Calibri" w:hAnsi="Calibri"/>
        </w:rPr>
        <w:t xml:space="preserve">Concept</w:t>
      </w:r>
    </w:p>
    <w:p>
      <w:pPr>
        <w:spacing w:after="120" w:line="276"/>
      </w:pPr>
      <w:r>
        <w:rPr>
          <w:rFonts w:ascii="Calibri" w:cs="Calibri" w:eastAsia="Calibri" w:hAnsi="Calibri"/>
          <w:sz w:val="22"/>
          <w:szCs w:val="22"/>
        </w:rPr>
        <w:t xml:space="preserve">The flowdown matrix maps requirement rows to work-type columns with four cell values: Required (impose as written), Tailored (impose with documented tailoring), Conditional (see the row’s stated condition), and not-applicable. Three reading rules:</w:t>
      </w:r>
    </w:p>
    <w:p>
      <w:pPr>
        <w:pStyle w:val="ListParagraph"/>
        <w:numPr>
          <w:ilvl w:val="0"/>
          <w:numId w:val="2"/>
        </w:numPr>
        <w:spacing w:after="80" w:line="276"/>
      </w:pPr>
      <w:r>
        <w:rPr>
          <w:rFonts w:ascii="Calibri" w:cs="Calibri" w:eastAsia="Calibri" w:hAnsi="Calibri"/>
          <w:sz w:val="22"/>
          <w:szCs w:val="22"/>
        </w:rPr>
        <w:t xml:space="preserve">Mixed work types take the most demanding cell per row — a type 2+6 supplier gets Required wherever either column says Required.</w:t>
      </w:r>
    </w:p>
    <w:p>
      <w:pPr>
        <w:pStyle w:val="ListParagraph"/>
        <w:numPr>
          <w:ilvl w:val="0"/>
          <w:numId w:val="2"/>
        </w:numPr>
        <w:spacing w:after="80" w:line="276"/>
      </w:pPr>
      <w:r>
        <w:rPr>
          <w:rFonts w:ascii="Calibri" w:cs="Calibri" w:eastAsia="Calibri" w:hAnsi="Calibri"/>
          <w:sz w:val="22"/>
          <w:szCs w:val="22"/>
        </w:rPr>
        <w:t xml:space="preserve">Conditional cells resolve against their stated condition at derivation time and re-resolve when the condition changes — the audit rows are the canonical case (Module 4).</w:t>
      </w:r>
    </w:p>
    <w:p>
      <w:pPr>
        <w:pStyle w:val="ListParagraph"/>
        <w:numPr>
          <w:ilvl w:val="0"/>
          <w:numId w:val="2"/>
        </w:numPr>
        <w:spacing w:after="80" w:line="276"/>
      </w:pPr>
      <w:r>
        <w:rPr>
          <w:rFonts w:ascii="Calibri" w:cs="Calibri" w:eastAsia="Calibri" w:hAnsi="Calibri"/>
          <w:sz w:val="22"/>
          <w:szCs w:val="22"/>
        </w:rPr>
        <w:t xml:space="preserve">Rows tagged as safety-floor items are never silently dropped: tailoring or omitting one for a supplier in scope goes through the floor gate with a recorded disposition. The floor does not dilute at lower tiers.</w:t>
      </w:r>
    </w:p>
    <w:p>
      <w:pPr>
        <w:pStyle w:val="Heading2"/>
        <w:spacing w:after="120" w:before="260"/>
      </w:pPr>
      <w:r>
        <w:rPr>
          <w:rFonts w:ascii="Calibri" w:cs="Calibri" w:eastAsia="Calibri" w:hAnsi="Calibri"/>
        </w:rPr>
        <w:t xml:space="preserve">Worked Example</w:t>
      </w:r>
    </w:p>
    <w:p>
      <w:pPr>
        <w:spacing w:after="120" w:line="276"/>
      </w:pPr>
      <w:r>
        <w:rPr>
          <w:rFonts w:ascii="Calibri" w:cs="Calibri" w:eastAsia="Calibri" w:hAnsi="Calibri"/>
          <w:sz w:val="22"/>
          <w:szCs w:val="22"/>
        </w:rPr>
        <w:t xml:space="preserve">Deriving for the type 2+6 actuator supplier from Module 2: the CM plan row reads Tailored for type 2 but Required for type 6 — most demanding wins, full plan. Change control: Required (design authority for internals). Variance control: Required (they build). Identification and traceability: Required, with the part traceability record including life data. Reconciliation: both the process documentation and the per-delivery report — they build. Software rows: Required — version identification, version description documents, library control, build reproducibility. Release system: Required. Audit rows: Conditional on designation. Commercial-item notification: not applicable. The derivation takes minutes once the classification is right — which is why the classification is where the judgment concentrates.</w:t>
      </w:r>
    </w:p>
    <w:p>
      <w:pPr>
        <w:shd w:fill="EDF0F7" w:val="clear"/>
        <w:spacing w:after="60" w:before="160"/>
      </w:pPr>
      <w:r>
        <w:rPr>
          <w:rFonts w:ascii="Calibri" w:cs="Calibri" w:eastAsia="Calibri" w:hAnsi="Calibri"/>
          <w:b/>
          <w:bCs/>
          <w:color w:val="1F3864"/>
          <w:sz w:val="22"/>
          <w:szCs w:val="22"/>
        </w:rPr>
        <w:t xml:space="preserve">Exercise</w:t>
      </w:r>
    </w:p>
    <w:p>
      <w:pPr>
        <w:shd w:fill="EDF0F7" w:val="clear"/>
        <w:spacing w:after="160" w:line="276"/>
      </w:pPr>
      <w:r>
        <w:rPr>
          <w:rFonts w:ascii="Calibri" w:cs="Calibri" w:eastAsia="Calibri" w:hAnsi="Calibri"/>
          <w:sz w:val="22"/>
          <w:szCs w:val="22"/>
        </w:rPr>
        <w:t xml:space="preserve">Derive the set for procurement C from Module 2 (the design agent) and name the two rows people wrongly include and the one they wrongly omit. Compare: wrongly included — first-article inspection and per-delivery reconciliation reports (the company builds, so build-side rows are not applicable to the supplier); wrongly omitted — the engineering release system requirement, which for a design agent is the core of the flowdown: the data package is the deliverable, so release discipline, revision traceability after change approval, and design change submission are the product’s quality system.</w:t>
      </w:r>
    </w:p>
    <w:p>
      <w:r>
        <w:br w:type="page"/>
      </w:r>
    </w:p>
    <w:p>
      <w:pPr>
        <w:pStyle w:val="Heading1"/>
        <w:spacing w:after="160" w:before="320"/>
      </w:pPr>
      <w:r>
        <w:rPr>
          <w:rFonts w:ascii="Calibri" w:cs="Calibri" w:eastAsia="Calibri" w:hAnsi="Calibri"/>
        </w:rPr>
        <w:t xml:space="preserve">Module 4 — The Audit Rows: Conditional by Design</w:t>
      </w:r>
    </w:p>
    <w:p>
      <w:pPr>
        <w:pStyle w:val="Heading2"/>
        <w:spacing w:after="120" w:before="260"/>
      </w:pPr>
      <w:r>
        <w:rPr>
          <w:rFonts w:ascii="Calibri" w:cs="Calibri" w:eastAsia="Calibri" w:hAnsi="Calibri"/>
        </w:rPr>
        <w:t xml:space="preserve">Concept</w:t>
      </w:r>
    </w:p>
    <w:p>
      <w:pPr>
        <w:spacing w:after="120" w:line="276"/>
      </w:pPr>
      <w:r>
        <w:rPr>
          <w:rFonts w:ascii="Calibri" w:cs="Calibri" w:eastAsia="Calibri" w:hAnsi="Calibri"/>
          <w:sz w:val="22"/>
          <w:szCs w:val="22"/>
        </w:rPr>
        <w:t xml:space="preserve">Functional and physical configuration audits attach to designated items, not to supplier categories — designation being contractual or risk-based per the audit process and its selection checklist. Work type therefore determines the supplier’s role if the item is or becomes designated, never whether audit obligations exist:</w:t>
      </w:r>
    </w:p>
    <w:p>
      <w:pPr>
        <w:pStyle w:val="ListParagraph"/>
        <w:numPr>
          <w:ilvl w:val="0"/>
          <w:numId w:val="2"/>
        </w:numPr>
        <w:spacing w:after="80" w:line="276"/>
      </w:pPr>
      <w:r>
        <w:rPr>
          <w:rFonts w:ascii="Calibri" w:cs="Calibri" w:eastAsia="Calibri" w:hAnsi="Calibri"/>
          <w:sz w:val="22"/>
          <w:szCs w:val="22"/>
        </w:rPr>
        <w:t xml:space="preserve">Types 2 and 4 conduct the item-level audits at their facility — ceremony tailorable (internal co-chair, internal certification), substance not: the requirements-to-test traceability matrix, documented non-compliances, approved-parts verification, and unit-difference certification are performed in full.</w:t>
      </w:r>
    </w:p>
    <w:p>
      <w:pPr>
        <w:pStyle w:val="ListParagraph"/>
        <w:numPr>
          <w:ilvl w:val="0"/>
          <w:numId w:val="2"/>
        </w:numPr>
        <w:spacing w:after="80" w:line="276"/>
      </w:pPr>
      <w:r>
        <w:rPr>
          <w:rFonts w:ascii="Calibri" w:cs="Calibri" w:eastAsia="Calibri" w:hAnsi="Calibri"/>
          <w:sz w:val="22"/>
          <w:szCs w:val="22"/>
        </w:rPr>
        <w:t xml:space="preserve">Type 6 conducts the software functional audit and the witnessed build verification against the version description.</w:t>
      </w:r>
    </w:p>
    <w:p>
      <w:pPr>
        <w:pStyle w:val="ListParagraph"/>
        <w:numPr>
          <w:ilvl w:val="0"/>
          <w:numId w:val="2"/>
        </w:numPr>
        <w:spacing w:after="80" w:line="276"/>
      </w:pPr>
      <w:r>
        <w:rPr>
          <w:rFonts w:ascii="Calibri" w:cs="Calibri" w:eastAsia="Calibri" w:hAnsi="Calibri"/>
          <w:sz w:val="22"/>
          <w:szCs w:val="22"/>
        </w:rPr>
        <w:t xml:space="preserve">Type 1 supports the physical audit on their build: facility access, as-built records, manufacturing instructions.</w:t>
      </w:r>
    </w:p>
    <w:p>
      <w:pPr>
        <w:pStyle w:val="ListParagraph"/>
        <w:numPr>
          <w:ilvl w:val="0"/>
          <w:numId w:val="2"/>
        </w:numPr>
        <w:spacing w:after="80" w:line="276"/>
      </w:pPr>
      <w:r>
        <w:rPr>
          <w:rFonts w:ascii="Calibri" w:cs="Calibri" w:eastAsia="Calibri" w:hAnsi="Calibri"/>
          <w:sz w:val="22"/>
          <w:szCs w:val="22"/>
        </w:rPr>
        <w:t xml:space="preserve">Type 3 provides data support. Types 5, 7, and 8: generally not applicable.</w:t>
      </w:r>
    </w:p>
    <w:p>
      <w:pPr>
        <w:pStyle w:val="Heading2"/>
        <w:spacing w:after="120" w:before="260"/>
      </w:pPr>
      <w:r>
        <w:rPr>
          <w:rFonts w:ascii="Calibri" w:cs="Calibri" w:eastAsia="Calibri" w:hAnsi="Calibri"/>
        </w:rPr>
        <w:t xml:space="preserve">The Trap</w:t>
      </w:r>
    </w:p>
    <w:p>
      <w:pPr>
        <w:spacing w:after="120" w:line="276"/>
      </w:pPr>
      <w:r>
        <w:rPr>
          <w:rFonts w:ascii="Calibri" w:cs="Calibri" w:eastAsia="Calibri" w:hAnsi="Calibri"/>
          <w:sz w:val="22"/>
          <w:szCs w:val="22"/>
        </w:rPr>
        <w:t xml:space="preserve">Designation can arrive after award — and awarding to a new supplier is itself a designation trigger, because a source change is a risk event. Placing the subcontract can cause the designation that imposes audit obligations on that same subcontract. The defense is contractual: every statement of work where designation is possible carries a standing conditional audit clause (“if the item is or becomes designated, the supplier shall perform or support the audit per its work-type role, deliverables per the cited data items”) with the audit deliverables cited as triggered items. Deciding audit applicability once at proposal time converts every post-award designation into a contract-modification negotiation — conducted from weakness, priced by the other side.</w:t>
      </w:r>
    </w:p>
    <w:p>
      <w:pPr>
        <w:shd w:fill="EDF0F7" w:val="clear"/>
        <w:spacing w:after="60" w:before="160"/>
      </w:pPr>
      <w:r>
        <w:rPr>
          <w:rFonts w:ascii="Calibri" w:cs="Calibri" w:eastAsia="Calibri" w:hAnsi="Calibri"/>
          <w:b/>
          <w:bCs/>
          <w:color w:val="1F3864"/>
          <w:sz w:val="22"/>
          <w:szCs w:val="22"/>
        </w:rPr>
        <w:t xml:space="preserve">Exercise</w:t>
      </w:r>
    </w:p>
    <w:p>
      <w:pPr>
        <w:shd w:fill="EDF0F7" w:val="clear"/>
        <w:spacing w:after="160" w:line="276"/>
      </w:pPr>
      <w:r>
        <w:rPr>
          <w:rFonts w:ascii="Calibri" w:cs="Calibri" w:eastAsia="Calibri" w:hAnsi="Calibri"/>
          <w:sz w:val="22"/>
          <w:szCs w:val="22"/>
        </w:rPr>
        <w:t xml:space="preserve">Three scenarios — decide what the statement of work says about audits: (1) a type 4 subsystem already contract-designated for audit; (2) a type 1 bracket supplier, item never designated, clean history; (3) a type 2 valve supplier, item not currently designated, but it implements a hazard control. Compare: (1) unconditional audit conduct requirements with deliverables cited as scheduled items — the condition is already true. (2) the standing conditional clause still goes in — it costs nothing while the condition is false, and a future escape or source change can trigger designation; the role if triggered is support, not conduct. (3) conditional clause mandatory and expect it to trigger: a hazard-control item is presumptively designated, so price the audit deliverables now — this is the scenario the trap was written about.</w:t>
      </w:r>
    </w:p>
    <w:p>
      <w:r>
        <w:br w:type="page"/>
      </w:r>
    </w:p>
    <w:p>
      <w:pPr>
        <w:pStyle w:val="Heading1"/>
        <w:spacing w:after="160" w:before="320"/>
      </w:pPr>
      <w:r>
        <w:rPr>
          <w:rFonts w:ascii="Calibri" w:cs="Calibri" w:eastAsia="Calibri" w:hAnsi="Calibri"/>
        </w:rPr>
        <w:t xml:space="preserve">Module 5 — Traceability and Reconciliation: The Data That Makes It Real</w:t>
      </w:r>
    </w:p>
    <w:p>
      <w:pPr>
        <w:pStyle w:val="Heading2"/>
        <w:spacing w:after="120" w:before="260"/>
      </w:pPr>
      <w:r>
        <w:rPr>
          <w:rFonts w:ascii="Calibri" w:cs="Calibri" w:eastAsia="Calibri" w:hAnsi="Calibri"/>
        </w:rPr>
        <w:t xml:space="preserve">The Part Traceability Record</w:t>
      </w:r>
    </w:p>
    <w:p>
      <w:pPr>
        <w:spacing w:after="120" w:line="276"/>
      </w:pPr>
      <w:r>
        <w:rPr>
          <w:rFonts w:ascii="Calibri" w:cs="Calibri" w:eastAsia="Calibri" w:hAnsi="Calibri"/>
          <w:sz w:val="22"/>
          <w:szCs w:val="22"/>
        </w:rPr>
        <w:t xml:space="preserve">Defined once and referenced from every row where identifiers matter: serial numbers; lot and batch numbers; life-limited designation with the assigned limit and the life consumed at delivery; safety-critical designation; special handling designations; all traceable to the next higher assembly. Two disciplines inside it:</w:t>
      </w:r>
    </w:p>
    <w:p>
      <w:pPr>
        <w:pStyle w:val="ListParagraph"/>
        <w:numPr>
          <w:ilvl w:val="0"/>
          <w:numId w:val="2"/>
        </w:numPr>
        <w:spacing w:after="80" w:line="276"/>
      </w:pPr>
      <w:r>
        <w:rPr>
          <w:rFonts w:ascii="Calibri" w:cs="Calibri" w:eastAsia="Calibri" w:hAnsi="Calibri"/>
          <w:sz w:val="22"/>
          <w:szCs w:val="22"/>
        </w:rPr>
        <w:t xml:space="preserve">Authorship differs by work type. Type 1 receives the designations in the technical data package and marks, records, and reports against them. Types 2, 4, and 6 propose designations during design development for company approval. State this in the statement of work — or the supplier waits for you to provide what you are waiting for them to propose.</w:t>
      </w:r>
    </w:p>
    <w:p>
      <w:pPr>
        <w:pStyle w:val="ListParagraph"/>
        <w:numPr>
          <w:ilvl w:val="0"/>
          <w:numId w:val="2"/>
        </w:numPr>
        <w:spacing w:after="80" w:line="276"/>
      </w:pPr>
      <w:r>
        <w:rPr>
          <w:rFonts w:ascii="Calibri" w:cs="Calibri" w:eastAsia="Calibri" w:hAnsi="Calibri"/>
          <w:sz w:val="22"/>
          <w:szCs w:val="22"/>
        </w:rPr>
        <w:t xml:space="preserve">Retention is absolute: unit identifiers and consumed life survive part-number changes and overhaul. A traceability record with a blank consumed-life field on a lifed part is a safety defect, not a paperwork gap.</w:t>
      </w:r>
    </w:p>
    <w:p>
      <w:pPr>
        <w:pStyle w:val="Heading2"/>
        <w:spacing w:after="120" w:before="260"/>
      </w:pPr>
      <w:r>
        <w:rPr>
          <w:rFonts w:ascii="Calibri" w:cs="Calibri" w:eastAsia="Calibri" w:hAnsi="Calibri"/>
        </w:rPr>
        <w:t xml:space="preserve">Two Reconciliation Flowdowns, Not One</w:t>
      </w:r>
    </w:p>
    <w:p>
      <w:pPr>
        <w:pStyle w:val="ListParagraph"/>
        <w:numPr>
          <w:ilvl w:val="0"/>
          <w:numId w:val="2"/>
        </w:numPr>
        <w:spacing w:after="80" w:line="276"/>
      </w:pPr>
      <w:r>
        <w:rPr>
          <w:rFonts w:ascii="Calibri" w:cs="Calibri" w:eastAsia="Calibri" w:hAnsi="Calibri"/>
          <w:sz w:val="22"/>
          <w:szCs w:val="22"/>
        </w:rPr>
        <w:t xml:space="preserve">Process documentation — capability evidence: how the supplier reconciles as-built to released design at scale, reviewed before reliance is placed on it. This is what a physical audit at the supplier validates, and what the effectiveness evaluation scores.</w:t>
      </w:r>
    </w:p>
    <w:p>
      <w:pPr>
        <w:pStyle w:val="ListParagraph"/>
        <w:numPr>
          <w:ilvl w:val="0"/>
          <w:numId w:val="2"/>
        </w:numPr>
        <w:spacing w:after="80" w:line="276"/>
      </w:pPr>
      <w:r>
        <w:rPr>
          <w:rFonts w:ascii="Calibri" w:cs="Calibri" w:eastAsia="Calibri" w:hAnsi="Calibri"/>
          <w:sz w:val="22"/>
          <w:szCs w:val="22"/>
        </w:rPr>
        <w:t xml:space="preserve">Reconciliation report — the recurring per-delivery output: as-built against released revision, open deltas with disposition, incorporated changes with effectivity, expressed in traceability-record identifiers. For repair work, the as-maintained equivalent including retrofit incorporation.</w:t>
      </w:r>
    </w:p>
    <w:p>
      <w:pPr>
        <w:spacing w:after="120" w:line="276"/>
      </w:pPr>
      <w:r>
        <w:rPr>
          <w:rFonts w:ascii="Calibri" w:cs="Calibri" w:eastAsia="Calibri" w:hAnsi="Calibri"/>
          <w:sz w:val="22"/>
          <w:szCs w:val="22"/>
        </w:rPr>
        <w:t xml:space="preserve">The pair matters because each without the other fails differently: a report from an undocumented process is a number without a method; a documented process that never reports is a method without evidence.</w:t>
      </w:r>
    </w:p>
    <w:p>
      <w:pPr>
        <w:shd w:fill="EDF0F7" w:val="clear"/>
        <w:spacing w:after="60" w:before="160"/>
      </w:pPr>
      <w:r>
        <w:rPr>
          <w:rFonts w:ascii="Calibri" w:cs="Calibri" w:eastAsia="Calibri" w:hAnsi="Calibri"/>
          <w:b/>
          <w:bCs/>
          <w:color w:val="1F3864"/>
          <w:sz w:val="22"/>
          <w:szCs w:val="22"/>
        </w:rPr>
        <w:t xml:space="preserve">Exercise</w:t>
      </w:r>
    </w:p>
    <w:p>
      <w:pPr>
        <w:shd w:fill="EDF0F7" w:val="clear"/>
        <w:spacing w:after="160" w:line="276"/>
      </w:pPr>
      <w:r>
        <w:rPr>
          <w:rFonts w:ascii="Calibri" w:cs="Calibri" w:eastAsia="Calibri" w:hAnsi="Calibri"/>
          <w:sz w:val="22"/>
          <w:szCs w:val="22"/>
        </w:rPr>
        <w:t xml:space="preserve">A type 2 supplier’s first delivery arrives with: a certificate of conformance, serialized nameplates, and a parts list. What is missing from the data side? Compare: the reconciliation report for the delivery (as-built vs. released, deltas, change effectivity); the full traceability record content — lot/batch for the energetics if any, life data with consumed life at delivery, safety and handling designations, next-higher-assembly traceability; and — if this is truly the first delivery — evidence the reconciliation process documentation was ever submitted and reviewed. A certificate of conformance asserts; the reconciliation report and traceability record demonstrate.</w:t>
      </w:r>
    </w:p>
    <w:p>
      <w:r>
        <w:br w:type="page"/>
      </w:r>
    </w:p>
    <w:p>
      <w:pPr>
        <w:pStyle w:val="Heading1"/>
        <w:spacing w:after="160" w:before="320"/>
      </w:pPr>
      <w:r>
        <w:rPr>
          <w:rFonts w:ascii="Calibri" w:cs="Calibri" w:eastAsia="Calibri" w:hAnsi="Calibri"/>
        </w:rPr>
        <w:t xml:space="preserve">Module 6 — The Statement of Work: Classify, Derive, Cite, Sign, Maintain</w:t>
      </w:r>
    </w:p>
    <w:p>
      <w:pPr>
        <w:spacing w:after="120" w:line="276"/>
      </w:pPr>
      <w:r>
        <w:rPr>
          <w:rFonts w:ascii="Calibri" w:cs="Calibri" w:eastAsia="Calibri" w:hAnsi="Calibri"/>
          <w:sz w:val="22"/>
          <w:szCs w:val="22"/>
        </w:rPr>
        <w:t xml:space="preserve">The mechanics, in order:</w:t>
      </w:r>
    </w:p>
    <w:p>
      <w:pPr>
        <w:pStyle w:val="ListParagraph"/>
        <w:numPr>
          <w:ilvl w:val="0"/>
          <w:numId w:val="2"/>
        </w:numPr>
        <w:spacing w:after="80" w:line="276"/>
      </w:pPr>
      <w:r>
        <w:rPr>
          <w:rFonts w:ascii="Calibri" w:cs="Calibri" w:eastAsia="Calibri" w:hAnsi="Calibri"/>
          <w:sz w:val="22"/>
          <w:szCs w:val="22"/>
        </w:rPr>
        <w:t xml:space="preserve">Classify — CM classifies the procurement by work type(s) at statement-of-work development and records it on the classification log. The recorded classification is the tailoring rationale.</w:t>
      </w:r>
    </w:p>
    <w:p>
      <w:pPr>
        <w:pStyle w:val="ListParagraph"/>
        <w:numPr>
          <w:ilvl w:val="0"/>
          <w:numId w:val="2"/>
        </w:numPr>
        <w:spacing w:after="80" w:line="276"/>
      </w:pPr>
      <w:r>
        <w:rPr>
          <w:rFonts w:ascii="Calibri" w:cs="Calibri" w:eastAsia="Calibri" w:hAnsi="Calibri"/>
          <w:sz w:val="22"/>
          <w:szCs w:val="22"/>
        </w:rPr>
        <w:t xml:space="preserve">Derive — read the matrix columns; most demanding cell for mixed types; resolve every conditional cell including the audit rows against current designation status.</w:t>
      </w:r>
    </w:p>
    <w:p>
      <w:pPr>
        <w:pStyle w:val="ListParagraph"/>
        <w:numPr>
          <w:ilvl w:val="0"/>
          <w:numId w:val="2"/>
        </w:numPr>
        <w:spacing w:after="80" w:line="276"/>
      </w:pPr>
      <w:r>
        <w:rPr>
          <w:rFonts w:ascii="Calibri" w:cs="Calibri" w:eastAsia="Calibri" w:hAnsi="Calibri"/>
          <w:sz w:val="22"/>
          <w:szCs w:val="22"/>
        </w:rPr>
        <w:t xml:space="preserve">Cite — requirements into the statement of work with their data deliverables; the standing conditional audit clause wherever designation is possible; any floor-row tailoring through the floor gate with the disposition recorded.</w:t>
      </w:r>
    </w:p>
    <w:p>
      <w:pPr>
        <w:pStyle w:val="ListParagraph"/>
        <w:numPr>
          <w:ilvl w:val="0"/>
          <w:numId w:val="2"/>
        </w:numPr>
        <w:spacing w:after="80" w:line="276"/>
      </w:pPr>
      <w:r>
        <w:rPr>
          <w:rFonts w:ascii="Calibri" w:cs="Calibri" w:eastAsia="Calibri" w:hAnsi="Calibri"/>
          <w:sz w:val="22"/>
          <w:szCs w:val="22"/>
        </w:rPr>
        <w:t xml:space="preserve">Sign — CM reviews and signs the statement of work before release. Decide once, in the metric definition, what the signature attests: that review occurred, or that flowdown content is adequate — and write it down, so audits of the metric never relitigate it.</w:t>
      </w:r>
    </w:p>
    <w:p>
      <w:pPr>
        <w:pStyle w:val="ListParagraph"/>
        <w:numPr>
          <w:ilvl w:val="0"/>
          <w:numId w:val="2"/>
        </w:numPr>
        <w:spacing w:after="80" w:line="276"/>
      </w:pPr>
      <w:r>
        <w:rPr>
          <w:rFonts w:ascii="Calibri" w:cs="Calibri" w:eastAsia="Calibri" w:hAnsi="Calibri"/>
          <w:sz w:val="22"/>
          <w:szCs w:val="22"/>
        </w:rPr>
        <w:t xml:space="preserve">Maintain — re-run classification on scope change, work-type change, or designation change (including designations the award itself triggers); update the statement of work and the log.</w:t>
      </w:r>
    </w:p>
    <w:p>
      <w:pPr>
        <w:shd w:fill="EDF0F7" w:val="clear"/>
        <w:spacing w:after="60" w:before="160"/>
      </w:pPr>
      <w:r>
        <w:rPr>
          <w:rFonts w:ascii="Calibri" w:cs="Calibri" w:eastAsia="Calibri" w:hAnsi="Calibri"/>
          <w:b/>
          <w:bCs/>
          <w:color w:val="1F3864"/>
          <w:sz w:val="22"/>
          <w:szCs w:val="22"/>
        </w:rPr>
        <w:t xml:space="preserve">Exercise</w:t>
      </w:r>
    </w:p>
    <w:p>
      <w:pPr>
        <w:shd w:fill="EDF0F7" w:val="clear"/>
        <w:spacing w:after="160" w:line="276"/>
      </w:pPr>
      <w:r>
        <w:rPr>
          <w:rFonts w:ascii="Calibri" w:cs="Calibri" w:eastAsia="Calibri" w:hAnsi="Calibri"/>
          <w:sz w:val="22"/>
          <w:szCs w:val="22"/>
        </w:rPr>
        <w:t xml:space="preserve">Which step failed in each mini-case? (1) A supplier’s scope quietly grew from build-to-print to “minor design cleanup” of the drawings they build from, and nobody touched the statement of work. (2) A statement of work cites the reconciliation report but the deliverable was never defined — the supplier ships a one-line memo. (3) The classification log shows the right work type, but the statement of work released without a CM signature during a holiday crunch. Compare: (1) Maintain — scope change to design authority is a re-classification event (type 1 became type 1+3, and change control just became applicable). (2) Cite — a requirement without its defined deliverable is unenforceable; citation means the data item definition, not just the noun. (3) Sign — and the gate that let it release unsigned is the finding, not the individual.</w:t>
      </w:r>
    </w:p>
    <w:p>
      <w:r>
        <w:br w:type="page"/>
      </w:r>
    </w:p>
    <w:p>
      <w:pPr>
        <w:pStyle w:val="Heading1"/>
        <w:spacing w:after="160" w:before="320"/>
      </w:pPr>
      <w:r>
        <w:rPr>
          <w:rFonts w:ascii="Calibri" w:cs="Calibri" w:eastAsia="Calibri" w:hAnsi="Calibri"/>
        </w:rPr>
        <w:t xml:space="preserve">Module 7 — Effectiveness: Closing the Loop</w:t>
      </w:r>
    </w:p>
    <w:p>
      <w:pPr>
        <w:spacing w:after="120" w:line="276"/>
      </w:pPr>
      <w:r>
        <w:rPr>
          <w:rFonts w:ascii="Calibri" w:cs="Calibri" w:eastAsia="Calibri" w:hAnsi="Calibri"/>
          <w:sz w:val="22"/>
          <w:szCs w:val="22"/>
        </w:rPr>
        <w:t xml:space="preserve">Flowing requirements is half the obligation; determining whether the supplier’s CM process is effective — and acting when it is not — is the other half. The model is continuous accrual with judgment roll-up:</w:t>
      </w:r>
    </w:p>
    <w:p>
      <w:pPr>
        <w:pStyle w:val="ListParagraph"/>
        <w:numPr>
          <w:ilvl w:val="0"/>
          <w:numId w:val="2"/>
        </w:numPr>
        <w:spacing w:after="80" w:line="276"/>
      </w:pPr>
      <w:r>
        <w:rPr>
          <w:rFonts w:ascii="Calibri" w:cs="Calibri" w:eastAsia="Calibri" w:hAnsi="Calibri"/>
          <w:sz w:val="22"/>
          <w:szCs w:val="22"/>
        </w:rPr>
        <w:t xml:space="preserve">Evidence accrues transaction by transaction: every data deliverable is logged and scored at review (first-pass accepted, accepted with comment, rejected — with defect codes), and non-submittal events (post-delivery departures that should have been variance-requested, unauthorized process changes, reconciliation misses found at receiving) are logged as findings. Effectiveness includes what suppliers fail to submit.</w:t>
      </w:r>
    </w:p>
    <w:p>
      <w:pPr>
        <w:pStyle w:val="ListParagraph"/>
        <w:numPr>
          <w:ilvl w:val="0"/>
          <w:numId w:val="2"/>
        </w:numPr>
        <w:spacing w:after="80" w:line="276"/>
      </w:pPr>
      <w:r>
        <w:rPr>
          <w:rFonts w:ascii="Calibri" w:cs="Calibri" w:eastAsia="Calibri" w:hAnsi="Calibri"/>
          <w:sz w:val="22"/>
          <w:szCs w:val="22"/>
        </w:rPr>
        <w:t xml:space="preserve">The determination — effective, conditionally effective, ineffective — is a judgment refreshed over rolling data, on a tiered cadence as backstop and on triggers as drivers: rejection streaks, any safety-relevant escape, audit findings.</w:t>
      </w:r>
    </w:p>
    <w:p>
      <w:pPr>
        <w:pStyle w:val="ListParagraph"/>
        <w:numPr>
          <w:ilvl w:val="0"/>
          <w:numId w:val="2"/>
        </w:numPr>
        <w:spacing w:after="80" w:line="276"/>
      </w:pPr>
      <w:r>
        <w:rPr>
          <w:rFonts w:ascii="Calibri" w:cs="Calibri" w:eastAsia="Calibri" w:hAnsi="Calibri"/>
          <w:sz w:val="22"/>
          <w:szCs w:val="22"/>
        </w:rPr>
        <w:t xml:space="preserve">An ineffective determination is not a filing event. It triggers the actions ladder (corrective action request, increased surveillance, source inspection, up to new-award hold), re-runs the audit-designation assessment for the items that supplier builds, feeds the safety data stream where safety-relevant, and forces review of any floor equivalent-control that relied on that supplier’s process.</w:t>
      </w:r>
    </w:p>
    <w:p>
      <w:pPr>
        <w:shd w:fill="EDF0F7" w:val="clear"/>
        <w:spacing w:after="60" w:before="160"/>
      </w:pPr>
      <w:r>
        <w:rPr>
          <w:rFonts w:ascii="Calibri" w:cs="Calibri" w:eastAsia="Calibri" w:hAnsi="Calibri"/>
          <w:b/>
          <w:bCs/>
          <w:color w:val="1F3864"/>
          <w:sz w:val="22"/>
          <w:szCs w:val="22"/>
        </w:rPr>
        <w:t xml:space="preserve">Exercise</w:t>
      </w:r>
    </w:p>
    <w:p>
      <w:pPr>
        <w:shd w:fill="EDF0F7" w:val="clear"/>
        <w:spacing w:after="160" w:line="276"/>
      </w:pPr>
      <w:r>
        <w:rPr>
          <w:rFonts w:ascii="Calibri" w:cs="Calibri" w:eastAsia="Calibri" w:hAnsi="Calibri"/>
          <w:sz w:val="22"/>
          <w:szCs w:val="22"/>
        </w:rPr>
        <w:t xml:space="preserve">A supplier’s rolling record: eleven deliverables logged, first-pass rate 82%, one open finding — a post-delivery discovery of an undocumented material substitution on a non-safety part, corrective action in work. Make the call and name what it triggers. Compare: conditionally effective is defensible — the first-pass rate alone would say effective, but a departure that skipped variance control is a control failure, not a paperwork error. Triggers: corrective action tracked to closure with an extent check across delivered units; the finding logged against the variance-discipline criterion; and — the step most people miss — re-screening the audit-designation assessment for this supplier’s items, because an escape history is a designation factor. If the substituted material had been on a safety-critical part, the determination hardens and the safety data stream gets the report.</w:t>
      </w:r>
    </w:p>
    <w:p>
      <w:r>
        <w:br w:type="page"/>
      </w:r>
    </w:p>
    <w:p>
      <w:pPr>
        <w:pStyle w:val="Heading1"/>
        <w:spacing w:after="160" w:before="320"/>
      </w:pPr>
      <w:r>
        <w:rPr>
          <w:rFonts w:ascii="Calibri" w:cs="Calibri" w:eastAsia="Calibri" w:hAnsi="Calibri"/>
        </w:rPr>
        <w:t xml:space="preserve">Module 8 — Recursion and the Floor</w:t>
      </w:r>
    </w:p>
    <w:p>
      <w:pPr>
        <w:pStyle w:val="ListParagraph"/>
        <w:numPr>
          <w:ilvl w:val="0"/>
          <w:numId w:val="2"/>
        </w:numPr>
        <w:spacing w:after="80" w:line="276"/>
      </w:pPr>
      <w:r>
        <w:rPr>
          <w:rFonts w:ascii="Calibri" w:cs="Calibri" w:eastAsia="Calibri" w:hAnsi="Calibri"/>
          <w:sz w:val="22"/>
          <w:szCs w:val="22"/>
        </w:rPr>
        <w:t xml:space="preserve">Flowdown recurses: wherever the supplier has sub-tiers of its own, the same comply-or-suitably-tailor obligation flows again, and sub-tier product data — part numbers and serial numbers with traceability to next higher assemblies — comes back up. A tier you cannot see through is a tier you do not control.</w:t>
      </w:r>
    </w:p>
    <w:p>
      <w:pPr>
        <w:pStyle w:val="ListParagraph"/>
        <w:numPr>
          <w:ilvl w:val="0"/>
          <w:numId w:val="2"/>
        </w:numPr>
        <w:spacing w:after="80" w:line="276"/>
      </w:pPr>
      <w:r>
        <w:rPr>
          <w:rFonts w:ascii="Calibri" w:cs="Calibri" w:eastAsia="Calibri" w:hAnsi="Calibri"/>
          <w:sz w:val="22"/>
          <w:szCs w:val="22"/>
        </w:rPr>
        <w:t xml:space="preserve">The floor does not dilute with depth: a safety-floor requirement may not be silently dropped at any tier. A supplier’s proposal to tailor one out is dispositioned through the floor gate exactly as your own program’s would be — performed, replaced by a validated equivalent control, or formally risk-accepted at the authority the severity demands. “Our sub-tier is too small for that” is a gate submission, not an exemption.</w:t>
      </w:r>
    </w:p>
    <w:p>
      <w:pPr>
        <w:pStyle w:val="ListParagraph"/>
        <w:numPr>
          <w:ilvl w:val="0"/>
          <w:numId w:val="2"/>
        </w:numPr>
        <w:spacing w:after="80" w:line="276"/>
      </w:pPr>
      <w:r>
        <w:rPr>
          <w:rFonts w:ascii="Calibri" w:cs="Calibri" w:eastAsia="Calibri" w:hAnsi="Calibri"/>
          <w:sz w:val="22"/>
          <w:szCs w:val="22"/>
        </w:rPr>
        <w:t xml:space="preserve">Watch the boundary between tailoring ceremony and tailoring substance, at every tier: an internally certified supplier audit is ceremony; skipping the approved-parts check because “their system prevents it” is substance — the check exists to test that claim.</w:t>
      </w:r>
    </w:p>
    <w:p>
      <w:pPr>
        <w:shd w:fill="EDF0F7" w:val="clear"/>
        <w:spacing w:after="60" w:before="160"/>
      </w:pPr>
      <w:r>
        <w:rPr>
          <w:rFonts w:ascii="Calibri" w:cs="Calibri" w:eastAsia="Calibri" w:hAnsi="Calibri"/>
          <w:b/>
          <w:bCs/>
          <w:color w:val="1F3864"/>
          <w:sz w:val="22"/>
          <w:szCs w:val="22"/>
        </w:rPr>
        <w:t xml:space="preserve">Self-check</w:t>
      </w:r>
    </w:p>
    <w:p>
      <w:pPr>
        <w:shd w:fill="EDF0F7" w:val="clear"/>
        <w:spacing w:after="160" w:line="276"/>
      </w:pPr>
      <w:r>
        <w:rPr>
          <w:rFonts w:ascii="Calibri" w:cs="Calibri" w:eastAsia="Calibri" w:hAnsi="Calibri"/>
          <w:sz w:val="22"/>
          <w:szCs w:val="22"/>
        </w:rPr>
        <w:t xml:space="preserve">Your type 4 supplier proposes: “our machining sub-tier is a two-person shop; we’ll waive traceability records for them.” Response? Compare: traceability to next higher assembly is floor-tagged — the waiver is a floor-gate submission, not a supplier prerogative. The likely right answer is a suitable tailoring (simplified record format, same content: identifiers, lot, traceability) rather than omission — the floor constrains what, not how elaborate.</w:t>
      </w:r>
    </w:p>
    <w:p>
      <w:r>
        <w:br w:type="page"/>
      </w:r>
    </w:p>
    <w:p>
      <w:pPr>
        <w:pStyle w:val="Heading1"/>
        <w:spacing w:after="160" w:before="320"/>
      </w:pPr>
      <w:r>
        <w:rPr>
          <w:rFonts w:ascii="Calibri" w:cs="Calibri" w:eastAsia="Calibri" w:hAnsi="Calibri"/>
        </w:rPr>
        <w:t xml:space="preserve">Module 9 — Capstone: Red-Team a Statement of Work</w:t>
      </w:r>
    </w:p>
    <w:p>
      <w:pPr>
        <w:spacing w:after="120" w:line="276"/>
      </w:pPr>
      <w:r>
        <w:rPr>
          <w:rFonts w:ascii="Calibri" w:cs="Calibri" w:eastAsia="Calibri" w:hAnsi="Calibri"/>
          <w:sz w:val="22"/>
          <w:szCs w:val="22"/>
        </w:rPr>
        <w:t xml:space="preserve">The company is placing the Coastal Surveyor motor controller subcontract: the supplier designs and builds the controller under your source control drawing and writes its firmware (work types 2 + 6, from the CI identification course — the item with two connector-build part numbers, and whose interface to the flight computer sits in the hazard-control chain). A draft statement-of-work CM section is below, written with six seeded defects. Find them all, state each as a defect with its consequence, and rewrite the two worst clauses. Then answer the quiz. Keys in Appendix A.</w:t>
      </w:r>
    </w:p>
    <w:p>
      <w:pPr>
        <w:pStyle w:val="Heading2"/>
        <w:spacing w:after="120" w:before="260"/>
      </w:pPr>
      <w:r>
        <w:rPr>
          <w:rFonts w:ascii="Calibri" w:cs="Calibri" w:eastAsia="Calibri" w:hAnsi="Calibri"/>
        </w:rPr>
        <w:t xml:space="preserve">Draft CM Section (seeded)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83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Clause</w:t>
            </w:r>
          </w:p>
        </w:tc>
        <w:tc>
          <w:tcPr>
            <w:tcW w:type="dxa" w:w="83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Draft text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3.1</w:t>
            </w:r>
          </w:p>
        </w:tc>
        <w:tc>
          <w:tcPr>
            <w:tcW w:type="dxa" w:w="8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shall maintain a quality system. A configuration management plan is not required for this procurement given the source-controlled nature of the 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3.2</w:t>
            </w:r>
          </w:p>
        </w:tc>
        <w:tc>
          <w:tcPr>
            <w:tcW w:type="dxa" w:w="8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shall work to the current revision of the source control drawing and shall submit an engineering change proposal for any change affecting form, fit, function, interface, or qualification.</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3.3</w:t>
            </w:r>
          </w:p>
        </w:tc>
        <w:tc>
          <w:tcPr>
            <w:tcW w:type="dxa" w:w="8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shall deliver a reconciliation report with each delivery lot, comparing as-built configuration to the released design.</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3.4</w:t>
            </w:r>
          </w:p>
        </w:tc>
        <w:tc>
          <w:tcPr>
            <w:tcW w:type="dxa" w:w="8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shall serialize each unit and deliver a part traceability record per delivery, including serial numbers, lot/batch numbers, and safety-critical designations, traceable to next higher assembly.</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3.5</w:t>
            </w:r>
          </w:p>
        </w:tc>
        <w:tc>
          <w:tcPr>
            <w:tcW w:type="dxa" w:w="8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shall conduct a functional configuration audit and a physical configuration audit of the item prior to first delivery.</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3.6</w:t>
            </w:r>
          </w:p>
        </w:tc>
        <w:tc>
          <w:tcPr>
            <w:tcW w:type="dxa" w:w="8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may notify the company of changes to manufacturing processes it considers significant.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3.7</w:t>
            </w:r>
          </w:p>
        </w:tc>
        <w:tc>
          <w:tcPr>
            <w:tcW w:type="dxa" w:w="8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Where the supplier procures machined details from its own sub-tier sources, supplier is responsible for their quality.</w:t>
            </w:r>
          </w:p>
        </w:tc>
      </w:tr>
    </w:tbl>
    <w:p>
      <w:pPr>
        <w:pStyle w:val="Heading2"/>
        <w:spacing w:after="120" w:before="260"/>
      </w:pPr>
      <w:r>
        <w:rPr>
          <w:rFonts w:ascii="Calibri" w:cs="Calibri" w:eastAsia="Calibri" w:hAnsi="Calibri"/>
        </w:rPr>
        <w:t xml:space="preserve">Quiz</w:t>
      </w:r>
    </w:p>
    <w:p>
      <w:pPr>
        <w:pStyle w:val="ListParagraph"/>
        <w:numPr>
          <w:ilvl w:val="0"/>
          <w:numId w:val="2"/>
        </w:numPr>
        <w:spacing w:after="80" w:line="276"/>
      </w:pPr>
      <w:r>
        <w:rPr>
          <w:rFonts w:ascii="Calibri" w:cs="Calibri" w:eastAsia="Calibri" w:hAnsi="Calibri"/>
          <w:sz w:val="22"/>
          <w:szCs w:val="22"/>
        </w:rPr>
        <w:t xml:space="preserve">1. Which two clauses fail by omission of an entire requirement family the work-type classification demands — and which families?</w:t>
      </w:r>
    </w:p>
    <w:p>
      <w:pPr>
        <w:pStyle w:val="ListParagraph"/>
        <w:numPr>
          <w:ilvl w:val="0"/>
          <w:numId w:val="2"/>
        </w:numPr>
        <w:spacing w:after="80" w:line="276"/>
      </w:pPr>
      <w:r>
        <w:rPr>
          <w:rFonts w:ascii="Calibri" w:cs="Calibri" w:eastAsia="Calibri" w:hAnsi="Calibri"/>
          <w:sz w:val="22"/>
          <w:szCs w:val="22"/>
        </w:rPr>
        <w:t xml:space="preserve">2. Clause 3.5 imposes audits unconditionally. Why is that wrong even for an item likely to be designated, and what replaces it?</w:t>
      </w:r>
    </w:p>
    <w:p>
      <w:pPr>
        <w:pStyle w:val="ListParagraph"/>
        <w:numPr>
          <w:ilvl w:val="0"/>
          <w:numId w:val="2"/>
        </w:numPr>
        <w:spacing w:after="80" w:line="276"/>
      </w:pPr>
      <w:r>
        <w:rPr>
          <w:rFonts w:ascii="Calibri" w:cs="Calibri" w:eastAsia="Calibri" w:hAnsi="Calibri"/>
          <w:sz w:val="22"/>
          <w:szCs w:val="22"/>
        </w:rPr>
        <w:t xml:space="preserve">3. Clause 3.3 requires the report but the package is still unable to prove the supplier can produce a truthful one. What is missing, and why does the pair matter?</w:t>
      </w:r>
    </w:p>
    <w:p>
      <w:pPr>
        <w:pStyle w:val="ListParagraph"/>
        <w:numPr>
          <w:ilvl w:val="0"/>
          <w:numId w:val="2"/>
        </w:numPr>
        <w:spacing w:after="80" w:line="276"/>
      </w:pPr>
      <w:r>
        <w:rPr>
          <w:rFonts w:ascii="Calibri" w:cs="Calibri" w:eastAsia="Calibri" w:hAnsi="Calibri"/>
          <w:sz w:val="22"/>
          <w:szCs w:val="22"/>
        </w:rPr>
        <w:t xml:space="preserve">4. Clause 3.4 looks thorough. What single omission makes it a safety defect for this item family, and which retention rule backs that judgment?</w:t>
      </w:r>
    </w:p>
    <w:p>
      <w:pPr>
        <w:pStyle w:val="ListParagraph"/>
        <w:numPr>
          <w:ilvl w:val="0"/>
          <w:numId w:val="2"/>
        </w:numPr>
        <w:spacing w:after="80" w:line="276"/>
      </w:pPr>
      <w:r>
        <w:rPr>
          <w:rFonts w:ascii="Calibri" w:cs="Calibri" w:eastAsia="Calibri" w:hAnsi="Calibri"/>
          <w:sz w:val="22"/>
          <w:szCs w:val="22"/>
        </w:rPr>
        <w:t xml:space="preserve">5. Which clause converts a mandatory control into supplier discretion, and what three words fix it?</w:t>
      </w:r>
    </w:p>
    <w:p>
      <w:pPr>
        <w:pStyle w:val="ListParagraph"/>
        <w:numPr>
          <w:ilvl w:val="0"/>
          <w:numId w:val="2"/>
        </w:numPr>
        <w:spacing w:after="80" w:line="276"/>
      </w:pPr>
      <w:r>
        <w:rPr>
          <w:rFonts w:ascii="Calibri" w:cs="Calibri" w:eastAsia="Calibri" w:hAnsi="Calibri"/>
          <w:sz w:val="22"/>
          <w:szCs w:val="22"/>
        </w:rPr>
        <w:t xml:space="preserve">6. Which defect would survive even a perfect supplier — and what does that teach about what flowdown clauses are for?</w:t>
      </w:r>
    </w:p>
    <w:p>
      <w:r>
        <w:br w:type="page"/>
      </w:r>
    </w:p>
    <w:p>
      <w:pPr>
        <w:pStyle w:val="Heading1"/>
        <w:spacing w:after="160" w:before="320"/>
      </w:pPr>
      <w:r>
        <w:rPr>
          <w:rFonts w:ascii="Calibri" w:cs="Calibri" w:eastAsia="Calibri" w:hAnsi="Calibri"/>
        </w:rPr>
        <w:t xml:space="preserve">Appendix A — Capstone Defect Key and Quiz Answers</w:t>
      </w:r>
    </w:p>
    <w:p>
      <w:pPr>
        <w:spacing w:after="120" w:line="276"/>
        <w:rPr>
          <w:b/>
          <w:bCs/>
        </w:rPr>
      </w:pPr>
      <w:r>
        <w:rPr>
          <w:rFonts w:ascii="Calibri" w:cs="Calibri" w:eastAsia="Calibri" w:hAnsi="Calibri"/>
          <w:b/>
          <w:bCs/>
          <w:sz w:val="22"/>
          <w:szCs w:val="22"/>
        </w:rPr>
        <w:t xml:space="preserve">Do not read before completing the capstone.</w:t>
      </w:r>
    </w:p>
    <w:p>
      <w:pPr>
        <w:pStyle w:val="Heading2"/>
        <w:spacing w:after="120" w:before="260"/>
      </w:pPr>
      <w:r>
        <w:rPr>
          <w:rFonts w:ascii="Calibri" w:cs="Calibri" w:eastAsia="Calibri" w:hAnsi="Calibri"/>
        </w:rPr>
        <w:t xml:space="preserve">Seeded defects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000"/>
        <w:gridCol w:w="8260"/>
      </w:tblGrid>
      <w:tr>
        <w:trPr>
          <w:tblHeader/>
        </w:trPr>
        <w:tc>
          <w:tcPr>
            <w:tcW w:type="dxa" w:w="1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Clause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Defect, consequence, and correction</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3.1</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plan waived — wrong for the classification. Type 2 alone takes a tailored plan; the type 6 overlay makes a full plan (including software CM: version identification, library control, build reproducibility) Required, and most-demanding-cell wins. Consequence: the entire software CM family is unimposed. Correction: require the CM plan covering both hardware and software CM, submitted for approval before design release.</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3.2</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Sound as far as it goes — but the section nowhere requires a request for variance for departures and nonconformances prior to delivery. Change control without variance control covers the design authority and leaves the build undisciplined; the post-delivery-discovery escape path is exactly what variance flowdown closes. (Counted with 3.1 as the two omission defects.)</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3.3 (paired defect)</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report is required but the reconciliation process documentation is not — capability unproven. A report from an undocumented process is a number without a method; the process documentation is also what the physical audit validates and the effectiveness evaluation scores. Correction: require process documentation with the CM plan, report per delivery lot.</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3.4</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traceability record omits life-limited designation with assigned limits and life consumed at delivery. For an item family with lifed content, a record without a consumed-life starting value defeats the life-tracking barrier — the retention rule (consumed life survives modification and overhaul) has nothing to carry. Also missing: special handling designations, and the authorship statement — as a type 2+6 developer, this supplier proposes the designations for company approval; unstated, each side waits for the other.</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3.5</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Unconditional audit conduct. Audits attach to designation, not to the subcontract; even for an item likely to designate (this one implements a hazard-control interface), the correct instrument is the standing conditional clause with deliverables cited as triggered items — which also protects against the reverse case, paying for ceremony the designation assessment never required. Replace with: “if the item is or becomes designated per the audit process, supplier shall conduct the audits per its work-type role; deliverables per the cited data items.”</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3.6</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“May notify … it considers significant” converts a control into discretion twice over — optional notice, supplier-defined scope. The three-word fix: “shall notify … before implementation” (with the company, not the supplier, defining which processes are controlled — frozen-planning scope stated in the statement of work).</w:t>
            </w:r>
          </w:p>
        </w:tc>
      </w:tr>
      <w:tr>
        <w:tc>
          <w:tcPr>
            <w:tcW w:type="dxa" w:w="1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3.7</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“Responsible for their quality” is not recursion. The comply-or-suitably-tailor obligation flows to the supplier’s sub-tiers with sub-tier product data — part and serial numbers traceable to next higher assemblies — returned upward; and floor-tagged rows may not be dropped at any tier without a gate disposition.</w:t>
            </w:r>
          </w:p>
        </w:tc>
      </w:tr>
    </w:tbl>
    <w:p>
      <w:pPr>
        <w:pStyle w:val="Heading2"/>
        <w:spacing w:after="120" w:before="260"/>
      </w:pPr>
      <w:r>
        <w:rPr>
          <w:rFonts w:ascii="Calibri" w:cs="Calibri" w:eastAsia="Calibri" w:hAnsi="Calibri"/>
        </w:rPr>
        <w:t xml:space="preserve">Quiz answers</w:t>
      </w:r>
    </w:p>
    <w:p>
      <w:pPr>
        <w:pStyle w:val="ListParagraph"/>
        <w:numPr>
          <w:ilvl w:val="0"/>
          <w:numId w:val="2"/>
        </w:numPr>
        <w:spacing w:after="80" w:line="276"/>
      </w:pPr>
      <w:r>
        <w:rPr>
          <w:rFonts w:ascii="Calibri" w:cs="Calibri" w:eastAsia="Calibri" w:hAnsi="Calibri"/>
          <w:sz w:val="22"/>
          <w:szCs w:val="22"/>
        </w:rPr>
        <w:t xml:space="preserve">1. Clauses 3.1 and 3.2: the software CM family (dropped by waiving the plan against a type 6 overlay) and the variance-control family (never imposed anywhere in the section).</w:t>
      </w:r>
    </w:p>
    <w:p>
      <w:pPr>
        <w:pStyle w:val="ListParagraph"/>
        <w:numPr>
          <w:ilvl w:val="0"/>
          <w:numId w:val="2"/>
        </w:numPr>
        <w:spacing w:after="80" w:line="276"/>
      </w:pPr>
      <w:r>
        <w:rPr>
          <w:rFonts w:ascii="Calibri" w:cs="Calibri" w:eastAsia="Calibri" w:hAnsi="Calibri"/>
          <w:sz w:val="22"/>
          <w:szCs w:val="22"/>
        </w:rPr>
        <w:t xml:space="preserve">2. Because audit obligations follow designation, not the subcontract — unconditional imposition pays for ceremony designation may never require, and teaches the supplier that audit clauses are boilerplate. The standing conditional clause replaces it, keeping the obligation priced and dormant until the condition is true.</w:t>
      </w:r>
    </w:p>
    <w:p>
      <w:pPr>
        <w:pStyle w:val="ListParagraph"/>
        <w:numPr>
          <w:ilvl w:val="0"/>
          <w:numId w:val="2"/>
        </w:numPr>
        <w:spacing w:after="80" w:line="276"/>
      </w:pPr>
      <w:r>
        <w:rPr>
          <w:rFonts w:ascii="Calibri" w:cs="Calibri" w:eastAsia="Calibri" w:hAnsi="Calibri"/>
          <w:sz w:val="22"/>
          <w:szCs w:val="22"/>
        </w:rPr>
        <w:t xml:space="preserve">3. The reconciliation process documentation. The report and the process are a pair: each without the other fails — a report with no documented method, or a method with no evidence stream.</w:t>
      </w:r>
    </w:p>
    <w:p>
      <w:pPr>
        <w:pStyle w:val="ListParagraph"/>
        <w:numPr>
          <w:ilvl w:val="0"/>
          <w:numId w:val="2"/>
        </w:numPr>
        <w:spacing w:after="80" w:line="276"/>
      </w:pPr>
      <w:r>
        <w:rPr>
          <w:rFonts w:ascii="Calibri" w:cs="Calibri" w:eastAsia="Calibri" w:hAnsi="Calibri"/>
          <w:sz w:val="22"/>
          <w:szCs w:val="22"/>
        </w:rPr>
        <w:t xml:space="preserve">4. Life-limited designation with life consumed at delivery. The retention rule — consumed life survives modification and overhaul exactly as a serial number does — is meaningless without an established starting value.</w:t>
      </w:r>
    </w:p>
    <w:p>
      <w:pPr>
        <w:pStyle w:val="ListParagraph"/>
        <w:numPr>
          <w:ilvl w:val="0"/>
          <w:numId w:val="2"/>
        </w:numPr>
        <w:spacing w:after="80" w:line="276"/>
      </w:pPr>
      <w:r>
        <w:rPr>
          <w:rFonts w:ascii="Calibri" w:cs="Calibri" w:eastAsia="Calibri" w:hAnsi="Calibri"/>
          <w:sz w:val="22"/>
          <w:szCs w:val="22"/>
        </w:rPr>
        <w:t xml:space="preserve">5. Clause 3.6; “shall notify … before implementation.”</w:t>
      </w:r>
    </w:p>
    <w:p>
      <w:pPr>
        <w:pStyle w:val="ListParagraph"/>
        <w:numPr>
          <w:ilvl w:val="0"/>
          <w:numId w:val="2"/>
        </w:numPr>
        <w:spacing w:after="80" w:line="276"/>
      </w:pPr>
      <w:r>
        <w:rPr>
          <w:rFonts w:ascii="Calibri" w:cs="Calibri" w:eastAsia="Calibri" w:hAnsi="Calibri"/>
          <w:sz w:val="22"/>
          <w:szCs w:val="22"/>
        </w:rPr>
        <w:t xml:space="preserve">6. Clause 3.5 (and 3.6 is an acceptable alternate answer). Even a supplier who would volunteer everything is governed by what the words require when relationships strain, people rotate, and schedule presses. Flowdown clauses are written for the bad week, not the good one — that is the course’s closing teach.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Sub-Supplier CM Flowdown Self-Paced Course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2026-07-19T18:02:24.516Z</dcterms:created>
  <dcterms:modified xsi:type="dcterms:W3CDTF">2026-07-19T18:02:24.528Z</dcterms:modified>
</cp:coreProperties>
</file>

<file path=docProps/custom.xml><?xml version="1.0" encoding="utf-8"?>
<Properties xmlns="http://schemas.openxmlformats.org/officeDocument/2006/custom-properties" xmlns:vt="http://schemas.openxmlformats.org/officeDocument/2006/docPropsVTypes"/>
</file>