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CONFIGURATION MANAGEMENT PROCESS</w:t>
      </w:r>
    </w:p>
    <w:p>
      <w:pPr>
        <w:pStyle w:val="BodyText"/>
      </w:pPr>
      <w:r>
        <w:rPr>
          <w:bCs/>
          <w:b/>
        </w:rPr>
        <w:t xml:space="preserve">Configuration Item (CI) Identification Process</w:t>
      </w:r>
    </w:p>
    <w:p>
      <w:pPr>
        <w:pStyle w:val="BodyText"/>
      </w:pPr>
      <w:r>
        <w:rPr>
          <w:iCs/>
          <w:i/>
        </w:rPr>
        <w:t xml:space="preserve">In Alignment with EIA-649-1A and GEIA-HB-649A</w:t>
      </w:r>
    </w:p>
    <w:p>
      <w:pPr>
        <w:pStyle w:val="BodyText"/>
      </w:pPr>
      <w:r>
        <w:t xml:space="preserve">Document No.: [assigned]</w:t>
      </w:r>
    </w:p>
    <w:p>
      <w:pPr>
        <w:pStyle w:val="BodyText"/>
      </w:pPr>
      <w:r>
        <w:t xml:space="preserve">Revision: [Initial] Date: [Date]</w:t>
      </w:r>
    </w:p>
    <w:p>
      <w:pPr>
        <w:pStyle w:val="BodyText"/>
      </w:pPr>
      <w:r>
        <w:t xml:space="preserve">Prepared by: Configuration Management Approved by: [Approver]</w:t>
      </w:r>
    </w:p>
    <w:bookmarkStart w:id="20" w:name="table-of-contents"/>
    <w:p>
      <w:pPr>
        <w:pStyle w:val="Heading1"/>
      </w:pPr>
      <w:r>
        <w:t xml:space="preserve">Table of Contents</w:t>
      </w:r>
    </w:p>
    <w:p>
      <w:r>
        <w:fldChar w:fldCharType="begin"/>
      </w:r>
      <w:r>
        <w:instrText xml:space="preserve"> TOC \o "1-3" \h \z \u </w:instrText>
      </w:r>
      <w:r>
        <w:fldChar w:fldCharType="separate"/>
      </w:r>
      <w:r>
        <w:t>Right-click and choose Update Field to build the table of contents.</w:t>
      </w:r>
      <w:r>
        <w:fldChar w:fldCharType="end"/>
      </w:r>
    </w:p>
    <w:bookmarkEnd w:id="20"/>
    <w:bookmarkStart w:id="24" w:name="purpose-scope-and-applicability"/>
    <w:p>
      <w:pPr>
        <w:pStyle w:val="Heading1"/>
      </w:pPr>
      <w:r>
        <w:t xml:space="preserve">1. Purpose, Scope, and Applicability</w:t>
      </w:r>
    </w:p>
    <w:bookmarkStart w:id="21" w:name="purpose"/>
    <w:p>
      <w:pPr>
        <w:pStyle w:val="Heading2"/>
      </w:pPr>
      <w:r>
        <w:t xml:space="preserve">1.1 Purpose</w:t>
      </w:r>
    </w:p>
    <w:p>
      <w:pPr>
        <w:pStyle w:val="FirstParagraph"/>
      </w:pPr>
      <w:r>
        <w:t xml:space="preserve">This document instructs the Configuration Management (CM) team on how to perform the selection and identification of Configuration Items (CIs). It aligns with EIA-649-1A, Configuration Management Requirements for Defense Contracts, and GEIA-HB-649A, Configuration Management Standard Implementation Guide.</w:t>
      </w:r>
    </w:p>
    <w:bookmarkEnd w:id="21"/>
    <w:bookmarkStart w:id="22" w:name="scope"/>
    <w:p>
      <w:pPr>
        <w:pStyle w:val="Heading2"/>
      </w:pPr>
      <w:r>
        <w:t xml:space="preserve">1.2 Scope</w:t>
      </w:r>
    </w:p>
    <w:p>
      <w:pPr>
        <w:pStyle w:val="FirstParagraph"/>
      </w:pPr>
      <w:r>
        <w:t xml:space="preserve">This process covers the full configuration identification function: candidate CI identification, application of CI selection criteria, establishment of the CI structure and hierarchy, interface identification, Acquirer review and concurrence, assignment of identifiers, determination of configuration documentation, establishment of configuration baselines, and ongoing maintenance of the configuration identification.</w:t>
      </w:r>
    </w:p>
    <w:p>
      <w:pPr>
        <w:pStyle w:val="BodyText"/>
      </w:pPr>
      <w:r>
        <w:t xml:space="preserve">It applies to hardware, software, firmware, and associated configuration documentation.</w:t>
      </w:r>
    </w:p>
    <w:bookmarkEnd w:id="22"/>
    <w:bookmarkStart w:id="23" w:name="applicability"/>
    <w:p>
      <w:pPr>
        <w:pStyle w:val="Heading2"/>
      </w:pPr>
      <w:r>
        <w:t xml:space="preserve">1.3 Applicability</w:t>
      </w:r>
    </w:p>
    <w:p>
      <w:pPr>
        <w:pStyle w:val="FirstParagraph"/>
      </w:pPr>
      <w:r>
        <w:t xml:space="preserve">This process applies to all programs where the company acts as a prime contractor (Supplier) to a Department of Defense (DoD) Acquirer. Where a contract imposes requirements that differ from this process, the contract governs; deviations are documented in the program Configuration Management Plan (CMP).</w:t>
      </w:r>
    </w:p>
    <w:p>
      <w:pPr>
        <w:pStyle w:val="BodyText"/>
      </w:pPr>
      <w:r>
        <w:t xml:space="preserve">This process is tool-agnostic. It defines what must be accomplished; program CMPs define the specific tools (PLM, MBSE, CSA systems) used to accomplish it.</w:t>
      </w:r>
    </w:p>
    <w:bookmarkEnd w:id="23"/>
    <w:bookmarkEnd w:id="24"/>
    <w:bookmarkStart w:id="27" w:name="references"/>
    <w:p>
      <w:pPr>
        <w:pStyle w:val="Heading1"/>
      </w:pPr>
      <w:r>
        <w:t xml:space="preserve">2. References</w:t>
      </w:r>
    </w:p>
    <w:bookmarkStart w:id="25" w:name="governing-documents"/>
    <w:p>
      <w:pPr>
        <w:pStyle w:val="Heading2"/>
      </w:pPr>
      <w:r>
        <w:t xml:space="preserve">2.1 Governing Documents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rPr>
                <w:bCs/>
                <w:b/>
              </w:rPr>
              <w:t xml:space="preserve">Title</w:t>
            </w:r>
          </w:p>
        </w:tc>
      </w:tr>
      <w:tr>
        <w:tc>
          <w:tcPr/>
          <w:p>
            <w:pPr>
              <w:pStyle w:val="Compact"/>
              <w:jc w:val="left"/>
            </w:pPr>
            <w:r>
              <w:t xml:space="preserve">EIA-649-1A</w:t>
            </w:r>
          </w:p>
        </w:tc>
        <w:tc>
          <w:tcPr/>
          <w:p>
            <w:pPr>
              <w:pStyle w:val="Compact"/>
              <w:jc w:val="left"/>
            </w:pPr>
            <w:r>
              <w:t xml:space="preserve">Configuration Management Requirements for Defense Contracts</w:t>
            </w:r>
          </w:p>
        </w:tc>
      </w:tr>
      <w:tr>
        <w:tc>
          <w:tcPr/>
          <w:p>
            <w:pPr>
              <w:pStyle w:val="Compact"/>
              <w:jc w:val="left"/>
            </w:pPr>
            <w:r>
              <w:t xml:space="preserve">GEIA-HB-649A</w:t>
            </w:r>
          </w:p>
        </w:tc>
        <w:tc>
          <w:tcPr/>
          <w:p>
            <w:pPr>
              <w:pStyle w:val="Compact"/>
              <w:jc w:val="left"/>
            </w:pPr>
            <w:r>
              <w:t xml:space="preserve">Configuration Management Standard Implementation Guide</w:t>
            </w:r>
          </w:p>
        </w:tc>
      </w:tr>
      <w:tr>
        <w:tc>
          <w:tcPr/>
          <w:p>
            <w:pPr>
              <w:pStyle w:val="Compact"/>
              <w:jc w:val="left"/>
            </w:pPr>
            <w:r>
              <w:t xml:space="preserve">ANSI/EIA-649</w:t>
            </w:r>
          </w:p>
        </w:tc>
        <w:tc>
          <w:tcPr/>
          <w:p>
            <w:pPr>
              <w:pStyle w:val="Compact"/>
              <w:jc w:val="left"/>
            </w:pPr>
            <w:r>
              <w:t xml:space="preserve">National Consensus Standard for Configuration Management (parent principles standard)</w:t>
            </w:r>
          </w:p>
        </w:tc>
      </w:tr>
    </w:tbl>
    <w:bookmarkEnd w:id="25"/>
    <w:bookmarkStart w:id="26" w:name="related-documents"/>
    <w:p>
      <w:pPr>
        <w:pStyle w:val="Heading2"/>
      </w:pPr>
      <w:r>
        <w:t xml:space="preserve">2.2 Related Documents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Document</w:t>
            </w:r>
          </w:p>
        </w:tc>
        <w:tc>
          <w:tcPr/>
          <w:p>
            <w:pPr>
              <w:pStyle w:val="Compact"/>
              <w:jc w:val="left"/>
            </w:pPr>
            <w:r>
              <w:rPr>
                <w:bCs/>
                <w:b/>
              </w:rPr>
              <w:t xml:space="preserve">Title / Relevance</w:t>
            </w:r>
          </w:p>
        </w:tc>
      </w:tr>
      <w:tr>
        <w:tc>
          <w:tcPr/>
          <w:p>
            <w:pPr>
              <w:pStyle w:val="Compact"/>
              <w:jc w:val="left"/>
            </w:pPr>
            <w:r>
              <w:t xml:space="preserve">SM-0001</w:t>
            </w:r>
          </w:p>
        </w:tc>
        <w:tc>
          <w:tcPr/>
          <w:p>
            <w:pPr>
              <w:pStyle w:val="Compact"/>
              <w:jc w:val="left"/>
            </w:pPr>
            <w:r>
              <w:t xml:space="preserve">Safety Management System (SMS) Standard. Hazard analyses and safety-critical item identifications produced under the SMS are inputs to CI candidate identification and to the selection criteria screen.</w:t>
            </w:r>
          </w:p>
        </w:tc>
      </w:tr>
      <w:tr>
        <w:tc>
          <w:tcPr/>
          <w:p>
            <w:pPr>
              <w:pStyle w:val="Compact"/>
              <w:jc w:val="left"/>
            </w:pPr>
            <w:r>
              <w:t xml:space="preserve">Register of Safety-Mandatory CM Requirements</w:t>
            </w:r>
          </w:p>
        </w:tc>
        <w:tc>
          <w:tcPr/>
          <w:p>
            <w:pPr>
              <w:pStyle w:val="Compact"/>
              <w:jc w:val="left"/>
            </w:pPr>
            <w:r>
              <w:t xml:space="preserve">The EIA-649-1A requirements obligated through the safety management system on all safety-significant product lines regardless of contract flow-down. Requirements from that register performed by this process: identify as a CI any item whose failure could cause serious injury, loss of life, or loss of primary system capability; identify internal and external interface requirements; incorporate interface information into the configuration documentation; maintain configuration control of baselined interface requirements; and provide a representative to the Acquirer’s interface control working group where one exists.</w:t>
            </w:r>
          </w:p>
        </w:tc>
      </w:tr>
      <w:tr>
        <w:tc>
          <w:tcPr/>
          <w:p>
            <w:pPr>
              <w:pStyle w:val="Compact"/>
              <w:jc w:val="left"/>
            </w:pPr>
            <w:r>
              <w:t xml:space="preserve">Safety-Mandatory Requirement Operating Model</w:t>
            </w:r>
          </w:p>
        </w:tc>
        <w:tc>
          <w:tcPr/>
          <w:p>
            <w:pPr>
              <w:pStyle w:val="Compact"/>
              <w:jc w:val="left"/>
            </w:pPr>
            <w:r>
              <w:t xml:space="preserve">How safety-mandatory requirements are dispositioned. A requirement is performed, replaced with an independently validated equivalent control, or formally risk-accepted. The route is the safety disposition gate defined in the CM planning and management process.</w:t>
            </w:r>
          </w:p>
        </w:tc>
      </w:tr>
      <w:tr>
        <w:tc>
          <w:tcPr/>
          <w:p>
            <w:pPr>
              <w:pStyle w:val="Compact"/>
              <w:jc w:val="left"/>
            </w:pPr>
            <w:r>
              <w:t xml:space="preserve">[assigned]</w:t>
            </w:r>
          </w:p>
        </w:tc>
        <w:tc>
          <w:tcPr/>
          <w:p>
            <w:pPr>
              <w:pStyle w:val="Compact"/>
              <w:jc w:val="left"/>
            </w:pPr>
            <w:r>
              <w:t xml:space="preserve">Configuration Audit Process (FCA and PCA). Companion process. Audits the CIs and baselines identified under this process, and runs the audit designation assessment.</w:t>
            </w:r>
          </w:p>
        </w:tc>
      </w:tr>
      <w:tr>
        <w:tc>
          <w:tcPr/>
          <w:p>
            <w:pPr>
              <w:pStyle w:val="Compact"/>
              <w:jc w:val="left"/>
            </w:pPr>
            <w:r>
              <w:t xml:space="preserve">[assigned]</w:t>
            </w:r>
          </w:p>
        </w:tc>
        <w:tc>
          <w:tcPr/>
          <w:p>
            <w:pPr>
              <w:pStyle w:val="Compact"/>
              <w:jc w:val="left"/>
            </w:pPr>
            <w:r>
              <w:t xml:space="preserve">Sub-Supplier CM Requirements Flowdown and Effectiveness Process. Companion process. Single normative source for the supplier work types and their audit roles.</w:t>
            </w:r>
          </w:p>
        </w:tc>
      </w:tr>
      <w:tr>
        <w:tc>
          <w:tcPr/>
          <w:p>
            <w:pPr>
              <w:pStyle w:val="Compact"/>
              <w:jc w:val="left"/>
            </w:pPr>
            <w:r>
              <w:t xml:space="preserve">MIL-STD-130</w:t>
            </w:r>
          </w:p>
        </w:tc>
        <w:tc>
          <w:tcPr/>
          <w:p>
            <w:pPr>
              <w:pStyle w:val="Compact"/>
              <w:jc w:val="left"/>
            </w:pPr>
            <w:r>
              <w:t xml:space="preserve">Identification Marking of U.S. Military Property (Item Unique Identification, IUID)</w:t>
            </w:r>
          </w:p>
        </w:tc>
      </w:tr>
      <w:tr>
        <w:tc>
          <w:tcPr/>
          <w:p>
            <w:pPr>
              <w:pStyle w:val="Compact"/>
              <w:jc w:val="left"/>
            </w:pPr>
            <w:r>
              <w:t xml:space="preserve">DoDI 8320.04</w:t>
            </w:r>
          </w:p>
        </w:tc>
        <w:tc>
          <w:tcPr/>
          <w:p>
            <w:pPr>
              <w:pStyle w:val="Compact"/>
              <w:jc w:val="left"/>
            </w:pPr>
            <w:r>
              <w:t xml:space="preserve">DoD Serially Managed Items of Tangible Personal Property and Item Unique Identification 2.0 Standards. Identifies critical safety items as DoD serially managed, which is what brings item unique identification to them.</w:t>
            </w:r>
          </w:p>
        </w:tc>
      </w:tr>
      <w:tr>
        <w:tc>
          <w:tcPr/>
          <w:p>
            <w:pPr>
              <w:pStyle w:val="Compact"/>
              <w:jc w:val="left"/>
            </w:pPr>
            <w:r>
              <w:t xml:space="preserve">DFARS 211.274-2 and 252.211-7003</w:t>
            </w:r>
          </w:p>
        </w:tc>
        <w:tc>
          <w:tcPr/>
          <w:p>
            <w:pPr>
              <w:pStyle w:val="Compact"/>
              <w:jc w:val="left"/>
            </w:pPr>
            <w:r>
              <w:t xml:space="preserve">Policy for item unique identification, and the Item Unique Identification and Valuation clause. The contractor obligation arrives through the clause in the contract.</w:t>
            </w:r>
          </w:p>
        </w:tc>
      </w:tr>
      <w:tr>
        <w:tc>
          <w:tcPr/>
          <w:p>
            <w:pPr>
              <w:pStyle w:val="Compact"/>
              <w:jc w:val="left"/>
            </w:pPr>
            <w:r>
              <w:t xml:space="preserve">DFARS 209.270</w:t>
            </w:r>
          </w:p>
        </w:tc>
        <w:tc>
          <w:tcPr/>
          <w:p>
            <w:pPr>
              <w:pStyle w:val="Compact"/>
              <w:jc w:val="left"/>
            </w:pPr>
            <w:r>
              <w:t xml:space="preserve">Aviation and ship critical safety items. Establishes the designation, source approval, and qualification requirements.</w:t>
            </w:r>
          </w:p>
        </w:tc>
      </w:tr>
      <w:tr>
        <w:tc>
          <w:tcPr/>
          <w:p>
            <w:pPr>
              <w:pStyle w:val="Compact"/>
              <w:jc w:val="left"/>
            </w:pPr>
            <w:r>
              <w:t xml:space="preserve">ATA iSpec 2200 / S1000D</w:t>
            </w:r>
          </w:p>
        </w:tc>
        <w:tc>
          <w:tcPr/>
          <w:p>
            <w:pPr>
              <w:pStyle w:val="Compact"/>
              <w:jc w:val="left"/>
            </w:pPr>
            <w:r>
              <w:t xml:space="preserve">Industry decomposition and data schemes referenced for MBSE-aligned CI structuring (see candidate identification and the MBSE alignment appendix)</w:t>
            </w:r>
          </w:p>
        </w:tc>
      </w:tr>
      <w:tr>
        <w:tc>
          <w:tcPr/>
          <w:p>
            <w:pPr>
              <w:pStyle w:val="Compact"/>
              <w:jc w:val="left"/>
            </w:pPr>
            <w:r>
              <w:t xml:space="preserve">DI-SESS-81254</w:t>
            </w:r>
          </w:p>
        </w:tc>
        <w:tc>
          <w:tcPr/>
          <w:p>
            <w:pPr>
              <w:pStyle w:val="Compact"/>
              <w:jc w:val="left"/>
            </w:pPr>
            <w:r>
              <w:t xml:space="preserve">Request for Nomenclature</w:t>
            </w:r>
          </w:p>
        </w:tc>
      </w:tr>
      <w:tr>
        <w:tc>
          <w:tcPr/>
          <w:p>
            <w:pPr>
              <w:pStyle w:val="Compact"/>
              <w:jc w:val="left"/>
            </w:pPr>
            <w:r>
              <w:t xml:space="preserve">DI-SESS-81248</w:t>
            </w:r>
          </w:p>
        </w:tc>
        <w:tc>
          <w:tcPr/>
          <w:p>
            <w:pPr>
              <w:pStyle w:val="Compact"/>
              <w:jc w:val="left"/>
            </w:pPr>
            <w:r>
              <w:t xml:space="preserve">Interface Control Document (ICD)</w:t>
            </w:r>
          </w:p>
        </w:tc>
      </w:tr>
      <w:tr>
        <w:tc>
          <w:tcPr/>
          <w:p>
            <w:pPr>
              <w:pStyle w:val="Compact"/>
              <w:jc w:val="left"/>
            </w:pPr>
            <w:r>
              <w:t xml:space="preserve">DI-SESS-82007</w:t>
            </w:r>
          </w:p>
        </w:tc>
        <w:tc>
          <w:tcPr/>
          <w:p>
            <w:pPr>
              <w:pStyle w:val="Compact"/>
              <w:jc w:val="left"/>
            </w:pPr>
            <w:r>
              <w:t xml:space="preserve">Configuration Item Documentation Recommendation</w:t>
            </w:r>
          </w:p>
        </w:tc>
      </w:tr>
      <w:tr>
        <w:tc>
          <w:tcPr/>
          <w:p>
            <w:pPr>
              <w:pStyle w:val="Compact"/>
              <w:jc w:val="left"/>
            </w:pPr>
            <w:r>
              <w:t xml:space="preserve">DI-SESS-81121</w:t>
            </w:r>
          </w:p>
        </w:tc>
        <w:tc>
          <w:tcPr/>
          <w:p>
            <w:pPr>
              <w:pStyle w:val="Compact"/>
              <w:jc w:val="left"/>
            </w:pPr>
            <w:r>
              <w:t xml:space="preserve">Baseline Description Document</w:t>
            </w:r>
          </w:p>
        </w:tc>
      </w:tr>
      <w:tr>
        <w:tc>
          <w:tcPr/>
          <w:p>
            <w:pPr>
              <w:pStyle w:val="Compact"/>
              <w:jc w:val="left"/>
            </w:pPr>
            <w:r>
              <w:t xml:space="preserve">DI-SESS-81011</w:t>
            </w:r>
          </w:p>
        </w:tc>
        <w:tc>
          <w:tcPr/>
          <w:p>
            <w:pPr>
              <w:pStyle w:val="Compact"/>
              <w:jc w:val="left"/>
            </w:pPr>
            <w:r>
              <w:t xml:space="preserve">Drawing/Model Number Assignment Report</w:t>
            </w:r>
          </w:p>
        </w:tc>
      </w:tr>
    </w:tbl>
    <w:p>
      <w:pPr>
        <w:pStyle w:val="BodyText"/>
      </w:pPr>
      <w:r>
        <w:rPr>
          <w:iCs/>
          <w:i/>
        </w:rPr>
        <w:t xml:space="preserve">Referenced by plain name. Every document above is referred to in the body of this process by the plain name in the Title column, not by its number. Record the corresponding company document number once, in the Document column, and every reference in this process then resolves. Parts of this process are referred to the same way, by what they are rather than by where they sit. Data Item Descriptions (DIDs) apply only where cited on contract via CDRL.</w:t>
      </w:r>
    </w:p>
    <w:bookmarkEnd w:id="26"/>
    <w:bookmarkEnd w:id="27"/>
    <w:bookmarkStart w:id="30" w:name="definitions-and-acronyms"/>
    <w:p>
      <w:pPr>
        <w:pStyle w:val="Heading1"/>
      </w:pPr>
      <w:r>
        <w:t xml:space="preserve">3. Definitions and Acronyms</w:t>
      </w:r>
    </w:p>
    <w:bookmarkStart w:id="28" w:name="definitions"/>
    <w:p>
      <w:pPr>
        <w:pStyle w:val="Heading2"/>
      </w:pPr>
      <w:r>
        <w:t xml:space="preserve">3.1 Definitions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Configuration Item (CI)</w:t>
            </w:r>
          </w:p>
        </w:tc>
        <w:tc>
          <w:tcPr/>
          <w:p>
            <w:pPr>
              <w:pStyle w:val="Compact"/>
              <w:jc w:val="left"/>
            </w:pPr>
            <w: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tc>
      </w:tr>
      <w:tr>
        <w:tc>
          <w:tcPr/>
          <w:p>
            <w:pPr>
              <w:pStyle w:val="Compact"/>
              <w:jc w:val="left"/>
            </w:pPr>
            <w:r>
              <w:t xml:space="preserve">Configuration Identification</w:t>
            </w:r>
          </w:p>
        </w:tc>
        <w:tc>
          <w:tcPr/>
          <w:p>
            <w:pPr>
              <w:pStyle w:val="Compact"/>
              <w:jc w:val="left"/>
            </w:pPr>
            <w:r>
              <w:t xml:space="preserve">The CM function that selects CIs, organizes the system into a hierarchical structure, determines the configuration documentation required for the system and its components, issues identifiers, releases CIs and their documentation, and establishes configuration baselines.</w:t>
            </w:r>
          </w:p>
        </w:tc>
      </w:tr>
      <w:tr>
        <w:tc>
          <w:tcPr/>
          <w:p>
            <w:pPr>
              <w:pStyle w:val="Compact"/>
              <w:jc w:val="left"/>
            </w:pPr>
            <w:r>
              <w:t xml:space="preserve">Configuration Documentation</w:t>
            </w:r>
          </w:p>
        </w:tc>
        <w:tc>
          <w:tcPr/>
          <w:p>
            <w:pPr>
              <w:pStyle w:val="Compact"/>
              <w:jc w:val="left"/>
            </w:pPr>
            <w:r>
              <w:t xml:space="preserve">Technical documentation whose primary purpose is to identify and define a product’s performance, functional, and physical attributes (e.g., specifications, drawings, models). Comprises functional, allocated, and product configuration documentation.</w:t>
            </w:r>
          </w:p>
        </w:tc>
      </w:tr>
      <w:tr>
        <w:tc>
          <w:tcPr/>
          <w:p>
            <w:pPr>
              <w:pStyle w:val="Compact"/>
              <w:jc w:val="left"/>
            </w:pPr>
            <w:r>
              <w:t xml:space="preserve">Configuration Baseline</w:t>
            </w:r>
          </w:p>
        </w:tc>
        <w:tc>
          <w:tcPr/>
          <w:p>
            <w:pPr>
              <w:pStyle w:val="Compact"/>
              <w:jc w:val="left"/>
            </w:pPr>
            <w:r>
              <w:t xml:space="preserve">An agreed-to definition of the attributes of a product at a point in time, identifying a known configuration to which changes are addressed. Baseline types are functional (FBL), allocated (ABL), and product (PBL).</w:t>
            </w:r>
          </w:p>
        </w:tc>
      </w:tr>
      <w:tr>
        <w:tc>
          <w:tcPr/>
          <w:p>
            <w:pPr>
              <w:pStyle w:val="Compact"/>
              <w:jc w:val="left"/>
            </w:pPr>
            <w:r>
              <w:t xml:space="preserve">Part or Identifying Number (PIN)</w:t>
            </w:r>
          </w:p>
        </w:tc>
        <w:tc>
          <w:tcPr/>
          <w:p>
            <w:pPr>
              <w:pStyle w:val="Compact"/>
              <w:jc w:val="left"/>
            </w:pPr>
            <w:r>
              <w:t xml:space="preserve">The identifier that, combined with the design activity CAGE code, uniquely identifies an item and its configuration. The PIN changes when a modification creates a non-interchangeable condition.</w:t>
            </w:r>
          </w:p>
        </w:tc>
      </w:tr>
      <w:tr>
        <w:tc>
          <w:tcPr/>
          <w:p>
            <w:pPr>
              <w:pStyle w:val="Compact"/>
              <w:jc w:val="left"/>
            </w:pPr>
            <w:r>
              <w:t xml:space="preserve">Product Unit Identifier</w:t>
            </w:r>
          </w:p>
        </w:tc>
        <w:tc>
          <w:tcPr/>
          <w:p>
            <w:pPr>
              <w:pStyle w:val="Compact"/>
              <w:jc w:val="left"/>
            </w:pPr>
            <w:r>
              <w:t xml:space="preserve">A serial, lot, or batch number that distinguishes one unit (or group of units) of a product from another. Unit identifiers are never revised or re-used once assigned, even when the PIN changes.</w:t>
            </w:r>
          </w:p>
        </w:tc>
      </w:tr>
      <w:tr>
        <w:tc>
          <w:tcPr/>
          <w:p>
            <w:pPr>
              <w:pStyle w:val="Compact"/>
              <w:jc w:val="left"/>
            </w:pPr>
            <w:r>
              <w:t xml:space="preserve">Product Structure</w:t>
            </w:r>
          </w:p>
        </w:tc>
        <w:tc>
          <w:tcPr/>
          <w:p>
            <w:pPr>
              <w:pStyle w:val="Compact"/>
              <w:jc w:val="left"/>
            </w:pPr>
            <w:r>
              <w:t xml:space="preserve">The hierarchical organization of a product and its components used to organize product configuration information over the lifecycle.</w:t>
            </w:r>
          </w:p>
        </w:tc>
      </w:tr>
    </w:tbl>
    <w:bookmarkEnd w:id="28"/>
    <w:bookmarkStart w:id="29" w:name="acronyms"/>
    <w:p>
      <w:pPr>
        <w:pStyle w:val="Heading2"/>
      </w:pPr>
      <w:r>
        <w:t xml:space="preserve">3.2 Acronyms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Acronym</w:t>
            </w:r>
          </w:p>
        </w:tc>
        <w:tc>
          <w:tcPr/>
          <w:p>
            <w:pPr>
              <w:pStyle w:val="Compact"/>
              <w:jc w:val="left"/>
            </w:pPr>
            <w:r>
              <w:rPr>
                <w:bCs/>
                <w:b/>
              </w:rPr>
              <w:t xml:space="preserve">Meaning</w:t>
            </w:r>
          </w:p>
        </w:tc>
      </w:tr>
      <w:tr>
        <w:tc>
          <w:tcPr/>
          <w:p>
            <w:pPr>
              <w:pStyle w:val="Compact"/>
              <w:jc w:val="left"/>
            </w:pPr>
            <w:r>
              <w:t xml:space="preserve">ABL / FBL / PBL</w:t>
            </w:r>
          </w:p>
        </w:tc>
        <w:tc>
          <w:tcPr/>
          <w:p>
            <w:pPr>
              <w:pStyle w:val="Compact"/>
              <w:jc w:val="left"/>
            </w:pPr>
            <w:r>
              <w:t xml:space="preserve">Allocated / Functional / Product Baseline</w:t>
            </w:r>
          </w:p>
        </w:tc>
      </w:tr>
      <w:tr>
        <w:tc>
          <w:tcPr/>
          <w:p>
            <w:pPr>
              <w:pStyle w:val="Compact"/>
              <w:jc w:val="left"/>
            </w:pPr>
            <w:r>
              <w:t xml:space="preserve">CAGE</w:t>
            </w:r>
          </w:p>
        </w:tc>
        <w:tc>
          <w:tcPr/>
          <w:p>
            <w:pPr>
              <w:pStyle w:val="Compact"/>
              <w:jc w:val="left"/>
            </w:pPr>
            <w:r>
              <w:t xml:space="preserve">Commercial and Government Entity (code)</w:t>
            </w:r>
          </w:p>
        </w:tc>
      </w:tr>
      <w:tr>
        <w:tc>
          <w:tcPr/>
          <w:p>
            <w:pPr>
              <w:pStyle w:val="Compact"/>
              <w:jc w:val="left"/>
            </w:pPr>
            <w:r>
              <w:t xml:space="preserve">CDRL</w:t>
            </w:r>
          </w:p>
        </w:tc>
        <w:tc>
          <w:tcPr/>
          <w:p>
            <w:pPr>
              <w:pStyle w:val="Compact"/>
              <w:jc w:val="left"/>
            </w:pPr>
            <w:r>
              <w:t xml:space="preserve">Contract Data Requirements List</w:t>
            </w:r>
          </w:p>
        </w:tc>
      </w:tr>
      <w:tr>
        <w:tc>
          <w:tcPr/>
          <w:p>
            <w:pPr>
              <w:pStyle w:val="Compact"/>
              <w:jc w:val="left"/>
            </w:pPr>
            <w:r>
              <w:t xml:space="preserve">CI / CSCI</w:t>
            </w:r>
          </w:p>
        </w:tc>
        <w:tc>
          <w:tcPr/>
          <w:p>
            <w:pPr>
              <w:pStyle w:val="Compact"/>
              <w:jc w:val="left"/>
            </w:pPr>
            <w:r>
              <w:t xml:space="preserve">Configuration Item / Computer Software Configuration Item</w:t>
            </w:r>
          </w:p>
        </w:tc>
      </w:tr>
      <w:tr>
        <w:tc>
          <w:tcPr/>
          <w:p>
            <w:pPr>
              <w:pStyle w:val="Compact"/>
              <w:jc w:val="left"/>
            </w:pPr>
            <w:r>
              <w:t xml:space="preserve">CMP</w:t>
            </w:r>
          </w:p>
        </w:tc>
        <w:tc>
          <w:tcPr/>
          <w:p>
            <w:pPr>
              <w:pStyle w:val="Compact"/>
              <w:jc w:val="left"/>
            </w:pPr>
            <w:r>
              <w:t xml:space="preserve">Configuration Management Plan</w:t>
            </w:r>
          </w:p>
        </w:tc>
      </w:tr>
      <w:tr>
        <w:tc>
          <w:tcPr/>
          <w:p>
            <w:pPr>
              <w:pStyle w:val="Compact"/>
              <w:jc w:val="left"/>
            </w:pPr>
            <w:r>
              <w:t xml:space="preserve">CSA</w:t>
            </w:r>
          </w:p>
        </w:tc>
        <w:tc>
          <w:tcPr/>
          <w:p>
            <w:pPr>
              <w:pStyle w:val="Compact"/>
              <w:jc w:val="left"/>
            </w:pPr>
            <w:r>
              <w:t xml:space="preserve">Configuration Status Accounting</w:t>
            </w:r>
          </w:p>
        </w:tc>
      </w:tr>
      <w:tr>
        <w:tc>
          <w:tcPr/>
          <w:p>
            <w:pPr>
              <w:pStyle w:val="Compact"/>
              <w:jc w:val="left"/>
            </w:pPr>
            <w:r>
              <w:t xml:space="preserve">DID</w:t>
            </w:r>
          </w:p>
        </w:tc>
        <w:tc>
          <w:tcPr/>
          <w:p>
            <w:pPr>
              <w:pStyle w:val="Compact"/>
              <w:jc w:val="left"/>
            </w:pPr>
            <w:r>
              <w:t xml:space="preserve">Data Item Description</w:t>
            </w:r>
          </w:p>
        </w:tc>
      </w:tr>
      <w:tr>
        <w:tc>
          <w:tcPr/>
          <w:p>
            <w:pPr>
              <w:pStyle w:val="Compact"/>
              <w:jc w:val="left"/>
            </w:pPr>
            <w:r>
              <w:t xml:space="preserve">ICD</w:t>
            </w:r>
          </w:p>
        </w:tc>
        <w:tc>
          <w:tcPr/>
          <w:p>
            <w:pPr>
              <w:pStyle w:val="Compact"/>
              <w:jc w:val="left"/>
            </w:pPr>
            <w:r>
              <w:t xml:space="preserve">Interface Control Document</w:t>
            </w:r>
          </w:p>
        </w:tc>
      </w:tr>
      <w:tr>
        <w:tc>
          <w:tcPr/>
          <w:p>
            <w:pPr>
              <w:pStyle w:val="Compact"/>
              <w:jc w:val="left"/>
            </w:pPr>
            <w:r>
              <w:t xml:space="preserve">IUID / UII</w:t>
            </w:r>
          </w:p>
        </w:tc>
        <w:tc>
          <w:tcPr/>
          <w:p>
            <w:pPr>
              <w:pStyle w:val="Compact"/>
              <w:jc w:val="left"/>
            </w:pPr>
            <w:r>
              <w:t xml:space="preserve">Item Unique Identification / Unique Item Identifier</w:t>
            </w:r>
          </w:p>
        </w:tc>
      </w:tr>
      <w:tr>
        <w:tc>
          <w:tcPr/>
          <w:p>
            <w:pPr>
              <w:pStyle w:val="Compact"/>
              <w:jc w:val="left"/>
            </w:pPr>
            <w:r>
              <w:t xml:space="preserve">MBSE</w:t>
            </w:r>
          </w:p>
        </w:tc>
        <w:tc>
          <w:tcPr/>
          <w:p>
            <w:pPr>
              <w:pStyle w:val="Compact"/>
              <w:jc w:val="left"/>
            </w:pPr>
            <w:r>
              <w:t xml:space="preserve">Model-Based Systems Engineering</w:t>
            </w:r>
          </w:p>
        </w:tc>
      </w:tr>
      <w:tr>
        <w:tc>
          <w:tcPr/>
          <w:p>
            <w:pPr>
              <w:pStyle w:val="Compact"/>
              <w:jc w:val="left"/>
            </w:pPr>
            <w:r>
              <w:t xml:space="preserve">PIN</w:t>
            </w:r>
          </w:p>
        </w:tc>
        <w:tc>
          <w:tcPr/>
          <w:p>
            <w:pPr>
              <w:pStyle w:val="Compact"/>
              <w:jc w:val="left"/>
            </w:pPr>
            <w:r>
              <w:t xml:space="preserve">Part or Identifying Number</w:t>
            </w:r>
          </w:p>
        </w:tc>
      </w:tr>
      <w:tr>
        <w:tc>
          <w:tcPr/>
          <w:p>
            <w:pPr>
              <w:pStyle w:val="Compact"/>
              <w:jc w:val="left"/>
            </w:pPr>
            <w:r>
              <w:t xml:space="preserve">PLM</w:t>
            </w:r>
          </w:p>
        </w:tc>
        <w:tc>
          <w:tcPr/>
          <w:p>
            <w:pPr>
              <w:pStyle w:val="Compact"/>
              <w:jc w:val="left"/>
            </w:pPr>
            <w:r>
              <w:t xml:space="preserve">Product Lifecycle Management</w:t>
            </w:r>
          </w:p>
        </w:tc>
      </w:tr>
      <w:tr>
        <w:tc>
          <w:tcPr/>
          <w:p>
            <w:pPr>
              <w:pStyle w:val="Compact"/>
              <w:jc w:val="left"/>
            </w:pPr>
            <w:r>
              <w:t xml:space="preserve">SMS</w:t>
            </w:r>
          </w:p>
        </w:tc>
        <w:tc>
          <w:tcPr/>
          <w:p>
            <w:pPr>
              <w:pStyle w:val="Compact"/>
              <w:jc w:val="left"/>
            </w:pPr>
            <w:r>
              <w:t xml:space="preserve">Safety Management System</w:t>
            </w:r>
          </w:p>
        </w:tc>
      </w:tr>
      <w:tr>
        <w:tc>
          <w:tcPr/>
          <w:p>
            <w:pPr>
              <w:pStyle w:val="Compact"/>
              <w:jc w:val="left"/>
            </w:pPr>
            <w:r>
              <w:t xml:space="preserve">SNS</w:t>
            </w:r>
          </w:p>
        </w:tc>
        <w:tc>
          <w:tcPr/>
          <w:p>
            <w:pPr>
              <w:pStyle w:val="Compact"/>
              <w:jc w:val="left"/>
            </w:pPr>
            <w:r>
              <w:t xml:space="preserve">Standard Numbering System (S1000D)</w:t>
            </w:r>
          </w:p>
        </w:tc>
      </w:tr>
      <w:tr>
        <w:tc>
          <w:tcPr/>
          <w:p>
            <w:pPr>
              <w:pStyle w:val="Compact"/>
              <w:jc w:val="left"/>
            </w:pPr>
            <w:r>
              <w:t xml:space="preserve">SysML / UAF</w:t>
            </w:r>
          </w:p>
        </w:tc>
        <w:tc>
          <w:tcPr/>
          <w:p>
            <w:pPr>
              <w:pStyle w:val="Compact"/>
              <w:jc w:val="left"/>
            </w:pPr>
            <w:r>
              <w:t xml:space="preserve">Systems Modeling Language / Unified Architecture Framework</w:t>
            </w:r>
          </w:p>
        </w:tc>
      </w:tr>
      <w:tr>
        <w:tc>
          <w:tcPr/>
          <w:p>
            <w:pPr>
              <w:pStyle w:val="Compact"/>
              <w:jc w:val="left"/>
            </w:pPr>
            <w:r>
              <w:t xml:space="preserve">WBS</w:t>
            </w:r>
          </w:p>
        </w:tc>
        <w:tc>
          <w:tcPr/>
          <w:p>
            <w:pPr>
              <w:pStyle w:val="Compact"/>
              <w:jc w:val="left"/>
            </w:pPr>
            <w:r>
              <w:t xml:space="preserve">Work Breakdown Structure</w:t>
            </w:r>
          </w:p>
        </w:tc>
      </w:tr>
    </w:tbl>
    <w:bookmarkEnd w:id="29"/>
    <w:bookmarkEnd w:id="30"/>
    <w:bookmarkStart w:id="31" w:name="roles-and-responsibilities"/>
    <w:p>
      <w:pPr>
        <w:pStyle w:val="Heading1"/>
      </w:pPr>
      <w:r>
        <w:t xml:space="preserve">4. Roles and Responsibilities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Role</w:t>
            </w:r>
          </w:p>
        </w:tc>
        <w:tc>
          <w:tcPr/>
          <w:p>
            <w:pPr>
              <w:pStyle w:val="Compact"/>
              <w:jc w:val="left"/>
            </w:pPr>
            <w:r>
              <w:rPr>
                <w:bCs/>
                <w:b/>
              </w:rPr>
              <w:t xml:space="preserve">Responsibilities</w:t>
            </w:r>
          </w:p>
        </w:tc>
      </w:tr>
      <w:tr>
        <w:tc>
          <w:tcPr/>
          <w:p>
            <w:pPr>
              <w:pStyle w:val="Compact"/>
              <w:jc w:val="left"/>
            </w:pPr>
            <w:r>
              <w:t xml:space="preserve">Configuration Management (CM)</w:t>
            </w:r>
          </w:p>
        </w:tc>
        <w:tc>
          <w:tcPr/>
          <w:p>
            <w:pPr>
              <w:pStyle w:val="Compact"/>
              <w:jc w:val="left"/>
            </w:pPr>
            <w:r>
              <w:t xml:space="preserve">Owns this process. Nominates the candidate CIs by reading the source material, applies the selection criteria screen, and makes the selection determination. Creates and owns the CI structure and hierarchy. Owns the boundary set, maintains the interface register, and verifies interface coverage. Maintains the CI index and the selection rationale records, assigns and controls identifiers per program conventions, determines and releases the configuration documentation, establishes and records the baselines, and coordinates Acquirer concurrence submittals. Monitors the re-evaluation triggers and re-runs identification. CM does not re-perform another function’s domain analysis. CM reads that analysis, applies the criteria to it, and asks where the basis is unclear.</w:t>
            </w:r>
          </w:p>
        </w:tc>
      </w:tr>
      <w:tr>
        <w:tc>
          <w:tcPr/>
          <w:p>
            <w:pPr>
              <w:pStyle w:val="Compact"/>
              <w:jc w:val="left"/>
            </w:pPr>
            <w:r>
              <w:t xml:space="preserve">Systems Engineering</w:t>
            </w:r>
          </w:p>
        </w:tc>
        <w:tc>
          <w:tcPr/>
          <w:p>
            <w:pPr>
              <w:pStyle w:val="Compact"/>
              <w:jc w:val="left"/>
            </w:pPr>
            <w:r>
              <w:t xml:space="preserve">Maintains the system architecture, product structure, and MBSE decomposition, and answers CM’s questions on decomposition and function. Confirms the CI structure does not misrepresent the decomposition. Concurs on the end-use function gate and where the determination rests on specification or interface considerations. Performs interface requirement identification, which is mandatory for safety, and signs no-interface determinations. Allocates requirements to CIs. Notifies CM of design and architecture change.</w:t>
            </w:r>
          </w:p>
        </w:tc>
      </w:tr>
      <w:tr>
        <w:tc>
          <w:tcPr/>
          <w:p>
            <w:pPr>
              <w:pStyle w:val="Compact"/>
              <w:jc w:val="left"/>
            </w:pPr>
            <w:r>
              <w:t xml:space="preserve">Design Engineering</w:t>
            </w:r>
          </w:p>
        </w:tc>
        <w:tc>
          <w:tcPr/>
          <w:p>
            <w:pPr>
              <w:pStyle w:val="Compact"/>
              <w:jc w:val="left"/>
            </w:pPr>
            <w:r>
              <w:t xml:space="preserve">Produces configuration documentation (specifications, drawings, models) and answers CM’s questions on design considerations that bear on the screen. Assigns PINs per design activity conventions.</w:t>
            </w:r>
          </w:p>
        </w:tc>
      </w:tr>
      <w:tr>
        <w:tc>
          <w:tcPr/>
          <w:p>
            <w:pPr>
              <w:pStyle w:val="Compact"/>
              <w:jc w:val="left"/>
            </w:pPr>
            <w:r>
              <w:t xml:space="preserve">Logistics / Product Support</w:t>
            </w:r>
          </w:p>
        </w:tc>
        <w:tc>
          <w:tcPr/>
          <w:p>
            <w:pPr>
              <w:pStyle w:val="Compact"/>
              <w:jc w:val="left"/>
            </w:pPr>
            <w:r>
              <w:t xml:space="preserve">Answers on provisioning, technical manuals, support and test equipment, and maintenance planning, and identifies the items that carry those obligations. Concurs on the logistics elements criterion. Confirms CI selection supports the supportability strategy. Notifies CM of supportability strategy change.</w:t>
            </w:r>
          </w:p>
        </w:tc>
      </w:tr>
      <w:tr>
        <w:tc>
          <w:tcPr/>
          <w:p>
            <w:pPr>
              <w:pStyle w:val="Compact"/>
              <w:jc w:val="left"/>
            </w:pPr>
            <w:r>
              <w:t xml:space="preserve">System Safety</w:t>
            </w:r>
          </w:p>
        </w:tc>
        <w:tc>
          <w:tcPr/>
          <w:p>
            <w:pPr>
              <w:pStyle w:val="Compact"/>
              <w:jc w:val="left"/>
            </w:pPr>
            <w:r>
              <w:t xml:space="preserve">Maintains the hazard analyses and the safety-critical item identifications, and answers on safety consequence. Concurs on the rationale where criterion (b) was answered yes and the item is not designated as a CI. Confirms hazard risk controls are captured in the baselined documentation. Notifies CM of hazard analysis revision.</w:t>
            </w:r>
          </w:p>
        </w:tc>
      </w:tr>
      <w:tr>
        <w:tc>
          <w:tcPr/>
          <w:p>
            <w:pPr>
              <w:pStyle w:val="Compact"/>
              <w:jc w:val="left"/>
            </w:pPr>
            <w:r>
              <w:t xml:space="preserve">RM&amp;SH</w:t>
            </w:r>
          </w:p>
        </w:tc>
        <w:tc>
          <w:tcPr/>
          <w:p>
            <w:pPr>
              <w:pStyle w:val="Compact"/>
              <w:jc w:val="left"/>
            </w:pPr>
            <w:r>
              <w:t xml:space="preserve">Maintains the failure modes and criticality analyses and answers on failure consequence, single point and common mode failures, and life limits. Concurs where the determination rests on failure modes and effects or criticality analysis, single point or common mode failure identification, or a maintainability or health-monitoring driven limit. Supplies the reliability and maintainability basis for life limits and inspection intervals. Notifies CM where a criticality analysis or life limit changes.</w:t>
            </w:r>
          </w:p>
        </w:tc>
      </w:tr>
      <w:tr>
        <w:tc>
          <w:tcPr/>
          <w:p>
            <w:pPr>
              <w:pStyle w:val="Compact"/>
              <w:jc w:val="left"/>
            </w:pPr>
            <w:r>
              <w:t xml:space="preserve">Human Factors</w:t>
            </w:r>
          </w:p>
        </w:tc>
        <w:tc>
          <w:tcPr/>
          <w:p>
            <w:pPr>
              <w:pStyle w:val="Compact"/>
              <w:jc w:val="left"/>
            </w:pPr>
            <w:r>
              <w:t xml:space="preserve">Answers where operation or maintenance carries human error consequence. Advises where the consequence pathway runs through operator or maintainer action. Identifies human system interfaces at CI boundaries.</w:t>
            </w:r>
          </w:p>
        </w:tc>
      </w:tr>
      <w:tr>
        <w:tc>
          <w:tcPr/>
          <w:p>
            <w:pPr>
              <w:pStyle w:val="Compact"/>
              <w:jc w:val="left"/>
            </w:pPr>
            <w:r>
              <w:t xml:space="preserve">Supplier Requirements Engineering</w:t>
            </w:r>
          </w:p>
        </w:tc>
        <w:tc>
          <w:tcPr/>
          <w:p>
            <w:pPr>
              <w:pStyle w:val="Compact"/>
              <w:jc w:val="left"/>
            </w:pPr>
            <w:r>
              <w:t xml:space="preserve">Confirms the level at which each item is procured, which sets where the customer-facing CI sits for supplier-designed items. Confirms which supplier holds the boundary under contract. Flows the safety-critical, life-limited, and special-handling designations and the marking requirements to suppliers, and confirms which of the three authorship cases applies. Notifies CM of source and sub-tier supplier change.</w:t>
            </w:r>
          </w:p>
        </w:tc>
      </w:tr>
      <w:tr>
        <w:tc>
          <w:tcPr/>
          <w:p>
            <w:pPr>
              <w:pStyle w:val="Compact"/>
              <w:jc w:val="left"/>
            </w:pPr>
            <w:r>
              <w:t xml:space="preserve">Equipment Managers and Responsible Engineers</w:t>
            </w:r>
          </w:p>
        </w:tc>
        <w:tc>
          <w:tcPr/>
          <w:p>
            <w:pPr>
              <w:pStyle w:val="Compact"/>
              <w:jc w:val="left"/>
            </w:pPr>
            <w:r>
              <w:t xml:space="preserve">Answer on what is procured and at what level. Supply the engineering basis and configuration documentation from their suppliers for their items. Confirm the CI structure matches how their equipment is specified and changed. Confirm the documentation set is sufficient to define and reprocure their items.</w:t>
            </w:r>
          </w:p>
        </w:tc>
      </w:tr>
      <w:tr>
        <w:tc>
          <w:tcPr/>
          <w:p>
            <w:pPr>
              <w:pStyle w:val="Compact"/>
              <w:jc w:val="left"/>
            </w:pPr>
            <w:r>
              <w:t xml:space="preserve">Program Management</w:t>
            </w:r>
          </w:p>
        </w:tc>
        <w:tc>
          <w:tcPr/>
          <w:p>
            <w:pPr>
              <w:pStyle w:val="Compact"/>
              <w:jc w:val="left"/>
            </w:pPr>
            <w:r>
              <w:t xml:space="preserve">Approves the proposed CI list for submittal. Resolves cost/schedule trades in CI selection level.</w:t>
            </w:r>
          </w:p>
        </w:tc>
      </w:tr>
      <w:tr>
        <w:tc>
          <w:tcPr/>
          <w:p>
            <w:pPr>
              <w:pStyle w:val="Compact"/>
              <w:jc w:val="left"/>
            </w:pPr>
            <w:r>
              <w:t xml:space="preserve">Acquirer</w:t>
            </w:r>
          </w:p>
        </w:tc>
        <w:tc>
          <w:tcPr/>
          <w:p>
            <w:pPr>
              <w:pStyle w:val="Compact"/>
              <w:jc w:val="left"/>
            </w:pPr>
            <w:r>
              <w:t xml:space="preserve">Reviews proposed CIs and provides selection concurrence. Holds final CI designation authority for Acquirer-controlled CIs. May designate items as CIs directly.</w:t>
            </w:r>
          </w:p>
        </w:tc>
      </w:tr>
    </w:tbl>
    <w:p>
      <w:pPr>
        <w:pStyle w:val="BodyText"/>
      </w:pPr>
      <w:r>
        <w:rPr>
          <w:iCs/>
          <w:i/>
        </w:rPr>
        <w:t xml:space="preserve">How to read this table. CM nominates, screens, decides, and owns the CI structure. The other functions maintain their own analyses and answer CM’s questions about them. Several of them concur that the technical basis is sound. Concurrence is not selection. The</w:t>
      </w:r>
      <w:r>
        <w:rPr>
          <w:iCs/>
          <w:i/>
        </w:rPr>
        <w:t xml:space="preserve"> </w:t>
      </w:r>
      <w:r>
        <w:rPr>
          <w:iCs/>
          <w:i/>
        </w:rPr>
        <w:t xml:space="preserve">“</w:t>
      </w:r>
      <w:r>
        <w:rPr>
          <w:iCs/>
          <w:i/>
        </w:rPr>
        <w:t xml:space="preserve">who does what</w:t>
      </w:r>
      <w:r>
        <w:rPr>
          <w:iCs/>
          <w:i/>
        </w:rPr>
        <w:t xml:space="preserve">”</w:t>
      </w:r>
      <w:r>
        <w:rPr>
          <w:iCs/>
          <w:i/>
        </w:rPr>
        <w:t xml:space="preserve"> </w:t>
      </w:r>
      <w:r>
        <w:rPr>
          <w:iCs/>
          <w:i/>
        </w:rPr>
        <w:t xml:space="preserve">paragraph at the head of each activity in Section 5 states the same division for that activity. Where this table and a</w:t>
      </w:r>
      <w:r>
        <w:rPr>
          <w:iCs/>
          <w:i/>
        </w:rPr>
        <w:t xml:space="preserve"> </w:t>
      </w:r>
      <w:r>
        <w:rPr>
          <w:iCs/>
          <w:i/>
        </w:rPr>
        <w:t xml:space="preserve">“</w:t>
      </w:r>
      <w:r>
        <w:rPr>
          <w:iCs/>
          <w:i/>
        </w:rPr>
        <w:t xml:space="preserve">who does what</w:t>
      </w:r>
      <w:r>
        <w:rPr>
          <w:iCs/>
          <w:i/>
        </w:rPr>
        <w:t xml:space="preserve">”</w:t>
      </w:r>
      <w:r>
        <w:rPr>
          <w:iCs/>
          <w:i/>
        </w:rPr>
        <w:t xml:space="preserve"> </w:t>
      </w:r>
      <w:r>
        <w:rPr>
          <w:iCs/>
          <w:i/>
        </w:rPr>
        <w:t xml:space="preserve">paragraph disagree, the paragraph governs and this table is corrected.</w:t>
      </w:r>
    </w:p>
    <w:bookmarkEnd w:id="31"/>
    <w:bookmarkStart w:id="48" w:name="process"/>
    <w:p>
      <w:pPr>
        <w:pStyle w:val="Heading1"/>
      </w:pPr>
      <w:r>
        <w:t xml:space="preserve">5. Process</w:t>
      </w:r>
    </w:p>
    <w:p>
      <w:pPr>
        <w:pStyle w:val="FirstParagraph"/>
      </w:pPr>
      <w:r>
        <w:t xml:space="preserve">The configuration identification process consists of the activities below. The process is iterative: CI selection begins early (typically before or at the system functional/requirements reviews) and is revisited as the design matures and at each baseline establishment.</w:t>
      </w:r>
    </w:p>
    <w:bookmarkStart w:id="32" w:name="overall-process-inputs"/>
    <w:p>
      <w:pPr>
        <w:pStyle w:val="Heading2"/>
      </w:pPr>
      <w:r>
        <w:t xml:space="preserve">5.1 Overall Process Inputs</w:t>
      </w:r>
    </w:p>
    <w:p>
      <w:pPr>
        <w:pStyle w:val="FirstParagraph"/>
      </w:pPr>
      <w:r>
        <w:t xml:space="preserve">The following are inputs to the process as a whole. Each subsequent section additionally identifies its specific inputs and outputs; an output of one section is typically an input to the next.</w:t>
      </w:r>
    </w:p>
    <w:p>
      <w:pPr>
        <w:numPr>
          <w:ilvl w:val="0"/>
          <w:numId w:val="1001"/>
        </w:numPr>
      </w:pPr>
      <w:r>
        <w:t xml:space="preserve">System architecture and product structure, including the MBSE model where one exists</w:t>
      </w:r>
    </w:p>
    <w:p>
      <w:pPr>
        <w:numPr>
          <w:ilvl w:val="0"/>
          <w:numId w:val="1001"/>
        </w:numPr>
      </w:pPr>
      <w:r>
        <w:t xml:space="preserve">Program Work Breakdown Structure (WBS) and contract line items</w:t>
      </w:r>
    </w:p>
    <w:p>
      <w:pPr>
        <w:numPr>
          <w:ilvl w:val="0"/>
          <w:numId w:val="1001"/>
        </w:numPr>
      </w:pPr>
      <w:r>
        <w:t xml:space="preserve">System, item, and interface specifications; interface definitions</w:t>
      </w:r>
    </w:p>
    <w:p>
      <w:pPr>
        <w:numPr>
          <w:ilvl w:val="0"/>
          <w:numId w:val="1001"/>
        </w:numPr>
      </w:pPr>
      <w:r>
        <w:t xml:space="preserve">Contract requirements, SOW, and CDRLs (including any Acquirer-directed CI designations)</w:t>
      </w:r>
    </w:p>
    <w:p>
      <w:pPr>
        <w:numPr>
          <w:ilvl w:val="0"/>
          <w:numId w:val="1001"/>
        </w:numPr>
      </w:pPr>
      <w:r>
        <w:t xml:space="preserve">Hazard analyses and safety-critical item lists</w:t>
      </w:r>
    </w:p>
    <w:p>
      <w:pPr>
        <w:numPr>
          <w:ilvl w:val="0"/>
          <w:numId w:val="1001"/>
        </w:numPr>
      </w:pPr>
      <w:r>
        <w:t xml:space="preserve">Supportability/logistics planning products (provisioning strategy, maintenance concept)</w:t>
      </w:r>
    </w:p>
    <w:p>
      <w:pPr>
        <w:numPr>
          <w:ilvl w:val="0"/>
          <w:numId w:val="1001"/>
        </w:numPr>
      </w:pPr>
      <w:r>
        <w:t xml:space="preserve">Program CMP</w:t>
      </w:r>
    </w:p>
    <w:bookmarkEnd w:id="32"/>
    <w:bookmarkStart w:id="34" w:name="candidate-ci-identification"/>
    <w:p>
      <w:pPr>
        <w:pStyle w:val="Heading2"/>
      </w:pPr>
      <w:r>
        <w:t xml:space="preserve">5.2 Candidate CI Identification</w:t>
      </w:r>
    </w:p>
    <w:p>
      <w:pPr>
        <w:pStyle w:val="FirstParagraph"/>
      </w:pPr>
      <w:r>
        <w:rPr>
          <w:bCs/>
          <w:b/>
        </w:rPr>
        <w:t xml:space="preserve">Inputs:</w:t>
      </w:r>
      <w:r>
        <w:rPr>
          <w:bCs/>
          <w:b/>
        </w:rPr>
        <w:t xml:space="preserve"> </w:t>
      </w:r>
      <w:r>
        <w:t xml:space="preserve">Product structure/WBS; system architecture and MBSE model; contract, SOW, and CDRLs including Acquirer-directed designations; SMS hazard analyses and safety-critical item lists; supportability planning products.</w:t>
      </w:r>
    </w:p>
    <w:p>
      <w:pPr>
        <w:pStyle w:val="BodyText"/>
      </w:pPr>
      <w:r>
        <w:rPr>
          <w:bCs/>
          <w:b/>
        </w:rPr>
        <w:t xml:space="preserve">Outputs:</w:t>
      </w:r>
      <w:r>
        <w:rPr>
          <w:bCs/>
          <w:b/>
        </w:rPr>
        <w:t xml:space="preserve"> </w:t>
      </w:r>
      <w:r>
        <w:t xml:space="preserve">Candidate CI list; decomposition basis for the CI structure (MBSE scheme per the alignment requirement, or engineering product structure).</w:t>
      </w:r>
    </w:p>
    <w:p>
      <w:pPr>
        <w:pStyle w:val="BodyText"/>
      </w:pPr>
      <w:r>
        <w:rPr>
          <w:bCs/>
          <w:b/>
        </w:rPr>
        <w:t xml:space="preserve">Who does what. CM nominates the candidates.</w:t>
      </w:r>
      <w:r>
        <w:t xml:space="preserve"> </w:t>
      </w:r>
      <w:r>
        <w:t xml:space="preserve">A CM engineer builds the candidate set by reading the source material, not by waiting to be handed a list. CM works through the system and item specifications, the MBSE architecture and its decomposition, the hazard analyses and safety-critical item lists, the failure modes and criticality analyses, the provisioning and support plans, and the procurement statements of work. CM asks the questions each source raises and records the answers. The supporting functions maintain and explain their own products.</w:t>
      </w:r>
      <w:r>
        <w:t xml:space="preserve"> </w:t>
      </w:r>
      <w:r>
        <w:rPr>
          <w:bCs/>
          <w:b/>
        </w:rPr>
        <w:t xml:space="preserve">Systems Engineering</w:t>
      </w:r>
      <w:r>
        <w:t xml:space="preserve"> </w:t>
      </w:r>
      <w:r>
        <w:t xml:space="preserve">maintains the architecture and answers on decomposition and function.</w:t>
      </w:r>
      <w:r>
        <w:t xml:space="preserve"> </w:t>
      </w:r>
      <w:r>
        <w:rPr>
          <w:bCs/>
          <w:b/>
        </w:rPr>
        <w:t xml:space="preserve">System Safety</w:t>
      </w:r>
      <w:r>
        <w:t xml:space="preserve"> </w:t>
      </w:r>
      <w:r>
        <w:t xml:space="preserve">and</w:t>
      </w:r>
      <w:r>
        <w:t xml:space="preserve"> </w:t>
      </w:r>
      <w:r>
        <w:rPr>
          <w:bCs/>
          <w:b/>
        </w:rPr>
        <w:t xml:space="preserve">SMS</w:t>
      </w:r>
      <w:r>
        <w:t xml:space="preserve"> </w:t>
      </w:r>
      <w:r>
        <w:t xml:space="preserve">maintain the hazard analyses and answer on safety consequence.</w:t>
      </w:r>
      <w:r>
        <w:t xml:space="preserve"> </w:t>
      </w:r>
      <w:r>
        <w:rPr>
          <w:bCs/>
          <w:b/>
        </w:rPr>
        <w:t xml:space="preserve">RM&amp;SH</w:t>
      </w:r>
      <w:r>
        <w:t xml:space="preserve"> </w:t>
      </w:r>
      <w:r>
        <w:t xml:space="preserve">maintains the failure modes and criticality analyses and answers on failure consequence, single point failures, and life limits.</w:t>
      </w:r>
      <w:r>
        <w:t xml:space="preserve"> </w:t>
      </w:r>
      <w:r>
        <w:rPr>
          <w:bCs/>
          <w:b/>
        </w:rPr>
        <w:t xml:space="preserve">Human Factors</w:t>
      </w:r>
      <w:r>
        <w:t xml:space="preserve"> </w:t>
      </w:r>
      <w:r>
        <w:t xml:space="preserve">answers where operation or maintenance carries human error consequence.</w:t>
      </w:r>
      <w:r>
        <w:t xml:space="preserve"> </w:t>
      </w:r>
      <w:r>
        <w:rPr>
          <w:bCs/>
          <w:b/>
        </w:rPr>
        <w:t xml:space="preserve">Logistics</w:t>
      </w:r>
      <w:r>
        <w:t xml:space="preserve"> </w:t>
      </w:r>
      <w:r>
        <w:t xml:space="preserve">answers on provisioning, technical manuals, and support equipment.</w:t>
      </w:r>
      <w:r>
        <w:t xml:space="preserve"> </w:t>
      </w:r>
      <w:r>
        <w:rPr>
          <w:bCs/>
          <w:b/>
        </w:rPr>
        <w:t xml:space="preserve">Supplier Requirements Engineering, Equipment Managers, and Responsible Engineers</w:t>
      </w:r>
      <w:r>
        <w:t xml:space="preserve"> </w:t>
      </w:r>
      <w:r>
        <w:t xml:space="preserve">answer on what is procured and at what level. Those functions supply the data.</w:t>
      </w:r>
      <w:r>
        <w:t xml:space="preserve"> </w:t>
      </w:r>
      <w:r>
        <w:rPr>
          <w:bCs/>
          <w:b/>
        </w:rPr>
        <w:t xml:space="preserve">CM decides what enters the candidate set.</w:t>
      </w:r>
    </w:p>
    <w:p>
      <w:pPr>
        <w:pStyle w:val="BodyText"/>
      </w:pPr>
      <w:r>
        <w:t xml:space="preserve">Identify candidate CIs by top-down decomposition of the system engineering architecture. Either the Acquirer or the Supplier may make initial top-level recommendations, but the Supplier is responsible for the comprehensive recommendation.</w:t>
      </w:r>
    </w:p>
    <w:p>
      <w:pPr>
        <w:pStyle w:val="BodyText"/>
      </w:pPr>
      <w:r>
        <w:t xml:space="preserve">The top tier of candidates normally corresponds to contract line items. Lower-level candidates are nominated via the selection criteria screen.</w:t>
      </w:r>
    </w:p>
    <w:p>
      <w:pPr>
        <w:pStyle w:val="BodyText"/>
      </w:pPr>
      <w:r>
        <w:t xml:space="preserve">Items flagged as safety-critical are included in the candidate set and screened against the selection criteria.</w:t>
      </w:r>
    </w:p>
    <w:bookmarkStart w:id="33" w:name="mbse-alignment-requirement"/>
    <w:p>
      <w:pPr>
        <w:pStyle w:val="Heading3"/>
      </w:pPr>
      <w:r>
        <w:t xml:space="preserve">5.2.1 MBSE Alignment Requirement</w:t>
      </w:r>
    </w:p>
    <w:p>
      <w:pPr>
        <w:pStyle w:val="FirstParagraph"/>
      </w:pPr>
      <w:r>
        <w:t xml:space="preserve">Where MBSE is used on the program, the CI structure (CI parent-child relationships) mirrors the decomposition method of the MBSE architecture. The preferred decomposition schemes are the ATA chapter scheme or the S1000D SNS, implemented using SysML or UAF conventions. Where the program MBSE model uses a different decomposition scheme, the CI structure mirrors that scheme. The CI hierarchy and the architecture model do not diverge. See the MBSE-to-CI structure alignment guidance of this process.</w:t>
      </w:r>
    </w:p>
    <w:p>
      <w:pPr>
        <w:pStyle w:val="BodyText"/>
      </w:pPr>
      <w:r>
        <w:t xml:space="preserve">Where no MBSE model exists, the CI structure may follow specification decomposition methods or certification decomposition methods. It does not follow the engineering bill of material. The bill of material is organized for building the product, and building it is not the only thing the CI structure has to serve.</w:t>
      </w:r>
    </w:p>
    <w:bookmarkEnd w:id="33"/>
    <w:bookmarkEnd w:id="34"/>
    <w:bookmarkStart w:id="36" w:name="application-of-ci-selection-criteria"/>
    <w:p>
      <w:pPr>
        <w:pStyle w:val="Heading2"/>
      </w:pPr>
      <w:r>
        <w:t xml:space="preserve">5.3 Application of CI Selection Criteria</w:t>
      </w:r>
    </w:p>
    <w:p>
      <w:pPr>
        <w:pStyle w:val="FirstParagraph"/>
      </w:pPr>
      <w:r>
        <w:rPr>
          <w:bCs/>
          <w:b/>
        </w:rPr>
        <w:t xml:space="preserve">Inputs:</w:t>
      </w:r>
      <w:r>
        <w:rPr>
          <w:bCs/>
          <w:b/>
        </w:rPr>
        <w:t xml:space="preserve"> </w:t>
      </w:r>
      <w:r>
        <w:t xml:space="preserve">Candidate CI list; specifications; SMS safety-critical item lists; the CI selection criteria checklist; GEIA-HB-649A Appendix D supplemental criteria where applied.</w:t>
      </w:r>
    </w:p>
    <w:p>
      <w:pPr>
        <w:pStyle w:val="BodyText"/>
      </w:pPr>
      <w:r>
        <w:rPr>
          <w:bCs/>
          <w:b/>
        </w:rPr>
        <w:t xml:space="preserve">Outputs:</w:t>
      </w:r>
      <w:r>
        <w:rPr>
          <w:bCs/>
          <w:b/>
        </w:rPr>
        <w:t xml:space="preserve"> </w:t>
      </w:r>
      <w:r>
        <w:t xml:space="preserve">Completed selection criteria assessments with documented rationale for every candidate; selected-CI determinations; System Safety concurrence records where applicable.</w:t>
      </w:r>
    </w:p>
    <w:p>
      <w:pPr>
        <w:pStyle w:val="BodyText"/>
      </w:pPr>
      <w:r>
        <w:rPr>
          <w:bCs/>
          <w:b/>
        </w:rPr>
        <w:t xml:space="preserve">Who does what. CM applies the screen and makes the selection determination.</w:t>
      </w:r>
      <w:r>
        <w:t xml:space="preserve"> </w:t>
      </w:r>
      <w:r>
        <w:t xml:space="preserve">CM records the determination and rationale for every candidate and owns the completed checklist. CM does not re-perform another function’s domain analysis. CM reads that analysis, applies the criteria to it, and asks where the basis is unclear.</w:t>
      </w:r>
      <w:r>
        <w:t xml:space="preserve"> </w:t>
      </w:r>
      <w:r>
        <w:rPr>
          <w:bCs/>
          <w:b/>
        </w:rPr>
        <w:t xml:space="preserve">Systems Engineering</w:t>
      </w:r>
      <w:r>
        <w:t xml:space="preserve"> </w:t>
      </w:r>
      <w:r>
        <w:t xml:space="preserve">concurs on the end-use function gate and on the specification and interface criteria.</w:t>
      </w:r>
      <w:r>
        <w:t xml:space="preserve"> </w:t>
      </w:r>
      <w:r>
        <w:rPr>
          <w:bCs/>
          <w:b/>
        </w:rPr>
        <w:t xml:space="preserve">System Safety</w:t>
      </w:r>
      <w:r>
        <w:t xml:space="preserve"> </w:t>
      </w:r>
      <w:r>
        <w:t xml:space="preserve">concurs on the rationale where criterion (b) was answered yes and the item is not designated as a CI. A yes on criterion (b) that leads to designation needs no concurrence, because designation is the outcome the criterion exists to produce. The concurrence is what makes a decision</w:t>
      </w:r>
      <w:r>
        <w:t xml:space="preserve"> </w:t>
      </w:r>
      <w:r>
        <w:rPr>
          <w:iCs/>
          <w:i/>
        </w:rPr>
        <w:t xml:space="preserve">not</w:t>
      </w:r>
      <w:r>
        <w:t xml:space="preserve"> </w:t>
      </w:r>
      <w:r>
        <w:t xml:space="preserve">to designate a safety-critical item visible.</w:t>
      </w:r>
      <w:r>
        <w:t xml:space="preserve"> </w:t>
      </w:r>
      <w:r>
        <w:rPr>
          <w:bCs/>
          <w:b/>
        </w:rPr>
        <w:t xml:space="preserve">RM&amp;SH</w:t>
      </w:r>
      <w:r>
        <w:t xml:space="preserve"> </w:t>
      </w:r>
      <w:r>
        <w:t xml:space="preserve">concurs where the determination rests on failure modes and effects or criticality analysis, single point or common mode failure identification, or a maintainability or health-monitoring driven limit.</w:t>
      </w:r>
      <w:r>
        <w:t xml:space="preserve"> </w:t>
      </w:r>
      <w:r>
        <w:rPr>
          <w:bCs/>
          <w:b/>
        </w:rPr>
        <w:t xml:space="preserve">Human Factors</w:t>
      </w:r>
      <w:r>
        <w:t xml:space="preserve"> </w:t>
      </w:r>
      <w:r>
        <w:t xml:space="preserve">advises where the consequence pathway runs through operator or maintainer action.</w:t>
      </w:r>
      <w:r>
        <w:t xml:space="preserve"> </w:t>
      </w:r>
      <w:r>
        <w:rPr>
          <w:bCs/>
          <w:b/>
        </w:rPr>
        <w:t xml:space="preserve">Logistics</w:t>
      </w:r>
      <w:r>
        <w:t xml:space="preserve"> </w:t>
      </w:r>
      <w:r>
        <w:t xml:space="preserve">concurs on the logistics elements criterion.</w:t>
      </w:r>
      <w:r>
        <w:t xml:space="preserve"> </w:t>
      </w:r>
      <w:r>
        <w:rPr>
          <w:bCs/>
          <w:b/>
        </w:rPr>
        <w:t xml:space="preserve">Equipment Managers and Responsible Engineers</w:t>
      </w:r>
      <w:r>
        <w:t xml:space="preserve"> </w:t>
      </w:r>
      <w:r>
        <w:t xml:space="preserve">supply the engineering basis and configuration documentation from their suppliers for their items.</w:t>
      </w:r>
      <w:r>
        <w:t xml:space="preserve"> </w:t>
      </w:r>
      <w:r>
        <w:rPr>
          <w:bCs/>
          <w:b/>
        </w:rPr>
        <w:t xml:space="preserve">CI selection is a CM decision.</w:t>
      </w:r>
      <w:r>
        <w:t xml:space="preserve"> </w:t>
      </w:r>
      <w:r>
        <w:t xml:space="preserve">The concurrences confirm that the technical basis is sound. They do not make the selection.</w:t>
      </w:r>
    </w:p>
    <w:p>
      <w:pPr>
        <w:pStyle w:val="BodyText"/>
      </w:pPr>
      <w:r>
        <w:t xml:space="preserve">Screen each candidate through three qualifying gates, then the criteria screen. All three gates must be passed before the criteria screen is run:</w:t>
      </w:r>
    </w:p>
    <w:p>
      <w:pPr>
        <w:numPr>
          <w:ilvl w:val="0"/>
          <w:numId w:val="1002"/>
        </w:numPr>
      </w:pPr>
      <w:r>
        <w:t xml:space="preserve">Item gate. Confirm the candidate is an item, rather than a function, task, failure mode, feature, or location. A candidate that is not an item cannot be designated as a CI. It is a signal that items worth screening sit nearby. Ask for the items that implement it and screen those.</w:t>
      </w:r>
    </w:p>
    <w:p>
      <w:pPr>
        <w:numPr>
          <w:ilvl w:val="0"/>
          <w:numId w:val="1002"/>
        </w:numPr>
      </w:pPr>
      <w:r>
        <w:t xml:space="preserve">End-use function gate. Confirm the item satisfies a system end-use function. Items with no end-use function (raw materials, bulk commodities, purely structural elements with no defined functional role) are not CIs and are controlled within their parent CI’s configuration documentation.</w:t>
      </w:r>
    </w:p>
    <w:p>
      <w:pPr>
        <w:numPr>
          <w:ilvl w:val="0"/>
          <w:numId w:val="1002"/>
        </w:numPr>
      </w:pPr>
      <w:r>
        <w:t xml:space="preserve">Supplier-designed parent gate. Confirm the item is not a child of a commercial off-the-shelf, catalog, or vendor item procured inseparable from that parent. Where it is, screen the procured parent item instead. Do not decompose a supplier-designed item to run this screen. Record the parent and stop.</w:t>
      </w:r>
    </w:p>
    <w:p>
      <w:pPr>
        <w:numPr>
          <w:ilvl w:val="0"/>
          <w:numId w:val="1002"/>
        </w:numPr>
      </w:pPr>
      <w:r>
        <w:t xml:space="preserve">Criteria screen. Designate the item as a CI if it meets or impacts one or more of the EIA-649-1A §3.2.1 criteria listed in Table 5-1. The CI selection criteria checklist of this process provides the assessment; GEIA-HB-649A Appendix D provides an expanded criteria set that may be applied as supplemental screening at program discretion.</w:t>
      </w:r>
    </w:p>
    <w:p>
      <w:pPr>
        <w:pStyle w:val="FirstParagraph"/>
      </w:pPr>
      <w:r>
        <w:rPr>
          <w:bCs/>
          <w:b/>
        </w:rPr>
        <w:t xml:space="preserve">Table 5-1. CI Selection Criteria (EIA-649-1A §3.2.1(2))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Criterion</w:t>
            </w:r>
          </w:p>
        </w:tc>
        <w:tc>
          <w:tcPr/>
          <w:p>
            <w:pPr>
              <w:pStyle w:val="Compact"/>
              <w:jc w:val="left"/>
            </w:pPr>
            <w:r>
              <w:rPr>
                <w:bCs/>
                <w:b/>
              </w:rPr>
              <w:t xml:space="preserve">Description</w:t>
            </w:r>
          </w:p>
        </w:tc>
      </w:tr>
      <w:tr>
        <w:tc>
          <w:tcPr/>
          <w:p>
            <w:pPr>
              <w:pStyle w:val="Compact"/>
              <w:jc w:val="left"/>
            </w:pPr>
            <w:r>
              <w:t xml:space="preserve">(a)</w:t>
            </w:r>
          </w:p>
        </w:tc>
        <w:tc>
          <w:tcPr/>
          <w:p>
            <w:pPr>
              <w:pStyle w:val="Compact"/>
              <w:jc w:val="left"/>
            </w:pPr>
            <w:r>
              <w:t xml:space="preserve">Critical to the functioning of the system</w:t>
            </w:r>
          </w:p>
        </w:tc>
      </w:tr>
      <w:tr>
        <w:tc>
          <w:tcPr/>
          <w:p>
            <w:pPr>
              <w:pStyle w:val="Compact"/>
              <w:jc w:val="left"/>
            </w:pPr>
            <w:r>
              <w:t xml:space="preserve">(b)</w:t>
            </w:r>
          </w:p>
        </w:tc>
        <w:tc>
          <w:tcPr/>
          <w:p>
            <w:pPr>
              <w:pStyle w:val="Compact"/>
              <w:jc w:val="left"/>
            </w:pPr>
            <w:r>
              <w:t xml:space="preserve">Failure might result in serious injury, loss of life, or loss of primary system capability</w:t>
            </w:r>
          </w:p>
        </w:tc>
      </w:tr>
      <w:tr>
        <w:tc>
          <w:tcPr/>
          <w:p>
            <w:pPr>
              <w:pStyle w:val="Compact"/>
              <w:jc w:val="left"/>
            </w:pPr>
            <w:r>
              <w:t xml:space="preserve">(c)</w:t>
            </w:r>
          </w:p>
        </w:tc>
        <w:tc>
          <w:tcPr/>
          <w:p>
            <w:pPr>
              <w:pStyle w:val="Compact"/>
              <w:jc w:val="left"/>
            </w:pPr>
            <w:r>
              <w:t xml:space="preserve">Technology is complex, not well known, and critical to acquisition, operational, or supportability goals</w:t>
            </w:r>
          </w:p>
        </w:tc>
      </w:tr>
      <w:tr>
        <w:tc>
          <w:tcPr/>
          <w:p>
            <w:pPr>
              <w:pStyle w:val="Compact"/>
              <w:jc w:val="left"/>
            </w:pPr>
            <w:r>
              <w:t xml:space="preserve">(d)</w:t>
            </w:r>
          </w:p>
        </w:tc>
        <w:tc>
          <w:tcPr/>
          <w:p>
            <w:pPr>
              <w:pStyle w:val="Compact"/>
              <w:jc w:val="left"/>
            </w:pPr>
            <w:r>
              <w:t xml:space="preserve">The item is under control as designated by the Acquirer</w:t>
            </w:r>
          </w:p>
        </w:tc>
      </w:tr>
      <w:tr>
        <w:tc>
          <w:tcPr/>
          <w:p>
            <w:pPr>
              <w:pStyle w:val="Compact"/>
              <w:jc w:val="left"/>
            </w:pPr>
            <w:r>
              <w:t xml:space="preserve">(e)</w:t>
            </w:r>
          </w:p>
        </w:tc>
        <w:tc>
          <w:tcPr/>
          <w:p>
            <w:pPr>
              <w:pStyle w:val="Compact"/>
              <w:jc w:val="left"/>
            </w:pPr>
            <w:r>
              <w:t xml:space="preserve">Requires separate type designation, versions, or nomenclatures</w:t>
            </w:r>
          </w:p>
        </w:tc>
      </w:tr>
      <w:tr>
        <w:tc>
          <w:tcPr/>
          <w:p>
            <w:pPr>
              <w:pStyle w:val="Compact"/>
              <w:jc w:val="left"/>
            </w:pPr>
            <w:r>
              <w:t xml:space="preserve">(f)</w:t>
            </w:r>
          </w:p>
        </w:tc>
        <w:tc>
          <w:tcPr/>
          <w:p>
            <w:pPr>
              <w:pStyle w:val="Compact"/>
              <w:jc w:val="left"/>
            </w:pPr>
            <w:r>
              <w:t xml:space="preserve">Critical or high risk; failure would have significant financial impact</w:t>
            </w:r>
          </w:p>
        </w:tc>
      </w:tr>
      <w:tr>
        <w:tc>
          <w:tcPr/>
          <w:p>
            <w:pPr>
              <w:pStyle w:val="Compact"/>
              <w:jc w:val="left"/>
            </w:pPr>
            <w:r>
              <w:t xml:space="preserve">(g)</w:t>
            </w:r>
          </w:p>
        </w:tc>
        <w:tc>
          <w:tcPr/>
          <w:p>
            <w:pPr>
              <w:pStyle w:val="Compact"/>
              <w:jc w:val="left"/>
            </w:pPr>
            <w:r>
              <w:t xml:space="preserve">Requires dedicated logistics support elements (e.g.,APL/AEL/ACL provisioning lists, special test equipment, technical manuals, PMS MIP/MRC, danger/caution tag-out)</w:t>
            </w:r>
          </w:p>
        </w:tc>
      </w:tr>
    </w:tbl>
    <w:p>
      <w:pPr>
        <w:pStyle w:val="BodyText"/>
      </w:pPr>
      <w:r>
        <w:rPr>
          <w:bCs/>
          <w:b/>
        </w:rPr>
        <w:t xml:space="preserve">Additional rules:</w:t>
      </w:r>
    </w:p>
    <w:p>
      <w:pPr>
        <w:numPr>
          <w:ilvl w:val="0"/>
          <w:numId w:val="1003"/>
        </w:numPr>
      </w:pPr>
      <w:r>
        <w:t xml:space="preserve">Software: computer software is designated as CIs (CSCIs).</w:t>
      </w:r>
    </w:p>
    <w:p>
      <w:pPr>
        <w:numPr>
          <w:ilvl w:val="0"/>
          <w:numId w:val="1003"/>
        </w:numPr>
      </w:pPr>
      <w:r>
        <w:t xml:space="preserve">Safety linkage: any item identified as safety-critical is screened against criterion (b) and, where applicable, criterion (a). Such items will nearly always qualify. Consider both direct failure modes and cascading effects. System Safety concurrence is required if criterion (b) was answered yes and the item is not designated as a CI.</w:t>
      </w:r>
    </w:p>
    <w:p>
      <w:pPr>
        <w:numPr>
          <w:ilvl w:val="0"/>
          <w:numId w:val="1003"/>
        </w:numPr>
      </w:pPr>
      <w:r>
        <w:t xml:space="preserve">Mandatory for safety: criterion (b), that failure of the item might result in serious injury, loss of life, or loss of primary system capability, is mandatory for safety. It serves as a barrier against severe and catastrophic consequences. On safety-significant product lines it is performed regardless of contract flow-down.</w:t>
      </w:r>
    </w:p>
    <w:p>
      <w:pPr>
        <w:numPr>
          <w:ilvl w:val="0"/>
          <w:numId w:val="1003"/>
        </w:numPr>
      </w:pPr>
      <w:r>
        <w:t xml:space="preserve">Rationale: document the assessment result and rationale for every candidate, whether selected as a CI or not. Retain per the records and retention requirements of this process.</w:t>
      </w:r>
    </w:p>
    <w:p>
      <w:pPr>
        <w:numPr>
          <w:ilvl w:val="0"/>
          <w:numId w:val="1003"/>
        </w:numPr>
      </w:pPr>
      <w:r>
        <w:t xml:space="preserve">Level of selection: select CIs at the optimum level for both acquisition and support: the level at which items are specified, contracted, accepted, and at which logistics organizes and reports maintenance and modification actions. Avoid over-designation (unmanageable change traffic) and under-designation (loss of visibility and control).</w:t>
      </w:r>
    </w:p>
    <w:bookmarkStart w:id="35" w:name="same-ci-or-separate-cis"/>
    <w:p>
      <w:pPr>
        <w:pStyle w:val="Heading3"/>
      </w:pPr>
      <w:r>
        <w:t xml:space="preserve">5.3.1 Same CI or Separate CIs</w:t>
      </w:r>
    </w:p>
    <w:p>
      <w:pPr>
        <w:pStyle w:val="FirstParagraph"/>
      </w:pPr>
      <w:r>
        <w:t xml:space="preserve">The selection criteria screen decides whether an item is a CI. It does not decide how many CI identifiers a set of related items receives. That is a separate question and it is asked often.</w:t>
      </w:r>
    </w:p>
    <w:p>
      <w:pPr>
        <w:pStyle w:val="BodyText"/>
      </w:pPr>
      <w:r>
        <w:t xml:space="preserve">Two or more items carry different PINs and appear closely related. They may share one CI identifier with PIN variants, or they may be separate CIs. One PIN installed in more than one place raises the reverse question. Neither question is answered by the part numbers.</w:t>
      </w:r>
    </w:p>
    <w:p>
      <w:pPr>
        <w:pStyle w:val="BodyText"/>
      </w:pPr>
      <w:r>
        <w:rPr>
          <w:bCs/>
          <w:b/>
        </w:rPr>
        <w:t xml:space="preserve">The CI identifier follows function and the management need for separate configuration control. The PIN follows form, fit, and function.</w:t>
      </w:r>
      <w:r>
        <w:t xml:space="preserve"> </w:t>
      </w:r>
      <w:r>
        <w:t xml:space="preserve">The two identifiers are decoupled on purpose.</w:t>
      </w:r>
    </w:p>
    <w:p>
      <w:pPr>
        <w:pStyle w:val="BodyText"/>
      </w:pPr>
      <w:r>
        <w:t xml:space="preserve">Screen these cases through the same-CI decision aid in the appendices. It applies the same criteria used here and returns one of four verdicts: not CI candidates, parts rather than CIs, separate CIs, or one CI with multiple PIN variants. Record the verdict and the rationale on the CI selection criteria checklist with the rest of the screen.</w:t>
      </w:r>
    </w:p>
    <w:bookmarkEnd w:id="35"/>
    <w:bookmarkEnd w:id="36"/>
    <w:bookmarkStart w:id="38" w:name="ci-structure-and-hierarchy"/>
    <w:p>
      <w:pPr>
        <w:pStyle w:val="Heading2"/>
      </w:pPr>
      <w:r>
        <w:t xml:space="preserve">5.4 CI Structure and Hierarchy</w:t>
      </w:r>
    </w:p>
    <w:p>
      <w:pPr>
        <w:pStyle w:val="FirstParagraph"/>
      </w:pPr>
      <w:r>
        <w:rPr>
          <w:bCs/>
          <w:b/>
        </w:rPr>
        <w:t xml:space="preserve">Inputs:</w:t>
      </w:r>
      <w:r>
        <w:rPr>
          <w:bCs/>
          <w:b/>
        </w:rPr>
        <w:t xml:space="preserve"> </w:t>
      </w:r>
      <w:r>
        <w:t xml:space="preserve">Selected-CI determinations; decomposition basis; contract identification of Acquirer-controlled levels.</w:t>
      </w:r>
    </w:p>
    <w:p>
      <w:pPr>
        <w:pStyle w:val="BodyText"/>
      </w:pPr>
      <w:r>
        <w:rPr>
          <w:bCs/>
          <w:b/>
        </w:rPr>
        <w:t xml:space="preserve">Outputs:</w:t>
      </w:r>
      <w:r>
        <w:rPr>
          <w:bCs/>
          <w:b/>
        </w:rPr>
        <w:t xml:space="preserve"> </w:t>
      </w:r>
      <w:r>
        <w:t xml:space="preserve">CI hierarchy with parent/child relationships and owning design activity; Acquirer-controlled vs. Supplier-controlled distinctions per CI; initial CI index entries.</w:t>
      </w:r>
    </w:p>
    <w:p>
      <w:pPr>
        <w:pStyle w:val="BodyText"/>
      </w:pPr>
      <w:r>
        <w:rPr>
          <w:bCs/>
          <w:b/>
        </w:rPr>
        <w:t xml:space="preserve">Who does what. CM creates and owns the CI structure and hierarchy.</w:t>
      </w:r>
      <w:r>
        <w:t xml:space="preserve"> </w:t>
      </w:r>
      <w:r>
        <w:t xml:space="preserve">Systems Engineering decomposes the system architecture. CM builds the CI hierarchy to match that decomposition as closely as the selection criteria allow. The two are not always identical. The architecture decomposes function. The CI structure organizes what is separately specified, contracted, accepted, and supported. Where the two diverge, CM records why. CM assigns each CI its parent, its children, its owning design activity, and its control tier, and maintains the CI index.</w:t>
      </w:r>
      <w:r>
        <w:t xml:space="preserve"> </w:t>
      </w:r>
      <w:r>
        <w:rPr>
          <w:bCs/>
          <w:b/>
        </w:rPr>
        <w:t xml:space="preserve">Systems Engineering</w:t>
      </w:r>
      <w:r>
        <w:t xml:space="preserve"> </w:t>
      </w:r>
      <w:r>
        <w:t xml:space="preserve">answers questions on the architecture and confirms the CI structure does not misrepresent the decomposition.</w:t>
      </w:r>
      <w:r>
        <w:t xml:space="preserve"> </w:t>
      </w:r>
      <w:r>
        <w:rPr>
          <w:bCs/>
          <w:b/>
        </w:rPr>
        <w:t xml:space="preserve">Supplier Requirements Engineering</w:t>
      </w:r>
      <w:r>
        <w:t xml:space="preserve"> </w:t>
      </w:r>
      <w:r>
        <w:t xml:space="preserve">confirms the level at which each item is procured, which sets where the customer-facing CI sits for supplier-designed items.</w:t>
      </w:r>
      <w:r>
        <w:t xml:space="preserve"> </w:t>
      </w:r>
      <w:r>
        <w:rPr>
          <w:bCs/>
          <w:b/>
        </w:rPr>
        <w:t xml:space="preserve">Equipment Managers and Responsible Engineers</w:t>
      </w:r>
      <w:r>
        <w:t xml:space="preserve"> </w:t>
      </w:r>
      <w:r>
        <w:t xml:space="preserve">confirm the structure matches how their equipment is specified and changed.</w:t>
      </w:r>
    </w:p>
    <w:p>
      <w:pPr>
        <w:pStyle w:val="BodyText"/>
      </w:pPr>
      <w:r>
        <w:t xml:space="preserve">Place each selected CI in the CI hierarchy, aligned per the MBSE alignment requirement. For each CI, record its parent, children, and owning design activity.</w:t>
      </w:r>
    </w:p>
    <w:p>
      <w:pPr>
        <w:pStyle w:val="BodyText"/>
      </w:pPr>
      <w:r>
        <w:t xml:space="preserve">Distinguish Acquirer-controlled CIs from lower-tier items subject to Supplier internal configuration management. Acquirer-controlled CIs are those the Acquirer specifies, baselines, and controls; below that level the Supplier determines items for internal CM and the documentation types to use. Subcontractor-developed items are CIs from the Supplier’s view and are flowed down with equivalent CM requirements.</w:t>
      </w:r>
    </w:p>
    <w:bookmarkStart w:id="37" w:name="Xa3fb89379b1f7486d766f52a4e01f03f82be057"/>
    <w:p>
      <w:pPr>
        <w:pStyle w:val="Heading3"/>
      </w:pPr>
      <w:r>
        <w:t xml:space="preserve">5.4.1 Supplier-Designed Items Are Not Decomposed</w:t>
      </w:r>
    </w:p>
    <w:p>
      <w:pPr>
        <w:pStyle w:val="FirstParagraph"/>
      </w:pPr>
      <w:r>
        <w:rPr>
          <w:bCs/>
          <w:b/>
        </w:rPr>
        <w:t xml:space="preserve">Do not decompose a supplier-designed item to identify customer-facing CIs.</w:t>
      </w:r>
      <w:r>
        <w:t xml:space="preserve"> </w:t>
      </w:r>
      <w:r>
        <w:t xml:space="preserve">Where the supplier holds the design and the company procures the item as a unit, the customer-facing CI is the item as procured. This applies to:</w:t>
      </w:r>
    </w:p>
    <w:p>
      <w:pPr>
        <w:numPr>
          <w:ilvl w:val="0"/>
          <w:numId w:val="1004"/>
        </w:numPr>
      </w:pPr>
      <w:r>
        <w:rPr>
          <w:bCs/>
          <w:b/>
        </w:rPr>
        <w:t xml:space="preserve">Vendor items, commercial off-the-shelf items, and catalog items.</w:t>
      </w:r>
      <w:r>
        <w:t xml:space="preserve"> </w:t>
      </w:r>
      <w:r>
        <w:t xml:space="preserve">The vendor holds the design. The company controls selection through a vendor item control drawing, not the internals. The procured item is the CI.</w:t>
      </w:r>
    </w:p>
    <w:p>
      <w:pPr>
        <w:numPr>
          <w:ilvl w:val="0"/>
          <w:numId w:val="1004"/>
        </w:numPr>
      </w:pPr>
      <w:r>
        <w:rPr>
          <w:bCs/>
          <w:b/>
        </w:rPr>
        <w:t xml:space="preserve">Major supplier-designed assemblies procured as a unit,</w:t>
      </w:r>
      <w:r>
        <w:t xml:space="preserve"> </w:t>
      </w:r>
      <w:r>
        <w:t xml:space="preserve">such as an engine supplied by an engine manufacturer. The supplier holds design authority, qualifies the item, and delivers it whole. The CI is the engine, not its modules, accessories, or piece parts.</w:t>
      </w:r>
    </w:p>
    <w:p>
      <w:pPr>
        <w:pStyle w:val="FirstParagraph"/>
      </w:pPr>
      <w:r>
        <w:t xml:space="preserve">The reason is that a CI carries obligations the company must be able to meet. Decomposing below the level at which the item is procured creates CIs whose configuration the company does not control, cannot baseline against its own documentation, and cannot audit. It also generates change traffic nobody is able to action, and an as-built structure the supplier does not recognize. Selecting at the procurement level keeps the CI at the level where specification, contracting, acceptance, and change all actually occur.</w:t>
      </w:r>
    </w:p>
    <w:p>
      <w:pPr>
        <w:pStyle w:val="BodyText"/>
      </w:pPr>
      <w:r>
        <w:rPr>
          <w:bCs/>
          <w:b/>
        </w:rPr>
        <w:t xml:space="preserve">Four things this rule does not do.</w:t>
      </w:r>
      <w:r>
        <w:t xml:space="preserve"> </w:t>
      </w:r>
      <w:r>
        <w:t xml:space="preserve">Not decomposing is not the same as not controlling:</w:t>
      </w:r>
    </w:p>
    <w:p>
      <w:pPr>
        <w:numPr>
          <w:ilvl w:val="0"/>
          <w:numId w:val="1005"/>
        </w:numPr>
      </w:pPr>
      <w:r>
        <w:rPr>
          <w:bCs/>
          <w:b/>
        </w:rPr>
        <w:t xml:space="preserve">Part attribute identification</w:t>
      </w:r>
      <w:r>
        <w:t xml:space="preserve">** still appl****ies ****inside the item.** Safety-critical, life-limited, and special handling attributes and identifiers attach to parts within a procured item regardless of whether those parts are CIs. Engine life-limited parts are the standard example: they are not customer-facing CIs, and they are individually serialized, life tracked, and traceable. Part attribute identification and CI selection are separate decisions.</w:t>
      </w:r>
    </w:p>
    <w:p>
      <w:pPr>
        <w:numPr>
          <w:ilvl w:val="0"/>
          <w:numId w:val="1005"/>
        </w:numPr>
      </w:pPr>
      <w:r>
        <w:rPr>
          <w:bCs/>
          <w:b/>
        </w:rPr>
        <w:t xml:space="preserve">The item can still be designated for audit.</w:t>
      </w:r>
      <w:r>
        <w:t xml:space="preserve"> </w:t>
      </w:r>
      <w:r>
        <w:t xml:space="preserve">A procured engine or vendor item CI may be designated for a configuration audit at the procurement level, and the supplier’s audit role follows from the type of work it performs.</w:t>
      </w:r>
    </w:p>
    <w:p>
      <w:pPr>
        <w:numPr>
          <w:ilvl w:val="0"/>
          <w:numId w:val="1005"/>
        </w:numPr>
      </w:pPr>
      <w:r>
        <w:rPr>
          <w:bCs/>
          <w:b/>
        </w:rPr>
        <w:t xml:space="preserve">Interfaces at the item boundary are still registered.</w:t>
      </w:r>
      <w:r>
        <w:t xml:space="preserve"> </w:t>
      </w:r>
      <w:r>
        <w:t xml:space="preserve">The boundary between the procured item and the rest of the system is an interface like any other and is recorded in the interface register.</w:t>
      </w:r>
    </w:p>
    <w:p>
      <w:pPr>
        <w:numPr>
          <w:ilvl w:val="0"/>
          <w:numId w:val="1005"/>
        </w:numPr>
      </w:pPr>
      <w:r>
        <w:rPr>
          <w:bCs/>
          <w:b/>
        </w:rPr>
        <w:t xml:space="preserve">The supplier still holds its own structure.</w:t>
      </w:r>
      <w:r>
        <w:t xml:space="preserve"> </w:t>
      </w:r>
      <w:r>
        <w:t xml:space="preserve">The supplier maintains CIs internally at whatever level its own design authority requires, and the sub-supplier CM flowdown process determines what it owes upward. Those are supplier relationship CIs, not customer-facing ones.</w:t>
      </w:r>
    </w:p>
    <w:p>
      <w:pPr>
        <w:pStyle w:val="FirstParagraph"/>
      </w:pPr>
      <w:r>
        <w:t xml:space="preserve">The company may later take on design authority for a supplier-designed item. Acquiring the data rights or initiating a company-controlled modification are the usual routes. Where that happens, re-run identification per the maintenance and iteration section. The rule follows design authority, not the item.</w:t>
      </w:r>
    </w:p>
    <w:bookmarkEnd w:id="37"/>
    <w:bookmarkEnd w:id="38"/>
    <w:bookmarkStart w:id="42" w:name="X56dda57a2f94b6549ad7a8f557ed356c8e20028"/>
    <w:p>
      <w:pPr>
        <w:pStyle w:val="Heading2"/>
      </w:pPr>
      <w:r>
        <w:t xml:space="preserve">5.5 Interface Identification Verification and Recording</w:t>
      </w:r>
    </w:p>
    <w:p>
      <w:pPr>
        <w:pStyle w:val="FirstParagraph"/>
      </w:pPr>
      <w:r>
        <w:rPr>
          <w:bCs/>
          <w:b/>
        </w:rPr>
        <w:t xml:space="preserve">Inputs:</w:t>
      </w:r>
      <w:r>
        <w:rPr>
          <w:bCs/>
          <w:b/>
        </w:rPr>
        <w:t xml:space="preserve"> </w:t>
      </w:r>
      <w:r>
        <w:t xml:space="preserve">CI hierarchy; SE-identified interface requirements; MBSE interface elements where a model exists; ICWG designation where applicable.</w:t>
      </w:r>
    </w:p>
    <w:p>
      <w:pPr>
        <w:pStyle w:val="BodyText"/>
      </w:pPr>
      <w:r>
        <w:rPr>
          <w:bCs/>
          <w:b/>
        </w:rPr>
        <w:t xml:space="preserve">Outputs:</w:t>
      </w:r>
      <w:r>
        <w:rPr>
          <w:bCs/>
          <w:b/>
        </w:rPr>
        <w:t xml:space="preserve"> </w:t>
      </w:r>
      <w:r>
        <w:t xml:space="preserve">Interface register; coverage verification records; SE-signed no-interface determinations.</w:t>
      </w:r>
    </w:p>
    <w:p>
      <w:pPr>
        <w:pStyle w:val="BodyText"/>
      </w:pPr>
      <w:r>
        <w:rPr>
          <w:bCs/>
          <w:b/>
        </w:rPr>
        <w:t xml:space="preserve">Who does what. CM owns the boundary set, because CM owns the CI structure.</w:t>
      </w:r>
      <w:r>
        <w:t xml:space="preserve"> </w:t>
      </w:r>
      <w:r>
        <w:t xml:space="preserve">The CI hierarchy determines which boundaries exist, so CM derives the boundary list, maintains the interface register, verifies that every boundary is covered, and controls the interface documentation once baselined.</w:t>
      </w:r>
      <w:r>
        <w:t xml:space="preserve"> </w:t>
      </w:r>
      <w:r>
        <w:rPr>
          <w:bCs/>
          <w:b/>
        </w:rPr>
        <w:t xml:space="preserve">Systems Engineering identifies what crosses each boundary</w:t>
      </w:r>
      <w:r>
        <w:t xml:space="preserve"> </w:t>
      </w:r>
      <w:r>
        <w:t xml:space="preserve">and signs no-interface determinations. The split is deliberate. CM owns coverage. Systems Engineering owns content.</w:t>
      </w:r>
      <w:r>
        <w:t xml:space="preserve"> </w:t>
      </w:r>
      <w:r>
        <w:rPr>
          <w:bCs/>
          <w:b/>
        </w:rPr>
        <w:t xml:space="preserve">Human Factors</w:t>
      </w:r>
      <w:r>
        <w:t xml:space="preserve"> </w:t>
      </w:r>
      <w:r>
        <w:t xml:space="preserve">identifies human system interfaces at CI boundaries.</w:t>
      </w:r>
      <w:r>
        <w:t xml:space="preserve"> </w:t>
      </w:r>
      <w:r>
        <w:rPr>
          <w:bCs/>
          <w:b/>
        </w:rPr>
        <w:t xml:space="preserve">System Safety</w:t>
      </w:r>
      <w:r>
        <w:t xml:space="preserve"> </w:t>
      </w:r>
      <w:r>
        <w:t xml:space="preserve">identifies interfaces that carry a hazard risk control.</w:t>
      </w:r>
      <w:r>
        <w:t xml:space="preserve"> </w:t>
      </w:r>
      <w:r>
        <w:rPr>
          <w:bCs/>
          <w:b/>
        </w:rPr>
        <w:t xml:space="preserve">Supplier Requirements Engineering</w:t>
      </w:r>
      <w:r>
        <w:t xml:space="preserve"> </w:t>
      </w:r>
      <w:r>
        <w:t xml:space="preserve">confirms which supplier holds the boundary under contract.</w:t>
      </w:r>
    </w:p>
    <w:p>
      <w:pPr>
        <w:pStyle w:val="BodyText"/>
      </w:pPr>
      <w:r>
        <w:t xml:space="preserve">Interface requirement content is a Systems Engineering responsibility. Systems Engineering identifies internal interface requirements (between CIs within the system) and external interface requirements (with other systems, facilities, and support equipment) per EIA-649-1A §3.2.5, which is mandatory for safety, using the architecture and, where MBSE is used, the model’s interface definitions (e.g., SysML ports, connectors, and interface blocks; UAF resource connectivity). CM does not derive interface requirements. CM derives the boundary set from the CI structure it owns, records the interface identification against each boundary, verifies coverage, and controls the interface products once baselined.</w:t>
      </w:r>
    </w:p>
    <w:bookmarkStart w:id="39" w:name="interface-register"/>
    <w:p>
      <w:pPr>
        <w:pStyle w:val="Heading3"/>
      </w:pPr>
      <w:r>
        <w:t xml:space="preserve">5.5.1 Interface Register</w:t>
      </w:r>
    </w:p>
    <w:p>
      <w:pPr>
        <w:pStyle w:val="FirstParagraph"/>
      </w:pPr>
      <w:r>
        <w:t xml:space="preserve">Maintain an interface register keyed to the CI structure. The CI hierarchy defines a finite set of boundaries: every pair of interfacing sibling CIs, every boundary between the system and external systems, and every boundary between Acquirer-controlled and Supplier-controlled levels. For each boundary, the register records: interface identifier; the interfacing CIs (or CI and external system); the defining documentation and revision (specification section, interface specification, or ICD number); the controlling baseline; and the control authority (CCB and/or ICWG). Where a boundary has no interface, the register records an explicit</w:t>
      </w:r>
      <w:r>
        <w:t xml:space="preserve"> </w:t>
      </w:r>
      <w:r>
        <w:t xml:space="preserve">“</w:t>
      </w:r>
      <w:r>
        <w:t xml:space="preserve">no interface</w:t>
      </w:r>
      <w:r>
        <w:t xml:space="preserve">”</w:t>
      </w:r>
      <w:r>
        <w:t xml:space="preserve"> </w:t>
      </w:r>
      <w:r>
        <w:t xml:space="preserve">determination signed by Systems Engineering. No boundary is left blank.</w:t>
      </w:r>
    </w:p>
    <w:bookmarkEnd w:id="39"/>
    <w:bookmarkStart w:id="40" w:name="coverage-verification"/>
    <w:p>
      <w:pPr>
        <w:pStyle w:val="Heading3"/>
      </w:pPr>
      <w:r>
        <w:t xml:space="preserve">5.5.2 Coverage Verification</w:t>
      </w:r>
    </w:p>
    <w:p>
      <w:pPr>
        <w:pStyle w:val="FirstParagraph"/>
      </w:pPr>
      <w:r>
        <w:t xml:space="preserve">Verify coverage, not technical content: confirm that every boundary derived from the CI structure appears in the register with either identified interface documentation or a signed no-interface determination. Technical adequacy of interface requirements is verified by Systems Engineering and the technical review process, not by CM. Perform the coverage check at CI-list submittal for Acquirer concurrence, at each technical review, and prior to each baseline establishment. Where MBSE is used, additionally confirm that every interface element in the model resolves to a register row and vice versa, per the MBSE-to-CI structure alignment guidance of this process.</w:t>
      </w:r>
    </w:p>
    <w:bookmarkEnd w:id="40"/>
    <w:bookmarkStart w:id="41" w:name="X8205058f9b8c755732fdc6980166d4c70f27869"/>
    <w:p>
      <w:pPr>
        <w:pStyle w:val="Heading3"/>
      </w:pPr>
      <w:r>
        <w:t xml:space="preserve">5.5.3 Control of Interface Documentation Products</w:t>
      </w:r>
    </w:p>
    <w:p>
      <w:pPr>
        <w:pStyle w:val="FirstParagraph"/>
      </w:pPr>
      <w:r>
        <w:t xml:space="preserve">Confirm that interface specifications and ICDs (DI-SESS-81248 where contracted) are assigned document identifiers, released through the engineering release system, and included in the configuration documentation determination. Where the Acquirer operates an Interface Control Working Group (ICWG), allocate a company CM representative to the ICWG. That is mandatory for safety, and it is conditional on such a group existing. Record ICWG-controlled interfaces as such in the register.</w:t>
      </w:r>
    </w:p>
    <w:p>
      <w:pPr>
        <w:pStyle w:val="BodyText"/>
      </w:pPr>
      <w:r>
        <w:t xml:space="preserve">Interface requirement identification is mandatory for safety on the company. On safety-significant product lines it is performed regardless of contract flow-down, or dispositioned through the safety disposition gate defined in the CM planning and management process. The interface register and the coverage verification records are CM’s evidence that it was performed, and are the artifacts the program safety-requirement disposition record references. Interface requirements flow into the configuration documentation and are controlled once baselined. Both of those are also mandatory for safety.</w:t>
      </w:r>
    </w:p>
    <w:bookmarkEnd w:id="41"/>
    <w:bookmarkEnd w:id="42"/>
    <w:bookmarkStart w:id="43" w:name="acquirer-review-and-concurrence"/>
    <w:p>
      <w:pPr>
        <w:pStyle w:val="Heading2"/>
      </w:pPr>
      <w:r>
        <w:t xml:space="preserve">5.6 Acquirer Review and Concurrence</w:t>
      </w:r>
    </w:p>
    <w:p>
      <w:pPr>
        <w:pStyle w:val="FirstParagraph"/>
      </w:pPr>
      <w:r>
        <w:rPr>
          <w:bCs/>
          <w:b/>
        </w:rPr>
        <w:t xml:space="preserve">Inputs:</w:t>
      </w:r>
      <w:r>
        <w:rPr>
          <w:bCs/>
          <w:b/>
        </w:rPr>
        <w:t xml:space="preserve"> </w:t>
      </w:r>
      <w:r>
        <w:t xml:space="preserve">Selected-CI determinations and rationale; CI hierarchy; interface register coverage check results; applicable CDRLs.</w:t>
      </w:r>
    </w:p>
    <w:p>
      <w:pPr>
        <w:pStyle w:val="BodyText"/>
      </w:pPr>
      <w:r>
        <w:rPr>
          <w:bCs/>
          <w:b/>
        </w:rPr>
        <w:t xml:space="preserve">Outputs:</w:t>
      </w:r>
      <w:r>
        <w:rPr>
          <w:bCs/>
          <w:b/>
        </w:rPr>
        <w:t xml:space="preserve"> </w:t>
      </w:r>
      <w:r>
        <w:t xml:space="preserve">Concurrence submittal (DI-SESS-82007, DI-SESS-81254 where cited); Acquirer concurrence or direction records; concurred CI list.</w:t>
      </w:r>
    </w:p>
    <w:p>
      <w:pPr>
        <w:pStyle w:val="BodyText"/>
      </w:pPr>
      <w:r>
        <w:rPr>
          <w:bCs/>
          <w:b/>
        </w:rPr>
        <w:t xml:space="preserve">Who does what.</w:t>
      </w:r>
      <w:r>
        <w:t xml:space="preserve"> </w:t>
      </w:r>
      <w:r>
        <w:rPr>
          <w:bCs/>
          <w:b/>
        </w:rPr>
        <w:t xml:space="preserve">CM</w:t>
      </w:r>
      <w:r>
        <w:t xml:space="preserve"> </w:t>
      </w:r>
      <w:r>
        <w:t xml:space="preserve">prepares and submits the CI list with rationale, defends the selection, and tracks Acquirer disposition.</w:t>
      </w:r>
      <w:r>
        <w:t xml:space="preserve"> </w:t>
      </w:r>
      <w:r>
        <w:rPr>
          <w:bCs/>
          <w:b/>
        </w:rPr>
        <w:t xml:space="preserve">Systems Engineering</w:t>
      </w:r>
      <w:r>
        <w:t xml:space="preserve"> </w:t>
      </w:r>
      <w:r>
        <w:t xml:space="preserve">supports technical justification of the proposed set and levels.</w:t>
      </w:r>
      <w:r>
        <w:t xml:space="preserve"> </w:t>
      </w:r>
      <w:r>
        <w:rPr>
          <w:bCs/>
          <w:b/>
        </w:rPr>
        <w:t xml:space="preserve">System Safety</w:t>
      </w:r>
      <w:r>
        <w:t xml:space="preserve"> </w:t>
      </w:r>
      <w:r>
        <w:t xml:space="preserve">and</w:t>
      </w:r>
      <w:r>
        <w:t xml:space="preserve"> </w:t>
      </w:r>
      <w:r>
        <w:rPr>
          <w:bCs/>
          <w:b/>
        </w:rPr>
        <w:t xml:space="preserve">RM&amp;SH</w:t>
      </w:r>
      <w:r>
        <w:t xml:space="preserve"> </w:t>
      </w:r>
      <w:r>
        <w:t xml:space="preserve">support any safety-critical or criticality-based determination.</w:t>
      </w:r>
      <w:r>
        <w:t xml:space="preserve"> </w:t>
      </w:r>
      <w:r>
        <w:rPr>
          <w:bCs/>
          <w:b/>
        </w:rPr>
        <w:t xml:space="preserve">Supplier Requirements Engineering</w:t>
      </w:r>
      <w:r>
        <w:t xml:space="preserve"> </w:t>
      </w:r>
      <w:r>
        <w:t xml:space="preserve">supports questions on procurement level.</w:t>
      </w:r>
      <w:r>
        <w:t xml:space="preserve"> </w:t>
      </w:r>
      <w:r>
        <w:rPr>
          <w:bCs/>
          <w:b/>
        </w:rPr>
        <w:t xml:space="preserve">Systems Engineering</w:t>
      </w:r>
      <w:r>
        <w:t xml:space="preserve"> </w:t>
      </w:r>
      <w:r>
        <w:t xml:space="preserve">and the</w:t>
      </w:r>
      <w:r>
        <w:t xml:space="preserve"> </w:t>
      </w:r>
      <w:r>
        <w:rPr>
          <w:bCs/>
          <w:b/>
        </w:rPr>
        <w:t xml:space="preserve">Responsible Engineer</w:t>
      </w:r>
      <w:r>
        <w:t xml:space="preserve"> </w:t>
      </w:r>
      <w:r>
        <w:t xml:space="preserve">answer the design authority question. Final selection authority for Acquirer-facing CIs rests with the Acquirer. Everything submitted for that decision is CM work.</w:t>
      </w:r>
    </w:p>
    <w:p>
      <w:pPr>
        <w:pStyle w:val="BodyText"/>
      </w:pPr>
      <w:r>
        <w:t xml:space="preserve">Submit the proposed CI list (candidates, selection results, and rationale) to the Acquirer for review and selection concurrence per EIA-649-1A §3.2.1(1). Where contracted, deliver via the applicable CDRLs (e.g., DI-SESS-82007 Configuration Item Documentation Recommendation; DI-SESS-81254 Request for Nomenclature).</w:t>
      </w:r>
    </w:p>
    <w:p>
      <w:pPr>
        <w:pStyle w:val="BodyText"/>
      </w:pPr>
      <w:r>
        <w:t xml:space="preserve">CI selection is iterative. Resubmit for concurrence when the design evolves, when new candidates emerge, or when previously designated CIs are proposed for de-designation. Final selection authority for Acquirer-facing CIs rests with the Acquirer.</w:t>
      </w:r>
    </w:p>
    <w:bookmarkEnd w:id="43"/>
    <w:bookmarkStart w:id="44" w:name="identifier-assignment"/>
    <w:p>
      <w:pPr>
        <w:pStyle w:val="Heading2"/>
      </w:pPr>
      <w:r>
        <w:t xml:space="preserve">5.7 Identifier Assignment</w:t>
      </w:r>
    </w:p>
    <w:p>
      <w:pPr>
        <w:pStyle w:val="FirstParagraph"/>
      </w:pPr>
      <w:r>
        <w:rPr>
          <w:bCs/>
          <w:b/>
        </w:rPr>
        <w:t xml:space="preserve">Inputs:</w:t>
      </w:r>
      <w:r>
        <w:rPr>
          <w:bCs/>
          <w:b/>
        </w:rPr>
        <w:t xml:space="preserve"> </w:t>
      </w:r>
      <w:r>
        <w:t xml:space="preserve">Concurred CI list; design activity CAGE code; program numbering conventions; contract nomenclature and IUID requirements.</w:t>
      </w:r>
    </w:p>
    <w:p>
      <w:pPr>
        <w:pStyle w:val="BodyText"/>
      </w:pPr>
      <w:r>
        <w:rPr>
          <w:bCs/>
          <w:b/>
        </w:rPr>
        <w:t xml:space="preserve">Outputs:</w:t>
      </w:r>
      <w:r>
        <w:rPr>
          <w:bCs/>
          <w:b/>
        </w:rPr>
        <w:t xml:space="preserve"> </w:t>
      </w:r>
      <w:r>
        <w:t xml:space="preserve">Assigned identifiers per CI and documentation (PINs, unit identifiers with their record structure, nomenclature, software/version identifiers, IUID, document identifiers); recorded safety-critical, life-limited and special handling attributes with their assigning authority; identifier register entries; CI index updates.</w:t>
      </w:r>
    </w:p>
    <w:p>
      <w:pPr>
        <w:pStyle w:val="BodyText"/>
      </w:pPr>
      <w:r>
        <w:rPr>
          <w:bCs/>
          <w:b/>
        </w:rPr>
        <w:t xml:space="preserve">Who does what.</w:t>
      </w:r>
      <w:r>
        <w:t xml:space="preserve"> </w:t>
      </w:r>
      <w:r>
        <w:rPr>
          <w:bCs/>
          <w:b/>
        </w:rPr>
        <w:t xml:space="preserve">CM</w:t>
      </w:r>
      <w:r>
        <w:t xml:space="preserve"> </w:t>
      </w:r>
      <w:r>
        <w:t xml:space="preserve">assigns and registers identifiers, reviews and verifies the product unit identifier record structure for each item, and maintains the identifier register and the CI index.</w:t>
      </w:r>
      <w:r>
        <w:t xml:space="preserve"> </w:t>
      </w:r>
      <w:r>
        <w:rPr>
          <w:bCs/>
          <w:b/>
        </w:rPr>
        <w:t xml:space="preserve">RM&amp;SH</w:t>
      </w:r>
      <w:r>
        <w:t xml:space="preserve"> </w:t>
      </w:r>
      <w:r>
        <w:t xml:space="preserve">supplies the reliability and maintainability basis for life limits and inspection intervals.</w:t>
      </w:r>
      <w:r>
        <w:t xml:space="preserve"> </w:t>
      </w:r>
      <w:r>
        <w:rPr>
          <w:bCs/>
          <w:b/>
        </w:rPr>
        <w:t xml:space="preserve">System Safety</w:t>
      </w:r>
      <w:r>
        <w:t xml:space="preserve"> </w:t>
      </w:r>
      <w:r>
        <w:t xml:space="preserve">concurs on safety-critical designations.</w:t>
      </w:r>
      <w:r>
        <w:t xml:space="preserve"> </w:t>
      </w:r>
      <w:r>
        <w:rPr>
          <w:bCs/>
          <w:b/>
        </w:rPr>
        <w:t xml:space="preserve">Logistics</w:t>
      </w:r>
      <w:r>
        <w:t xml:space="preserve"> </w:t>
      </w:r>
      <w:r>
        <w:t xml:space="preserve">identifies unique identification triggers, provisioning implications, and marking driven by the maintenance program.</w:t>
      </w:r>
      <w:r>
        <w:t xml:space="preserve"> </w:t>
      </w:r>
      <w:r>
        <w:rPr>
          <w:bCs/>
          <w:b/>
        </w:rPr>
        <w:t xml:space="preserve">Supplier Requirements Engineering</w:t>
      </w:r>
      <w:r>
        <w:t xml:space="preserve"> </w:t>
      </w:r>
      <w:r>
        <w:t xml:space="preserve">flows the safety-critical, life-limited, and special-handling designations and the marking requirements to suppliers, and confirms which of the three authorship cases applies.</w:t>
      </w:r>
    </w:p>
    <w:p>
      <w:pPr>
        <w:pStyle w:val="BodyText"/>
      </w:pPr>
      <w:r>
        <w:t xml:space="preserve">Assign identifiers to each CI, its component parts, and its configuration documentation:</w:t>
      </w:r>
    </w:p>
    <w:p>
      <w:pPr>
        <w:numPr>
          <w:ilvl w:val="0"/>
          <w:numId w:val="1006"/>
        </w:numPr>
      </w:pPr>
      <w:r>
        <w:t xml:space="preserve">Enterprise identifier: include the design activity CAGE code on all CIs, subordinate parts and assemblies, configuration documentation, software media, and products.</w:t>
      </w:r>
    </w:p>
    <w:p>
      <w:pPr>
        <w:numPr>
          <w:ilvl w:val="0"/>
          <w:numId w:val="1006"/>
        </w:numPr>
      </w:pPr>
      <w:r>
        <w:t xml:space="preserve">Part or Identifying Number (PIN): assign to all CIs, parts, assemblies, units, and sets. The PIN is the same as, or contains, the design document number. When a modification creates a non-interchangeable condition, change the PIN (e.g., new dash number).</w:t>
      </w:r>
    </w:p>
    <w:p>
      <w:pPr>
        <w:numPr>
          <w:ilvl w:val="0"/>
          <w:numId w:val="1006"/>
        </w:numPr>
      </w:pPr>
      <w:r>
        <w:t xml:space="preserve">CI identifier: differs from a PIN; assign to all CIs.</w:t>
      </w:r>
    </w:p>
    <w:p>
      <w:pPr>
        <w:numPr>
          <w:ilvl w:val="0"/>
          <w:numId w:val="1006"/>
        </w:numPr>
      </w:pPr>
      <w:r>
        <w:t xml:space="preserve">Review and verify the application of product unit identifiers associated with each CI and their child components:</w:t>
      </w:r>
    </w:p>
    <w:p>
      <w:pPr>
        <w:numPr>
          <w:ilvl w:val="0"/>
          <w:numId w:val="1006"/>
        </w:numPr>
      </w:pPr>
      <w:r>
        <w:rPr>
          <w:bCs/>
          <w:b/>
        </w:rPr>
        <w:t xml:space="preserve">Product unit identifiers: A product unit identifier is either a serial number or a lot or batch number. Both are unit identifiers. The product unit record-structure test below determines which form applies. It is not determined by hazard severity, by CI status, or by the presence of a criticality designation, and the independence fails in both directions. Going forward, a critical item does not automatically require a serial number: most critical items carry a product unit record, and the test determines which form; some carry none, where the hazard is mitigated by design rather than by a per-unit or per-lot control. Many CIs are correctly lot-controlled and carry no serial number, and an item of catastrophic hazard severity may be legitimately lot-controlled. Lot control is not a lesser form of control; it is the correct form where the approved basis for continued service is conformance to an approved source rather than the history of an individual article. Going backward, an item carrying a product unit identifier is not thereby critical and is not thereby a CI: item unique identification triggers on serially managed status, on mission essential or controlled inventory status, or on unit acquisition cost. For most items it does not examine criticality, so a low-consequence item over the cost threshold is serialized like any other. One designation runs the other way. Critical safety items are identified as DoD serially managed, so that designation does carry serialization with it. That inference runs from the designation to the serial number. It does not run from the serial number back to a hazard. The presence or absence of a product unit identifier is therefore still not evidence for or against criterion (b), and is not used in place of running it. Serial and lot numbers are unique, consecutive, and non-duplicating against a non-changing product-tracking base identifier. Once assigned they are never revised or re-used. A modified unit retains its original unit identifier even though the PIN changes, which preserves traceability to the original configuration.</w:t>
      </w:r>
    </w:p>
    <w:p>
      <w:pPr>
        <w:numPr>
          <w:ilvl w:val="0"/>
          <w:numId w:val="1006"/>
        </w:numPr>
      </w:pPr>
      <w:r>
        <w:rPr>
          <w:bCs/>
          <w:b/>
        </w:rPr>
        <w:t xml:space="preserve">Verify application of product unit identifiers by performing the product unit record-structure test:</w:t>
      </w:r>
      <w:r>
        <w:t xml:space="preserve"> </w:t>
      </w:r>
      <w:r>
        <w:t xml:space="preserve">verify which product unit identifier (serial, lot, batch) or combination of identifiers apply by asking what the approved basis for the item’s continued service depends on. Apply the test to the CI and to each component part; one CI may contain parts of more than one record structure.</w:t>
      </w:r>
    </w:p>
    <w:p>
      <w:pPr>
        <w:numPr>
          <w:ilvl w:val="0"/>
          <w:numId w:val="1006"/>
        </w:numPr>
      </w:pPr>
      <w:r>
        <w:rPr>
          <w:bCs/>
          <w:b/>
        </w:rPr>
        <w:t xml:space="preserve">Per-unit history required: serial number.</w:t>
      </w:r>
      <w:r>
        <w:t xml:space="preserve"> </w:t>
      </w:r>
      <w:r>
        <w:t xml:space="preserve">The approved basis depends on what happened to this individual unit: accumulated cycles or operating hours against an approved life limit, inspection history, or back-to-birth records. Remaining life is a per-unit quantity, so the unit must be individually identifiable.</w:t>
      </w:r>
    </w:p>
    <w:p>
      <w:pPr>
        <w:numPr>
          <w:ilvl w:val="0"/>
          <w:numId w:val="1006"/>
        </w:numPr>
      </w:pPr>
      <w:r>
        <w:rPr>
          <w:bCs/>
          <w:b/>
        </w:rPr>
        <w:t xml:space="preserve">Lot or batch acceptance sufficient: lot or batch number,</w:t>
      </w:r>
      <w:r>
        <w:t xml:space="preserve"> </w:t>
      </w:r>
      <w:r>
        <w:t xml:space="preserve">with a date code where a shelf-life, cure-date, or storage-age limit applies. The approved basis is only that the item was made correctly by an approved source. Serialization adds cost without adding assurance, and is a contract choice rather than a technical requirement.</w:t>
      </w:r>
    </w:p>
    <w:p>
      <w:pPr>
        <w:numPr>
          <w:ilvl w:val="0"/>
          <w:numId w:val="1006"/>
        </w:numPr>
      </w:pPr>
      <w:r>
        <w:rPr>
          <w:bCs/>
          <w:b/>
        </w:rPr>
        <w:t xml:space="preserve">Material and process traceability: lot or batch at heat level, in addition to whichever of the above applies.</w:t>
      </w:r>
      <w:r>
        <w:t xml:space="preserve"> </w:t>
      </w:r>
      <w:r>
        <w:t xml:space="preserve">This runs underneath the unit identifier rather than instead of it: a serialized fracture-critical part still requires its heat and lot chain.</w:t>
      </w:r>
    </w:p>
    <w:p>
      <w:pPr>
        <w:numPr>
          <w:ilvl w:val="0"/>
          <w:numId w:val="1006"/>
        </w:numPr>
      </w:pPr>
      <w:r>
        <w:rPr>
          <w:bCs/>
          <w:b/>
        </w:rPr>
        <w:t xml:space="preserve">Configuration identity only: no physical unit identifier.</w:t>
      </w:r>
      <w:r>
        <w:t xml:space="preserve"> </w:t>
      </w:r>
      <w:r>
        <w:t xml:space="preserve">Some software and complex electronic hardware carry identity on the loadable part number and the baseline (see the software identifiers entry below). Do not record these as serialization obligations; do not assume all items require a product-unit identifier.</w:t>
      </w:r>
    </w:p>
    <w:p>
      <w:pPr>
        <w:numPr>
          <w:ilvl w:val="0"/>
          <w:numId w:val="1006"/>
        </w:numPr>
      </w:pPr>
      <w:r>
        <w:rPr>
          <w:bCs/>
          <w:b/>
        </w:rPr>
        <w:t xml:space="preserve">No item-level record.</w:t>
      </w:r>
      <w:r>
        <w:t xml:space="preserve"> </w:t>
      </w:r>
      <w:r>
        <w:t xml:space="preserve">The item is controlled within its parent CI’s configuration documentation and carries no independent unit identifier.</w:t>
      </w:r>
    </w:p>
    <w:p>
      <w:pPr>
        <w:pStyle w:val="FirstParagraph"/>
      </w:pPr>
      <w:r>
        <w:rPr>
          <w:bCs/>
          <w:b/>
        </w:rPr>
        <w:t xml:space="preserve">Two clocks, one phrase.</w:t>
      </w:r>
      <w:r>
        <w:t xml:space="preserve"> </w:t>
      </w:r>
      <w:r>
        <w:t xml:space="preserve">An item life-limited by cycles or operating hours is serialized, because remaining life is a per-unit quantity. An item life-limited by shelf life, cure date, or storage age is lot-controlled with a date code. The limit attaches to the manufacturing lot, not to the individual unit. The same words, life limited, produce opposite record structures depending on which clock is running. Verify which clock applies to the item.</w:t>
      </w:r>
    </w:p>
    <w:p>
      <w:pPr>
        <w:numPr>
          <w:ilvl w:val="0"/>
          <w:numId w:val="1007"/>
        </w:numPr>
      </w:pPr>
      <w:r>
        <w:rPr>
          <w:bCs/>
          <w:b/>
        </w:rPr>
        <w:t xml:space="preserve">Independent product unit recording drivers:</w:t>
      </w:r>
      <w:r>
        <w:t xml:space="preserve"> </w:t>
      </w:r>
      <w:r>
        <w:t xml:space="preserve">several requirements impose a product unit record structure regardless of criticality or CI status, and are checked separately for every item. Item Unique Identification triggers on serially managed status, on mission essential or controlled inventory status, or on unit acquisition cost. For most items it does not trigger on criticality, so an item with no criticality designation can still be serialized by it.</w:t>
      </w:r>
      <w:r>
        <w:t xml:space="preserve"> </w:t>
      </w:r>
      <w:r>
        <w:rPr>
          <w:bCs/>
          <w:b/>
        </w:rPr>
        <w:t xml:space="preserve">Critical safety items are the exception.</w:t>
      </w:r>
      <w:r>
        <w:t xml:space="preserve"> </w:t>
      </w:r>
      <w:r>
        <w:t xml:space="preserve">Aviation and ship critical safety items are identified as DoD serially managed items, and item unique identification then applies regardless of unit cost. Confirm the unique identification clause is in the contract, because contracts and drawings written before this rule took effect may carry no marking requirement. Check item unique identification separately for every other DoD item. Airworthiness limitation marking triggers where a replacement time, inspection interval, or related procedure appears in the airworthiness limitations section or the instructions for continued airworthiness; work from what the limitations section actually contains rather than from a criticality label. Commercial grade dedication accepts a commercial item against identified critical characteristics on a lot basis. Counterfeit avoidance drives traceability to the original component manufacturer rather than to product unit identity, and is frequently mistaken for a serialization requirement.</w:t>
      </w:r>
    </w:p>
    <w:p>
      <w:pPr>
        <w:numPr>
          <w:ilvl w:val="0"/>
          <w:numId w:val="1007"/>
        </w:numPr>
      </w:pPr>
      <w:r>
        <w:rPr>
          <w:bCs/>
          <w:b/>
        </w:rPr>
        <w:t xml:space="preserve">Verify application of product unit identifiers on the Design:</w:t>
      </w:r>
      <w:r>
        <w:t xml:space="preserve"> </w:t>
      </w:r>
      <w:r>
        <w:t xml:space="preserve">items requiring serialization recording, lot/batch recording, special handling, or subject to life limits. Application of these requirements on the design follows one of three cases, and the applicable case is stated in the statement of work for any procured item:</w:t>
      </w:r>
      <w:r>
        <w:t xml:space="preserve"> </w:t>
      </w:r>
      <w:r>
        <w:rPr>
          <w:bCs/>
          <w:b/>
        </w:rPr>
        <w:t xml:space="preserve">company-assigned</w:t>
      </w:r>
      <w:r>
        <w:t xml:space="preserve">, where the company holds design authority;</w:t>
      </w:r>
      <w:r>
        <w:t xml:space="preserve"> </w:t>
      </w:r>
      <w:r>
        <w:rPr>
          <w:bCs/>
          <w:b/>
        </w:rPr>
        <w:t xml:space="preserve">supplier-proposed and company-approved</w:t>
      </w:r>
      <w:r>
        <w:t xml:space="preserve">, where a supplier holds design authority at its level; and</w:t>
      </w:r>
      <w:r>
        <w:t xml:space="preserve"> </w:t>
      </w:r>
      <w:r>
        <w:rPr>
          <w:bCs/>
          <w:b/>
        </w:rPr>
        <w:t xml:space="preserve">externally assigned</w:t>
      </w:r>
      <w:r>
        <w:t xml:space="preserve">, where a customer or regulatory authority assigns the designation. In that case both parties record and flow it, neither proposes nor approves it, and a dispute is raised with the assigning authority. Where the applicable case is unstated, each party waits for the other. These requirements are also carried in the CI index, together with the designation type and its assigning authority where externally assigned.</w:t>
      </w:r>
    </w:p>
    <w:p>
      <w:pPr>
        <w:numPr>
          <w:ilvl w:val="0"/>
          <w:numId w:val="1007"/>
        </w:numPr>
      </w:pPr>
      <w:r>
        <w:t xml:space="preserve">Software identifiers: assign each CSCI a unique identifier and a version identifier for each version. Where embedded code and its hardware device are controlled via a single altered-item drawing, provide a part number representing the device with the embedded code; label the software medium with the Supplier code/name and mark it separately on the device.</w:t>
      </w:r>
    </w:p>
    <w:p>
      <w:pPr>
        <w:numPr>
          <w:ilvl w:val="0"/>
          <w:numId w:val="1007"/>
        </w:numPr>
      </w:pPr>
      <w:r>
        <w:t xml:space="preserve">IUID: apply Item Unique Identification marking per MIL-STD-130 where the contract requires it. The triggers are DoD serially managed status, mission essential or controlled inventory status, and unit acquisition cost. Critical safety items are identified as DoD serially managed, so a critical safety item carries unique identification regardless of its unit cost. Record the resulting product unit identifier in the CI index alongside the designation and its assigning authority. Where an item is too small to mark, the unique item identifier is carried on the unit packaging.</w:t>
      </w:r>
    </w:p>
    <w:p>
      <w:pPr>
        <w:numPr>
          <w:ilvl w:val="0"/>
          <w:numId w:val="1007"/>
        </w:numPr>
      </w:pPr>
      <w:r>
        <w:t xml:space="preserve">Document identifiers: uniquely identify each item of product configuration information so it can be referenced precisely and retrieved.</w:t>
      </w:r>
    </w:p>
    <w:bookmarkEnd w:id="44"/>
    <w:bookmarkStart w:id="45" w:name="Xa044dfe08407f65b74f562b1bbbb5ac3a2861f2"/>
    <w:p>
      <w:pPr>
        <w:pStyle w:val="Heading2"/>
      </w:pPr>
      <w:r>
        <w:t xml:space="preserve">5.8 Configuration Documentation Determination</w:t>
      </w:r>
    </w:p>
    <w:p>
      <w:pPr>
        <w:pStyle w:val="FirstParagraph"/>
      </w:pPr>
      <w:r>
        <w:rPr>
          <w:bCs/>
          <w:b/>
        </w:rPr>
        <w:t xml:space="preserve">Inputs:</w:t>
      </w:r>
      <w:r>
        <w:rPr>
          <w:bCs/>
          <w:b/>
        </w:rPr>
        <w:t xml:space="preserve"> </w:t>
      </w:r>
      <w:r>
        <w:t xml:space="preserve">Concurred CI list with control-level designations; interface register, for incorporation into the configuration documentation; contract documentation requirements; item maturity and ownership information.</w:t>
      </w:r>
    </w:p>
    <w:p>
      <w:pPr>
        <w:pStyle w:val="BodyText"/>
      </w:pPr>
      <w:r>
        <w:rPr>
          <w:bCs/>
          <w:b/>
        </w:rPr>
        <w:t xml:space="preserve">Outputs:</w:t>
      </w:r>
      <w:r>
        <w:rPr>
          <w:bCs/>
          <w:b/>
        </w:rPr>
        <w:t xml:space="preserve"> </w:t>
      </w:r>
      <w:r>
        <w:t xml:space="preserve">Documentation requirements determination per CI; released configuration documentation (FCD/ACD/PCD elements) under configuration control, with interface information incorporated.</w:t>
      </w:r>
    </w:p>
    <w:p>
      <w:pPr>
        <w:pStyle w:val="BodyText"/>
      </w:pPr>
      <w:r>
        <w:rPr>
          <w:bCs/>
          <w:b/>
        </w:rPr>
        <w:t xml:space="preserve">Who does what. CM determines the configuration documentation required for each CI</w:t>
      </w:r>
      <w:r>
        <w:t xml:space="preserve">, assigns document identifiers, and places released documentation under control.</w:t>
      </w:r>
      <w:r>
        <w:t xml:space="preserve"> </w:t>
      </w:r>
      <w:r>
        <w:rPr>
          <w:bCs/>
          <w:b/>
        </w:rPr>
        <w:t xml:space="preserve">Systems Engineering</w:t>
      </w:r>
      <w:r>
        <w:t xml:space="preserve"> </w:t>
      </w:r>
      <w:r>
        <w:t xml:space="preserve">advises on specification type and confirms the technical content is adequate for the control level chosen.</w:t>
      </w:r>
      <w:r>
        <w:t xml:space="preserve"> </w:t>
      </w:r>
      <w:r>
        <w:rPr>
          <w:bCs/>
          <w:b/>
        </w:rPr>
        <w:t xml:space="preserve">Logistics</w:t>
      </w:r>
      <w:r>
        <w:t xml:space="preserve"> </w:t>
      </w:r>
      <w:r>
        <w:t xml:space="preserve">identifies technical manual and support documentation requirements.</w:t>
      </w:r>
      <w:r>
        <w:t xml:space="preserve"> </w:t>
      </w:r>
      <w:r>
        <w:rPr>
          <w:bCs/>
          <w:b/>
        </w:rPr>
        <w:t xml:space="preserve">Equipment Managers and Responsible Engineers</w:t>
      </w:r>
      <w:r>
        <w:t xml:space="preserve"> </w:t>
      </w:r>
      <w:r>
        <w:t xml:space="preserve">confirm the documentation set is sufficient to define and reprocure their items.</w:t>
      </w:r>
    </w:p>
    <w:p>
      <w:pPr>
        <w:pStyle w:val="BodyText"/>
      </w:pPr>
      <w:r>
        <w:t xml:space="preserve">For each CI, determine the configuration documentation that defines its performance, functional, and physical attributes, including internal and external interfaces. Documentation type depends on item maturity, ownership, and the control level: performance specifications at Acquirer-controlled levels on performance-based contracts; detail specifications, drawings, and models where design disclosure is required; commercial item descriptions or form-fit-function data for privately developed items.</w:t>
      </w:r>
    </w:p>
    <w:p>
      <w:pPr>
        <w:pStyle w:val="BodyText"/>
      </w:pPr>
      <w:r>
        <w:t xml:space="preserve">Incorporate the interface information identified in the interface register into the functional, allocated, and product configuration documentation (FCD/ACD/PCD) as each is developed, either in the applicable specifications directly or by reference to interface specifications or ICDs. Incorporating interface information is mandatory for safety. Where it is not performed, disposition it through the safety disposition gate defined in the CM planning and management process.</w:t>
      </w:r>
    </w:p>
    <w:p>
      <w:pPr>
        <w:pStyle w:val="BodyText"/>
      </w:pPr>
      <w:r>
        <w:t xml:space="preserve">Place each item of configuration documentation under configuration control upon release through the engineering release system. This includes item, material, and process specifications, software specifications, and Software Version Descriptions (SVDs).</w:t>
      </w:r>
    </w:p>
    <w:bookmarkEnd w:id="45"/>
    <w:bookmarkStart w:id="46" w:name="baseline-establishment"/>
    <w:p>
      <w:pPr>
        <w:pStyle w:val="Heading2"/>
      </w:pPr>
      <w:r>
        <w:t xml:space="preserve">5.9 Baseline Establishment</w:t>
      </w:r>
    </w:p>
    <w:p>
      <w:pPr>
        <w:pStyle w:val="FirstParagraph"/>
      </w:pPr>
      <w:r>
        <w:rPr>
          <w:bCs/>
          <w:b/>
        </w:rPr>
        <w:t xml:space="preserve">Inputs:</w:t>
      </w:r>
      <w:r>
        <w:rPr>
          <w:bCs/>
          <w:b/>
        </w:rPr>
        <w:t xml:space="preserve"> </w:t>
      </w:r>
      <w:r>
        <w:t xml:space="preserve">Released configuration documentation; technical review results; approved changes; interface documentation.</w:t>
      </w:r>
    </w:p>
    <w:p>
      <w:pPr>
        <w:pStyle w:val="BodyText"/>
      </w:pPr>
      <w:r>
        <w:rPr>
          <w:bCs/>
          <w:b/>
        </w:rPr>
        <w:t xml:space="preserve">Outputs:</w:t>
      </w:r>
      <w:r>
        <w:rPr>
          <w:bCs/>
          <w:b/>
        </w:rPr>
        <w:t xml:space="preserve"> </w:t>
      </w:r>
      <w:r>
        <w:t xml:space="preserve">Established FBL, ABL, and PBL per CI with baseline records; baselined interface requirements under configuration control.</w:t>
      </w:r>
    </w:p>
    <w:p>
      <w:pPr>
        <w:pStyle w:val="BodyText"/>
      </w:pPr>
      <w:r>
        <w:rPr>
          <w:bCs/>
          <w:b/>
        </w:rPr>
        <w:t xml:space="preserve">Who does what. CM establishes and records the baselines, and keeps their content aligned and current.</w:t>
      </w:r>
      <w:r>
        <w:t xml:space="preserve"> </w:t>
      </w:r>
      <w:r>
        <w:t xml:space="preserve">That is an active duty rather than a filing task. CM confirms that the documentation actually in each baseline matches the CI structure, that approved changes have been incorporated, and that interface documentation sits at the right baseline. Where content has drifted, CM raises it and drives it back into alignment. CM controls changes to the baselines thereafter.</w:t>
      </w:r>
      <w:r>
        <w:t xml:space="preserve"> </w:t>
      </w:r>
      <w:r>
        <w:rPr>
          <w:bCs/>
          <w:b/>
        </w:rPr>
        <w:t xml:space="preserve">Systems Engineering</w:t>
      </w:r>
      <w:r>
        <w:t xml:space="preserve"> </w:t>
      </w:r>
      <w:r>
        <w:t xml:space="preserve">confirms the technical content is complete and consistent at each baseline.</w:t>
      </w:r>
      <w:r>
        <w:t xml:space="preserve"> </w:t>
      </w:r>
      <w:r>
        <w:rPr>
          <w:bCs/>
          <w:b/>
        </w:rPr>
        <w:t xml:space="preserve">System Safety</w:t>
      </w:r>
      <w:r>
        <w:t xml:space="preserve"> </w:t>
      </w:r>
      <w:r>
        <w:t xml:space="preserve">confirms hazard risk controls are captured in the baselined documentation.</w:t>
      </w:r>
      <w:r>
        <w:t xml:space="preserve"> </w:t>
      </w:r>
      <w:r>
        <w:rPr>
          <w:bCs/>
          <w:b/>
        </w:rPr>
        <w:t xml:space="preserve">CM</w:t>
      </w:r>
      <w:r>
        <w:t xml:space="preserve"> </w:t>
      </w:r>
      <w:r>
        <w:t xml:space="preserve">confirms the supplier deliverables supporting the baseline were received and logged. The</w:t>
      </w:r>
      <w:r>
        <w:t xml:space="preserve"> </w:t>
      </w:r>
      <w:r>
        <w:rPr>
          <w:bCs/>
          <w:b/>
        </w:rPr>
        <w:t xml:space="preserve">reviewing function</w:t>
      </w:r>
      <w:r>
        <w:t xml:space="preserve"> </w:t>
      </w:r>
      <w:r>
        <w:t xml:space="preserve">confirms they were accepted.</w:t>
      </w:r>
    </w:p>
    <w:p>
      <w:pPr>
        <w:pStyle w:val="BodyText"/>
      </w:pPr>
      <w:r>
        <w:t xml:space="preserve">Establish and manage the functional, allocated, and product baselines at the appropriate points in each CI’s lifecycle:</w:t>
      </w:r>
    </w:p>
    <w:p>
      <w:pPr>
        <w:numPr>
          <w:ilvl w:val="0"/>
          <w:numId w:val="1008"/>
        </w:numPr>
      </w:pPr>
      <w:r>
        <w:t xml:space="preserve">Functional baseline (FBL): system-level performance requirements and verification; typically established at/after the system functional review.</w:t>
      </w:r>
    </w:p>
    <w:p>
      <w:pPr>
        <w:numPr>
          <w:ilvl w:val="0"/>
          <w:numId w:val="1008"/>
        </w:numPr>
      </w:pPr>
      <w:r>
        <w:t xml:space="preserve">Allocated baseline (ABL): performance requirements allocated to each CI; typically established at/after preliminary design review for the CI.</w:t>
      </w:r>
    </w:p>
    <w:p>
      <w:pPr>
        <w:numPr>
          <w:ilvl w:val="0"/>
          <w:numId w:val="1008"/>
        </w:numPr>
      </w:pPr>
      <w:r>
        <w:t xml:space="preserve">Product baseline (PBL): the complete released design documentation describing the CI’s physical and functional attributes and acceptance test requirements; initially established at completion of CDR and formalized no later than first production unit delivery or physical configuration audit completion. For a CI designated for audit, the physical configuration audit is the formalizing event, and the Acquirer formalizes the baseline on its successful completion and approval of the product specification. For a CI not designated for audit, the product baseline is formalized no later than first production unit delivery. The baseline established at CDR is the initial product baseline. The baseline established by the formalizing event is the formalized product baseline. Name both, because a CI carries its initial product baseline until its formalizing event arrives.</w:t>
      </w:r>
    </w:p>
    <w:p>
      <w:pPr>
        <w:pStyle w:val="FirstParagraph"/>
      </w:pPr>
      <w:r>
        <w:t xml:space="preserve">A baseline plus its approved changes is the current approved configuration. Interface control documentation is part of the functional and/or allocated baselines to the extent referenced in the applicable specifications. Maintain configuration control of baselined interface requirements, which is mandatory for safety. Changes to baselined interfaces are processed through formal change action.</w:t>
      </w:r>
    </w:p>
    <w:bookmarkEnd w:id="46"/>
    <w:bookmarkStart w:id="47" w:name="maintenance-and-iteration"/>
    <w:p>
      <w:pPr>
        <w:pStyle w:val="Heading2"/>
      </w:pPr>
      <w:r>
        <w:t xml:space="preserve">5.10 Maintenance and Iteration</w:t>
      </w:r>
    </w:p>
    <w:p>
      <w:pPr>
        <w:pStyle w:val="FirstParagraph"/>
      </w:pPr>
      <w:r>
        <w:rPr>
          <w:bCs/>
          <w:b/>
        </w:rPr>
        <w:t xml:space="preserve">Inputs:</w:t>
      </w:r>
      <w:r>
        <w:rPr>
          <w:bCs/>
          <w:b/>
        </w:rPr>
        <w:t xml:space="preserve"> </w:t>
      </w:r>
      <w:r>
        <w:t xml:space="preserve">Trigger events (listed below); current CI index, interface register, and baselines; CSA records.</w:t>
      </w:r>
    </w:p>
    <w:p>
      <w:pPr>
        <w:pStyle w:val="BodyText"/>
      </w:pPr>
      <w:r>
        <w:rPr>
          <w:bCs/>
          <w:b/>
        </w:rPr>
        <w:t xml:space="preserve">Outputs:</w:t>
      </w:r>
      <w:r>
        <w:rPr>
          <w:bCs/>
          <w:b/>
        </w:rPr>
        <w:t xml:space="preserve"> </w:t>
      </w:r>
      <w:r>
        <w:t xml:space="preserve">Updated CI index, interface register, selection assessments, and concurrence submittals; CSA records of all designations, identifier assignments, baseline establishments, and changes.</w:t>
      </w:r>
    </w:p>
    <w:p>
      <w:pPr>
        <w:pStyle w:val="BodyText"/>
      </w:pPr>
      <w:r>
        <w:rPr>
          <w:bCs/>
          <w:b/>
        </w:rPr>
        <w:t xml:space="preserve">Who does what.</w:t>
      </w:r>
      <w:r>
        <w:t xml:space="preserve"> </w:t>
      </w:r>
      <w:r>
        <w:rPr>
          <w:bCs/>
          <w:b/>
        </w:rPr>
        <w:t xml:space="preserve">CM</w:t>
      </w:r>
      <w:r>
        <w:t xml:space="preserve"> </w:t>
      </w:r>
      <w:r>
        <w:t xml:space="preserve">monitors the triggers, re-runs identification, and records the outcome whether or not the CI set changes. CM does not wait to be told. CM reviews revised specifications, revised architecture, revised hazard and criticality analyses, and new procurement statements of work as they are issued.</w:t>
      </w:r>
      <w:r>
        <w:t xml:space="preserve"> </w:t>
      </w:r>
      <w:r>
        <w:rPr>
          <w:bCs/>
          <w:b/>
        </w:rPr>
        <w:t xml:space="preserve">Systems Engineering</w:t>
      </w:r>
      <w:r>
        <w:t xml:space="preserve"> </w:t>
      </w:r>
      <w:r>
        <w:t xml:space="preserve">notifies CM of design and architecture change.</w:t>
      </w:r>
      <w:r>
        <w:t xml:space="preserve"> </w:t>
      </w:r>
      <w:r>
        <w:rPr>
          <w:bCs/>
          <w:b/>
        </w:rPr>
        <w:t xml:space="preserve">System Safety</w:t>
      </w:r>
      <w:r>
        <w:t xml:space="preserve"> </w:t>
      </w:r>
      <w:r>
        <w:t xml:space="preserve">and</w:t>
      </w:r>
      <w:r>
        <w:t xml:space="preserve"> </w:t>
      </w:r>
      <w:r>
        <w:rPr>
          <w:bCs/>
          <w:b/>
        </w:rPr>
        <w:t xml:space="preserve">SMS</w:t>
      </w:r>
      <w:r>
        <w:t xml:space="preserve"> </w:t>
      </w:r>
      <w:r>
        <w:t xml:space="preserve">notify CM of hazard analysis revision.</w:t>
      </w:r>
      <w:r>
        <w:t xml:space="preserve"> </w:t>
      </w:r>
      <w:r>
        <w:rPr>
          <w:bCs/>
          <w:b/>
        </w:rPr>
        <w:t xml:space="preserve">RM&amp;SH</w:t>
      </w:r>
      <w:r>
        <w:t xml:space="preserve"> </w:t>
      </w:r>
      <w:r>
        <w:t xml:space="preserve">notifies CM where a criticality analysis or life limit changes.</w:t>
      </w:r>
      <w:r>
        <w:t xml:space="preserve"> </w:t>
      </w:r>
      <w:r>
        <w:rPr>
          <w:bCs/>
          <w:b/>
        </w:rPr>
        <w:t xml:space="preserve">Logistics</w:t>
      </w:r>
      <w:r>
        <w:t xml:space="preserve"> </w:t>
      </w:r>
      <w:r>
        <w:t xml:space="preserve">notifies CM of supportability strategy change.</w:t>
      </w:r>
      <w:r>
        <w:t xml:space="preserve"> </w:t>
      </w:r>
      <w:r>
        <w:rPr>
          <w:bCs/>
          <w:b/>
        </w:rPr>
        <w:t xml:space="preserve">Supplier Requirements Engineering</w:t>
      </w:r>
      <w:r>
        <w:t xml:space="preserve"> </w:t>
      </w:r>
      <w:r>
        <w:t xml:space="preserve">notifies CM of source and sub-tier supplier change. Any function may raise a trigger.</w:t>
      </w:r>
      <w:r>
        <w:t xml:space="preserve"> </w:t>
      </w:r>
      <w:r>
        <w:rPr>
          <w:bCs/>
          <w:b/>
        </w:rPr>
        <w:t xml:space="preserve">CM is accountable for acting on it, and for finding the ones nobody raised.</w:t>
      </w:r>
    </w:p>
    <w:p>
      <w:pPr>
        <w:pStyle w:val="BodyText"/>
      </w:pPr>
      <w:r>
        <w:t xml:space="preserve">Maintain the configuration identification throughout the lifecycle. Re-evaluate CI selection and structure upon any of the following triggers:</w:t>
      </w:r>
    </w:p>
    <w:p>
      <w:pPr>
        <w:numPr>
          <w:ilvl w:val="0"/>
          <w:numId w:val="1009"/>
        </w:numPr>
      </w:pPr>
      <w:r>
        <w:t xml:space="preserve">Design evolution introducing new items, new end-use functions, or new interfaces</w:t>
      </w:r>
    </w:p>
    <w:p>
      <w:pPr>
        <w:numPr>
          <w:ilvl w:val="0"/>
          <w:numId w:val="1009"/>
        </w:numPr>
      </w:pPr>
      <w:r>
        <w:t xml:space="preserve">Changes to the MBSE architecture decomposition (the CI structure is re-aligned to the model)</w:t>
      </w:r>
    </w:p>
    <w:p>
      <w:pPr>
        <w:numPr>
          <w:ilvl w:val="0"/>
          <w:numId w:val="1009"/>
        </w:numPr>
      </w:pPr>
      <w:r>
        <w:t xml:space="preserve">New or revised hazard analyses identifying safety-critical items (safety management system)</w:t>
      </w:r>
    </w:p>
    <w:p>
      <w:pPr>
        <w:numPr>
          <w:ilvl w:val="0"/>
          <w:numId w:val="1009"/>
        </w:numPr>
      </w:pPr>
      <w:r>
        <w:t xml:space="preserve">Changes to supportability strategy, provisioning, or separate procurement decisions</w:t>
      </w:r>
    </w:p>
    <w:p>
      <w:pPr>
        <w:numPr>
          <w:ilvl w:val="0"/>
          <w:numId w:val="1009"/>
        </w:numPr>
      </w:pPr>
      <w:r>
        <w:t xml:space="preserve">Contract changes, including Acquirer direction designating or de-designating CIs</w:t>
      </w:r>
    </w:p>
    <w:p>
      <w:pPr>
        <w:numPr>
          <w:ilvl w:val="0"/>
          <w:numId w:val="1009"/>
        </w:numPr>
      </w:pPr>
      <w:r>
        <w:t xml:space="preserve">Non-interchangeable modifications requiring PIN change and identifier updates</w:t>
      </w:r>
    </w:p>
    <w:p>
      <w:pPr>
        <w:pStyle w:val="FirstParagraph"/>
      </w:pPr>
      <w:r>
        <w:t xml:space="preserve">Record all CI designations, identifier assignments, baseline establishments, and changes in the Configuration Status Accounting (CSA) system.</w:t>
      </w:r>
    </w:p>
    <w:bookmarkEnd w:id="47"/>
    <w:bookmarkEnd w:id="48"/>
    <w:bookmarkStart w:id="49" w:name="records-and-outputs"/>
    <w:p>
      <w:pPr>
        <w:pStyle w:val="Heading1"/>
      </w:pPr>
      <w:r>
        <w:t xml:space="preserve">6. Records and 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Record / Output</w:t>
            </w:r>
          </w:p>
        </w:tc>
        <w:tc>
          <w:tcPr/>
          <w:p>
            <w:pPr>
              <w:pStyle w:val="Compact"/>
              <w:jc w:val="left"/>
            </w:pPr>
            <w:r>
              <w:rPr>
                <w:bCs/>
                <w:b/>
              </w:rPr>
              <w:t xml:space="preserve">Content and Retention</w:t>
            </w:r>
          </w:p>
        </w:tc>
      </w:tr>
      <w:tr>
        <w:tc>
          <w:tcPr/>
          <w:p>
            <w:pPr>
              <w:pStyle w:val="Compact"/>
              <w:jc w:val="left"/>
            </w:pPr>
            <w:r>
              <w:t xml:space="preserve">CI Index (CI list)</w:t>
            </w:r>
          </w:p>
        </w:tc>
        <w:tc>
          <w:tcPr/>
          <w:p>
            <w:pPr>
              <w:pStyle w:val="Compact"/>
              <w:jc w:val="left"/>
            </w:pPr>
            <w:r>
              <w:t xml:space="preserve">All designated CIs with hierarchy (parent/child), owning design activity, CAGE, PIN or the PIN variant set where one CI carries multiple PINs, nomenclature, controlling baseline status, and Acquirer/Supplier control designation. Maintained current in the CSA system for the program life.</w:t>
            </w:r>
          </w:p>
        </w:tc>
      </w:tr>
      <w:tr>
        <w:tc>
          <w:tcPr/>
          <w:p>
            <w:pPr>
              <w:pStyle w:val="Compact"/>
              <w:jc w:val="left"/>
            </w:pPr>
            <w:r>
              <w:t xml:space="preserve">CI Selection Rationale Records</w:t>
            </w:r>
          </w:p>
        </w:tc>
        <w:tc>
          <w:tcPr/>
          <w:p>
            <w:pPr>
              <w:pStyle w:val="Compact"/>
              <w:jc w:val="left"/>
            </w:pPr>
            <w:r>
              <w:t xml:space="preserve">Completed selection criteria assessments for every candidate, including items not designated as CIs, with rationale. Retained for the program life.</w:t>
            </w:r>
          </w:p>
        </w:tc>
      </w:tr>
      <w:tr>
        <w:tc>
          <w:tcPr/>
          <w:p>
            <w:pPr>
              <w:pStyle w:val="Compact"/>
              <w:jc w:val="left"/>
            </w:pPr>
            <w:r>
              <w:t xml:space="preserve">Acquirer Concurrence Records</w:t>
            </w:r>
          </w:p>
        </w:tc>
        <w:tc>
          <w:tcPr/>
          <w:p>
            <w:pPr>
              <w:pStyle w:val="Compact"/>
              <w:jc w:val="left"/>
            </w:pPr>
            <w:r>
              <w:t xml:space="preserve">Submittals and Acquirer concurrence/direction on CI selection, including CDRL deliveries.</w:t>
            </w:r>
          </w:p>
        </w:tc>
      </w:tr>
      <w:tr>
        <w:tc>
          <w:tcPr/>
          <w:p>
            <w:pPr>
              <w:pStyle w:val="Compact"/>
              <w:jc w:val="left"/>
            </w:pPr>
            <w:r>
              <w:t xml:space="preserve">Interface Register</w:t>
            </w:r>
          </w:p>
        </w:tc>
        <w:tc>
          <w:tcPr/>
          <w:p>
            <w:pPr>
              <w:pStyle w:val="Compact"/>
              <w:jc w:val="left"/>
            </w:pPr>
            <w:r>
              <w:t xml:space="preserve">One row per CI-structure boundary: interface ID, interfacing CIs, defining documentation and revision, controlling baseline, control authority (CCB/ICWG), or signed no-interface determination. Maintained current in the CSA system. Evidence that interface requirement identification was performed.</w:t>
            </w:r>
          </w:p>
        </w:tc>
      </w:tr>
      <w:tr>
        <w:tc>
          <w:tcPr/>
          <w:p>
            <w:pPr>
              <w:pStyle w:val="Compact"/>
              <w:jc w:val="left"/>
            </w:pPr>
            <w:r>
              <w:t xml:space="preserve">Identifier Registers</w:t>
            </w:r>
          </w:p>
        </w:tc>
        <w:tc>
          <w:tcPr/>
          <w:p>
            <w:pPr>
              <w:pStyle w:val="Compact"/>
              <w:jc w:val="left"/>
            </w:pPr>
            <w:r>
              <w:t xml:space="preserve">PIN assignment logs, serial/lot/batch number requirements against product-tracking base identifiers, software version identifier records, nomenclature assignments, document identifier registers.</w:t>
            </w:r>
          </w:p>
        </w:tc>
      </w:tr>
      <w:tr>
        <w:tc>
          <w:tcPr/>
          <w:p>
            <w:pPr>
              <w:pStyle w:val="Compact"/>
              <w:jc w:val="left"/>
            </w:pPr>
            <w:r>
              <w:t xml:space="preserve">Baseline Records</w:t>
            </w:r>
          </w:p>
        </w:tc>
        <w:tc>
          <w:tcPr/>
          <w:p>
            <w:pPr>
              <w:pStyle w:val="Compact"/>
              <w:jc w:val="left"/>
            </w:pPr>
            <w:r>
              <w:t xml:space="preserve">Baseline definition documents/indices for FBL, ABL, PBL per CI, with approved change status.</w:t>
            </w:r>
          </w:p>
        </w:tc>
      </w:tr>
    </w:tbl>
    <w:bookmarkEnd w:id="49"/>
    <w:bookmarkStart w:id="50" w:name="Xdad9e4ff5fa36829a2d5b8df60ea21dffd0079a"/>
    <w:p>
      <w:pPr>
        <w:pStyle w:val="Heading1"/>
      </w:pPr>
      <w:r>
        <w:t xml:space="preserve">Appendix A: CI Selection Criteria Checklist</w:t>
      </w:r>
    </w:p>
    <w:p>
      <w:pPr>
        <w:pStyle w:val="FirstParagraph"/>
      </w:pPr>
      <w:r>
        <w:t xml:space="preserve">Complete one checklist per candidate item. Attach to the CI Selection Rationale Record.</w:t>
      </w:r>
    </w:p>
    <w:p>
      <w:pPr>
        <w:pStyle w:val="BodyText"/>
      </w:pPr>
      <w:r>
        <w:t xml:space="preserve">Candidate item: ____________________ PIN/Model ref: ____________________ Assessor/date: ____________________</w:t>
      </w:r>
    </w:p>
    <w:p>
      <w:pPr>
        <w:pStyle w:val="BodyText"/>
      </w:pPr>
      <w:r>
        <w:rPr>
          <w:bCs/>
          <w:b/>
        </w:rPr>
        <w:t xml:space="preserve">Step 1: Qualifying Gates</w:t>
      </w:r>
    </w:p>
    <w:p>
      <w:pPr>
        <w:pStyle w:val="BodyText"/>
      </w:pPr>
      <w:r>
        <w:t xml:space="preserve">All three gates must be passed before the criteria screen is run.</w:t>
      </w:r>
    </w:p>
    <w:p>
      <w:pPr>
        <w:pStyle w:val="BodyText"/>
      </w:pPr>
      <w:r>
        <w:t xml:space="preserve">Gate 1. Is the candidate an item, rather than a function, task, failure mode, feature, or location? YES ☐ NO ☐. If NO, the candidate cannot be designated as a CI. It is a signal that items worth screening exist nearby. Ask for the items that implement it and screen those. Stop.</w:t>
      </w:r>
    </w:p>
    <w:p>
      <w:pPr>
        <w:pStyle w:val="BodyText"/>
      </w:pPr>
      <w:r>
        <w:t xml:space="preserve">Gate 2. Does the item satisfy a system end-use function? YES ☐ NO ☐. If NO, the item is not a CI candidate. Record rationale and identify the parent CI under which the item is controlled. Stop.</w:t>
      </w:r>
    </w:p>
    <w:p>
      <w:pPr>
        <w:pStyle w:val="BodyText"/>
      </w:pPr>
      <w:r>
        <w:t xml:space="preserve">Gate 3. Is the item a child of a commercial-off-the-shelf (COTS), catalogue, or vendor item, and procured inseparable from that higher parent item? YES ☐ NO ☐. If YES, screen the procured parent item instead. Do not decompose a supplier-designed item to run this screen, per the same CI or separate CIs decision aid of this process. Record the parent and stop.</w:t>
      </w:r>
    </w:p>
    <w:p>
      <w:pPr>
        <w:pStyle w:val="BodyText"/>
      </w:pPr>
      <w:r>
        <w:rPr>
          <w:bCs/>
          <w:b/>
        </w:rPr>
        <w:t xml:space="preserve">Step 2: Criteria Screen (EIA-649-1A §3.2.1(2)). One or more YES answers requires CI designation and submittal for Acquirer concurrence.</w:t>
      </w:r>
    </w:p>
    <w:p>
      <w:pPr>
        <w:pStyle w:val="BodyText"/>
      </w:pPr>
      <w:r>
        <w:t xml:space="preserve">Answer every row. Record a rationale and a document reference against each criterion that carries one, whether the answer is yes or no. List every criterion that applies, because the designation survives if one underlying fact later changes.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Ref</w:t>
            </w:r>
          </w:p>
        </w:tc>
        <w:tc>
          <w:tcPr/>
          <w:p>
            <w:pPr>
              <w:pStyle w:val="Compact"/>
              <w:jc w:val="left"/>
            </w:pPr>
            <w:r>
              <w:rPr>
                <w:bCs/>
                <w:b/>
              </w:rPr>
              <w:t xml:space="preserve">Criterion, rationale, and document reference</w:t>
            </w:r>
          </w:p>
        </w:tc>
        <w:tc>
          <w:tcPr/>
          <w:p>
            <w:pPr>
              <w:pStyle w:val="Compact"/>
              <w:jc w:val="left"/>
            </w:pPr>
            <w:r>
              <w:rPr>
                <w:bCs/>
                <w:b/>
              </w:rPr>
              <w:t xml:space="preserve">Yes</w:t>
            </w:r>
          </w:p>
        </w:tc>
        <w:tc>
          <w:tcPr/>
          <w:p>
            <w:pPr>
              <w:pStyle w:val="Compact"/>
              <w:jc w:val="left"/>
            </w:pPr>
            <w:r>
              <w:rPr>
                <w:bCs/>
                <w:b/>
              </w:rPr>
              <w:t xml:space="preserve">No</w:t>
            </w:r>
          </w:p>
        </w:tc>
        <w:tc>
          <w:tcPr/>
          <w:p>
            <w:pPr>
              <w:pStyle w:val="Compact"/>
              <w:jc w:val="left"/>
            </w:pPr>
            <w:r>
              <w:rPr>
                <w:bCs/>
                <w:b/>
              </w:rPr>
              <w:t xml:space="preserve">N/A</w:t>
            </w:r>
          </w:p>
        </w:tc>
      </w:tr>
      <w:tr>
        <w:tc>
          <w:tcPr/>
          <w:p>
            <w:pPr>
              <w:pStyle w:val="Compact"/>
              <w:jc w:val="left"/>
            </w:pPr>
            <w:r>
              <w:t xml:space="preserve">(a)</w:t>
            </w:r>
          </w:p>
        </w:tc>
        <w:tc>
          <w:tcPr/>
          <w:p>
            <w:pPr>
              <w:pStyle w:val="Compact"/>
              <w:jc w:val="left"/>
            </w:pPr>
            <w:r>
              <w:t xml:space="preserve">Critical to the functioning of the system</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(b)</w:t>
            </w:r>
          </w:p>
        </w:tc>
        <w:tc>
          <w:tcPr/>
          <w:p>
            <w:pPr>
              <w:pStyle w:val="Compact"/>
              <w:jc w:val="left"/>
            </w:pPr>
            <w:r>
              <w:t xml:space="preserve">Failure might result in serious injury, loss of life, or loss of primary system capability</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(c)</w:t>
            </w:r>
          </w:p>
        </w:tc>
        <w:tc>
          <w:tcPr/>
          <w:p>
            <w:pPr>
              <w:pStyle w:val="Compact"/>
              <w:jc w:val="left"/>
            </w:pPr>
            <w:r>
              <w:t xml:space="preserve">Technology is complex, not well known, and critical to acquisition, operational, or supportability goals</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(d)</w:t>
            </w:r>
          </w:p>
        </w:tc>
        <w:tc>
          <w:tcPr/>
          <w:p>
            <w:pPr>
              <w:pStyle w:val="Compact"/>
              <w:jc w:val="left"/>
            </w:pPr>
            <w:r>
              <w:t xml:space="preserve">The item is under control as designated by the Acquirer</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(e)</w:t>
            </w:r>
          </w:p>
        </w:tc>
        <w:tc>
          <w:tcPr/>
          <w:p>
            <w:pPr>
              <w:pStyle w:val="Compact"/>
              <w:jc w:val="left"/>
            </w:pPr>
            <w:r>
              <w:t xml:space="preserve">Requires separate type designation, versions, or nomenclatures</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(f)</w:t>
            </w:r>
          </w:p>
        </w:tc>
        <w:tc>
          <w:tcPr/>
          <w:p>
            <w:pPr>
              <w:pStyle w:val="Compact"/>
              <w:jc w:val="left"/>
            </w:pPr>
            <w:r>
              <w:t xml:space="preserve">Critical or high risk; failure would have significant financial impact</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(g)</w:t>
            </w:r>
          </w:p>
        </w:tc>
        <w:tc>
          <w:tcPr/>
          <w:p>
            <w:pPr>
              <w:pStyle w:val="Compact"/>
              <w:jc w:val="left"/>
            </w:pPr>
            <w:r>
              <w:t xml:space="preserve">Requires dedicated logistics support elements (e.g.,APL/AEL/ACL provisioning lists, special test equipment, technical manuals, PMS MIP/MRC, danger/caution tag-out)</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r>
        <w:tc>
          <w:tcPr/>
          <w:p>
            <w:pPr>
              <w:pStyle w:val="Compact"/>
              <w:jc w:val="left"/>
            </w:pPr>
            <w:r>
              <w:t xml:space="preserve">SW</w:t>
            </w:r>
          </w:p>
        </w:tc>
        <w:tc>
          <w:tcPr/>
          <w:p>
            <w:pPr>
              <w:pStyle w:val="Compact"/>
              <w:jc w:val="left"/>
            </w:pPr>
            <w:r>
              <w:t xml:space="preserve">Item is computer software</w:t>
            </w:r>
            <w:r>
              <w:t xml:space="preserve"> </w:t>
            </w:r>
            <w:r>
              <w:rPr>
                <w:iCs/>
                <w:i/>
              </w:rPr>
              <w:t xml:space="preserve">Rationale: ______________________________________________________</w:t>
            </w:r>
            <w:r>
              <w:t xml:space="preserve"> </w:t>
            </w:r>
            <w:r>
              <w:rPr>
                <w:iCs/>
                <w:i/>
              </w:rPr>
              <w:t xml:space="preserve">Document reference: _____________________________________________</w:t>
            </w:r>
          </w:p>
        </w:tc>
        <w:tc>
          <w:tcPr/>
          <w:p>
            <w:pPr>
              <w:pStyle w:val="Compact"/>
            </w:pPr>
          </w:p>
        </w:tc>
        <w:tc>
          <w:tcPr/>
          <w:p>
            <w:pPr>
              <w:pStyle w:val="Compact"/>
            </w:pPr>
          </w:p>
        </w:tc>
        <w:tc>
          <w:tcPr/>
          <w:p>
            <w:pPr>
              <w:pStyle w:val="Compact"/>
            </w:pPr>
          </w:p>
        </w:tc>
      </w:tr>
    </w:tbl>
    <w:p>
      <w:pPr>
        <w:pStyle w:val="BodyText"/>
      </w:pPr>
      <w:r>
        <w:t xml:space="preserve">Result: DESIGNATE AS CI ☐ DO NOT DESIGNATE ☐</w:t>
      </w:r>
    </w:p>
    <w:p>
      <w:pPr>
        <w:pStyle w:val="BodyText"/>
      </w:pPr>
      <w:r>
        <w:t xml:space="preserve">Rationale: ________________________________________________________________________</w:t>
      </w:r>
    </w:p>
    <w:p>
      <w:pPr>
        <w:pStyle w:val="BodyText"/>
      </w:pPr>
      <w:r>
        <w:t xml:space="preserve">Concurrence signatures. Record each concurrence that applies. CI selection is a CM decision; the concurrences confirm that the technical basis is sound, they do not make the selection.</w:t>
      </w:r>
    </w:p>
    <w:p>
      <w:pPr>
        <w:pStyle w:val="BodyText"/>
      </w:pPr>
      <w:r>
        <w:t xml:space="preserve">System Safety, required if criterion (b) was answered yes and the item is not designated as a CI: ____________________ Date: ____________</w:t>
      </w:r>
    </w:p>
    <w:p>
      <w:pPr>
        <w:pStyle w:val="BodyText"/>
      </w:pPr>
      <w:r>
        <w:t xml:space="preserve">RM&amp;SH, required where the determination rests on failure modes and effects or criticality analysis, single point or common mode failure identification, or a maintainability or health-monitoring driven limit: ____________________ Date: ____________</w:t>
      </w:r>
    </w:p>
    <w:p>
      <w:pPr>
        <w:pStyle w:val="BodyText"/>
      </w:pPr>
      <w:r>
        <w:t xml:space="preserve">Systems Engineering, required on the end-use function gate and where the determination rests on specification or interface considerations: ____________________ Date: ____________</w:t>
      </w:r>
    </w:p>
    <w:p>
      <w:pPr>
        <w:pStyle w:val="BodyText"/>
      </w:pPr>
      <w:r>
        <w:t xml:space="preserve">CM, determination: ____________________ Date: ____________</w:t>
      </w:r>
    </w:p>
    <w:bookmarkEnd w:id="50"/>
    <w:bookmarkStart w:id="55" w:name="Xcea374bd0dc9784bd80470811ecf2786c24cac2"/>
    <w:p>
      <w:pPr>
        <w:pStyle w:val="Heading1"/>
      </w:pPr>
      <w:r>
        <w:t xml:space="preserve">Appendix B: MBSE-to-CI Structure Alignment Guidance</w:t>
      </w:r>
    </w:p>
    <w:bookmarkStart w:id="51" w:name="b.1-rule"/>
    <w:p>
      <w:pPr>
        <w:pStyle w:val="Heading2"/>
      </w:pPr>
      <w:r>
        <w:t xml:space="preserve">B.1 Rule</w:t>
      </w:r>
    </w:p>
    <w:p>
      <w:pPr>
        <w:pStyle w:val="FirstParagraph"/>
      </w:pPr>
      <w:r>
        <w:t xml:space="preserve">Where MBSE is used, the CI parent-child hierarchy mirrors the decomposition method of the MBSE architecture model. The CI structure and the architecture model are two views of one decomposition; they do not diverge.</w:t>
      </w:r>
    </w:p>
    <w:bookmarkEnd w:id="51"/>
    <w:bookmarkStart w:id="52" w:name="b.2-preferred-decomposition-schemes"/>
    <w:p>
      <w:pPr>
        <w:pStyle w:val="Heading2"/>
      </w:pPr>
      <w:r>
        <w:t xml:space="preserve">B.2 Preferred Decomposition Schemes</w:t>
      </w:r>
    </w:p>
    <w:p>
      <w:pPr>
        <w:numPr>
          <w:ilvl w:val="0"/>
          <w:numId w:val="1010"/>
        </w:numPr>
      </w:pPr>
      <w:r>
        <w:t xml:space="preserve">ATA chapter scheme (ATA iSpec 2200): decompose the air vehicle by ATA chapter/section; CIs at each level carry the corresponding ATA reference as an attribute in the CI index.</w:t>
      </w:r>
    </w:p>
    <w:p>
      <w:pPr>
        <w:numPr>
          <w:ilvl w:val="0"/>
          <w:numId w:val="1010"/>
        </w:numPr>
      </w:pPr>
      <w:r>
        <w:t xml:space="preserve">S1000D SNS: decompose using the Standard Numbering System; CI identifiers cross-reference the SNS codes used in the technical data suite.</w:t>
      </w:r>
    </w:p>
    <w:p>
      <w:pPr>
        <w:pStyle w:val="FirstParagraph"/>
      </w:pPr>
      <w:r>
        <w:t xml:space="preserve">Implement the model in SysML or UAF. The model element type used for decomposition (e.g., SysML block hierarchies / part properties; UAF resource structures) is recorded in the program CMP.</w:t>
      </w:r>
    </w:p>
    <w:bookmarkEnd w:id="52"/>
    <w:bookmarkStart w:id="53" w:name="X8ea4c781476456725aa71c1de21fa6e58e8e509"/>
    <w:p>
      <w:pPr>
        <w:pStyle w:val="Heading2"/>
      </w:pPr>
      <w:r>
        <w:t xml:space="preserve">B.3 When the Model Uses a Different Scheme</w:t>
      </w:r>
    </w:p>
    <w:p>
      <w:pPr>
        <w:pStyle w:val="FirstParagraph"/>
      </w:pPr>
      <w:r>
        <w:t xml:space="preserve">If the program MBSE model decomposes by another method (functional thread, zonal, WBS-based), the CI structure mirrors that method. Do not maintain a second, independent CI decomposition. Record the mapping convention in the CMP and note any contract-driven exceptions (e.g., Acquirer-directed CI levels) explicitly in the CI index.</w:t>
      </w:r>
    </w:p>
    <w:bookmarkEnd w:id="53"/>
    <w:bookmarkStart w:id="54" w:name="b.4-practices"/>
    <w:p>
      <w:pPr>
        <w:pStyle w:val="Heading2"/>
      </w:pPr>
      <w:r>
        <w:t xml:space="preserve">B.4 Practices</w:t>
      </w:r>
    </w:p>
    <w:p>
      <w:pPr>
        <w:numPr>
          <w:ilvl w:val="0"/>
          <w:numId w:val="1011"/>
        </w:numPr>
      </w:pPr>
      <w:r>
        <w:t xml:space="preserve">Assign each CI a persistent cross-reference to its corresponding model element (model element ID recorded in the CI index; CI identifier recorded as a model element property).</w:t>
      </w:r>
    </w:p>
    <w:p>
      <w:pPr>
        <w:numPr>
          <w:ilvl w:val="0"/>
          <w:numId w:val="1011"/>
        </w:numPr>
      </w:pPr>
      <w:r>
        <w:t xml:space="preserve">Treat changes to the model decomposition as triggers for CI structure re-evaluation; process structural changes through configuration control once baselined.</w:t>
      </w:r>
    </w:p>
    <w:p>
      <w:pPr>
        <w:numPr>
          <w:ilvl w:val="0"/>
          <w:numId w:val="1011"/>
        </w:numPr>
      </w:pPr>
      <w:r>
        <w:t xml:space="preserve">Verify alignment at each technical review and prior to each baseline establishment: every Acquirer-controlled CI resolves to a model element, and every model element at the CI-designation level has been screened against the selection criteria.</w:t>
      </w:r>
    </w:p>
    <w:p>
      <w:pPr>
        <w:numPr>
          <w:ilvl w:val="0"/>
          <w:numId w:val="1011"/>
        </w:numPr>
      </w:pPr>
      <w:r>
        <w:t xml:space="preserve">Verify model-interface-to-register alignment as part of the coverage check: every interface element in the model resolves to an interface register row and vice versa.</w:t>
      </w:r>
    </w:p>
    <w:p>
      <w:pPr>
        <w:numPr>
          <w:ilvl w:val="0"/>
          <w:numId w:val="1011"/>
        </w:numPr>
      </w:pPr>
      <w:r>
        <w:t xml:space="preserve">For hybrid programs (partial MBSE coverage), the modeled portion of the product structure follows this appendix; the unmodeled portion follows specification decomposition methods or certification decomposition methods, with the seam documented in the CMP.</w:t>
      </w:r>
    </w:p>
    <w:bookmarkEnd w:id="54"/>
    <w:bookmarkEnd w:id="55"/>
    <w:bookmarkStart w:id="63" w:name="Xcae0d696bd288e61297c299f163a60a6bf32df6"/>
    <w:p>
      <w:pPr>
        <w:pStyle w:val="Heading1"/>
      </w:pPr>
      <w:r>
        <w:t xml:space="preserve">Appendix C: External Criticality Designations as Screening Inputs</w:t>
      </w:r>
    </w:p>
    <w:p>
      <w:pPr>
        <w:pStyle w:val="FirstParagraph"/>
      </w:pPr>
      <w:r>
        <w:t xml:space="preserve">This appendix catalogs criticality designations assigned outside this process by statute, by regulation, by certification basis, by a customer, or by a safety analysis. It states how each bears on the selection criteria screen. These terms are not synonyms and they do not nest. One part number can carry several at once, each bringing its own evidence obligation.</w:t>
      </w:r>
    </w:p>
    <w:p>
      <w:pPr>
        <w:pStyle w:val="BodyText"/>
      </w:pPr>
      <w:r>
        <w:t xml:space="preserve">The appendix serves candidate identification. It is an input to that screen, never a substitute for it, and the two cautions in C.4 govern its use throughout.</w:t>
      </w:r>
    </w:p>
    <w:bookmarkStart w:id="56" w:name="Xda904bb150044eda28b789fd2cb7744df60cf04"/>
    <w:p>
      <w:pPr>
        <w:pStyle w:val="Heading2"/>
      </w:pPr>
      <w:r>
        <w:t xml:space="preserve">C.1 Conditions that always satisfy criterion (b), the safety criterion</w:t>
      </w:r>
    </w:p>
    <w:p>
      <w:pPr>
        <w:pStyle w:val="FirstParagraph"/>
      </w:pPr>
      <w:r>
        <w:t xml:space="preserve">When a condition in Table C-1 lands on an item, criterion (b), failure might result in serious injury, loss of life, or loss of primary system capability, is satisfied. Each of these conditions states, in its own definition, a consequence that meets the criterion. CM records the condition and cites it as the basis for the determination. CM does not re-determine the consequence judgment. That judgment was made by qualified people and accepted by an authority. Continue screening against the remaining criteria, which frequently also apply (C.5).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Condition</w:t>
            </w:r>
          </w:p>
        </w:tc>
        <w:tc>
          <w:tcPr/>
          <w:p>
            <w:pPr>
              <w:pStyle w:val="Compact"/>
              <w:jc w:val="left"/>
            </w:pPr>
            <w:r>
              <w:rPr>
                <w:bCs/>
                <w:b/>
              </w:rPr>
              <w:t xml:space="preserve">Where it is encountered</w:t>
            </w:r>
          </w:p>
        </w:tc>
        <w:tc>
          <w:tcPr/>
          <w:p>
            <w:pPr>
              <w:pStyle w:val="Compact"/>
              <w:jc w:val="left"/>
            </w:pPr>
            <w:r>
              <w:rPr>
                <w:bCs/>
                <w:b/>
              </w:rPr>
              <w:t xml:space="preserve">Why it satisfies the safety criterion on its own terms</w:t>
            </w:r>
          </w:p>
        </w:tc>
        <w:tc>
          <w:tcPr/>
          <w:p>
            <w:pPr>
              <w:pStyle w:val="Compact"/>
              <w:jc w:val="left"/>
            </w:pPr>
            <w:r>
              <w:rPr>
                <w:bCs/>
                <w:b/>
              </w:rPr>
              <w:t xml:space="preserve">Record structure it implies</w:t>
            </w:r>
          </w:p>
        </w:tc>
      </w:tr>
      <w:tr>
        <w:tc>
          <w:tcPr/>
          <w:p>
            <w:pPr>
              <w:pStyle w:val="Compact"/>
              <w:jc w:val="left"/>
            </w:pPr>
            <w:r>
              <w:t xml:space="preserve">Critical safety item, aviation</w:t>
            </w:r>
          </w:p>
        </w:tc>
        <w:tc>
          <w:tcPr/>
          <w:p>
            <w:pPr>
              <w:pStyle w:val="Compact"/>
              <w:jc w:val="left"/>
            </w:pPr>
            <w:r>
              <w:t xml:space="preserve">US defense aviation programs; assigned by the customer’s engineering activity</w:t>
            </w:r>
          </w:p>
        </w:tc>
        <w:tc>
          <w:tcPr/>
          <w:p>
            <w:pPr>
              <w:pStyle w:val="Compact"/>
              <w:jc w:val="left"/>
            </w:pPr>
            <w:r>
              <w:t xml:space="preserve">The statutory definition is the safety criterion in different words: failure, malfunction or absence could cause catastrophic or critical failure, loss of life, or unacceptable risk of injury</w:t>
            </w:r>
          </w:p>
        </w:tc>
        <w:tc>
          <w:tcPr/>
          <w:p>
            <w:pPr>
              <w:pStyle w:val="Compact"/>
              <w:jc w:val="left"/>
            </w:pPr>
            <w:r>
              <w:t xml:space="preserve">Serial number, through item unique identification. These items are identified as DoD serially managed, so unique identification applies regardless of unit cost. Lot or batch with traceability to an approved source runs in addition, not instead. The serial number arrives through unique identification, not through the criticality designation itself</w:t>
            </w:r>
          </w:p>
        </w:tc>
      </w:tr>
      <w:tr>
        <w:tc>
          <w:tcPr/>
          <w:p>
            <w:pPr>
              <w:pStyle w:val="Compact"/>
              <w:jc w:val="left"/>
            </w:pPr>
            <w:r>
              <w:t xml:space="preserve">Critical safety item, ship</w:t>
            </w:r>
          </w:p>
        </w:tc>
        <w:tc>
          <w:tcPr/>
          <w:p>
            <w:pPr>
              <w:pStyle w:val="Compact"/>
              <w:jc w:val="left"/>
            </w:pPr>
            <w:r>
              <w:t xml:space="preserve">US defense ship systems.</w:t>
            </w:r>
            <w:r>
              <w:t xml:space="preserve"> </w:t>
            </w:r>
            <w:r>
              <w:rPr>
                <w:bCs/>
                <w:b/>
              </w:rPr>
              <w:t xml:space="preserve">Verify</w:t>
            </w:r>
            <w:r>
              <w:t xml:space="preserve"> </w:t>
            </w:r>
            <w:r>
              <w:t xml:space="preserve">against the governing contract</w:t>
            </w:r>
          </w:p>
        </w:tc>
        <w:tc>
          <w:tcPr/>
          <w:p>
            <w:pPr>
              <w:pStyle w:val="Compact"/>
              <w:jc w:val="left"/>
            </w:pPr>
            <w:r>
              <w:t xml:space="preserve">The same statutory construct, applied to ship systems</w:t>
            </w:r>
          </w:p>
        </w:tc>
        <w:tc>
          <w:tcPr/>
          <w:p>
            <w:pPr>
              <w:pStyle w:val="Compact"/>
              <w:jc w:val="left"/>
            </w:pPr>
            <w:r>
              <w:t xml:space="preserve">Serial number, on the same route as the aviation row. Heat and lot traceability with objective quality evidence runs in addition</w:t>
            </w:r>
          </w:p>
        </w:tc>
      </w:tr>
      <w:tr>
        <w:tc>
          <w:tcPr/>
          <w:p>
            <w:pPr>
              <w:pStyle w:val="Compact"/>
              <w:jc w:val="left"/>
            </w:pPr>
            <w:r>
              <w:t xml:space="preserve">Flight safety critical aircraft part</w:t>
            </w:r>
          </w:p>
        </w:tc>
        <w:tc>
          <w:tcPr/>
          <w:p>
            <w:pPr>
              <w:pStyle w:val="Compact"/>
              <w:jc w:val="left"/>
            </w:pPr>
            <w:r>
              <w:t xml:space="preserve">Legacy US defense term; encountered on older drawings.</w:t>
            </w:r>
            <w:r>
              <w:t xml:space="preserve"> </w:t>
            </w:r>
            <w:r>
              <w:rPr>
                <w:bCs/>
                <w:b/>
              </w:rPr>
              <w:t xml:space="preserve">Verify</w:t>
            </w:r>
          </w:p>
        </w:tc>
        <w:tc>
          <w:tcPr/>
          <w:p>
            <w:pPr>
              <w:pStyle w:val="Compact"/>
              <w:jc w:val="left"/>
            </w:pPr>
            <w:r>
              <w:t xml:space="preserve">Legacy label for a part whose failure would cause loss of the aircraft or of life</w:t>
            </w:r>
          </w:p>
        </w:tc>
        <w:tc>
          <w:tcPr/>
          <w:p>
            <w:pPr>
              <w:pStyle w:val="Compact"/>
              <w:jc w:val="left"/>
            </w:pPr>
            <w:r>
              <w:t xml:space="preserve">Historically accompanied by marking and traceability requirements; confirm what the drawing actually imposes. Where the item maps to the current critical safety item construct, the serial number follows from that row. Map it rather than assuming equivalence</w:t>
            </w:r>
          </w:p>
        </w:tc>
      </w:tr>
      <w:tr>
        <w:tc>
          <w:tcPr/>
          <w:p>
            <w:pPr>
              <w:pStyle w:val="Compact"/>
              <w:jc w:val="left"/>
            </w:pPr>
            <w:r>
              <w:t xml:space="preserve">Engine critical part</w:t>
            </w:r>
          </w:p>
        </w:tc>
        <w:tc>
          <w:tcPr/>
          <w:p>
            <w:pPr>
              <w:pStyle w:val="Compact"/>
              <w:jc w:val="left"/>
            </w:pPr>
            <w:r>
              <w:t xml:space="preserve">Civil engine certification</w:t>
            </w:r>
          </w:p>
        </w:tc>
        <w:tc>
          <w:tcPr/>
          <w:p>
            <w:pPr>
              <w:pStyle w:val="Compact"/>
              <w:jc w:val="left"/>
            </w:pPr>
            <w:r>
              <w:t xml:space="preserve">Primary failure is likely to result in a hazardous engine effect, which reaches the criterion through both the injury limb and the loss-of-capability limb</w:t>
            </w:r>
          </w:p>
        </w:tc>
        <w:tc>
          <w:tcPr/>
          <w:p>
            <w:pPr>
              <w:pStyle w:val="Compact"/>
              <w:jc w:val="left"/>
            </w:pPr>
            <w:r>
              <w:t xml:space="preserve">Serial number, driven by the airworthiness limitations entry. Heat and lot traceability in addition</w:t>
            </w:r>
          </w:p>
        </w:tc>
      </w:tr>
      <w:tr>
        <w:tc>
          <w:tcPr/>
          <w:p>
            <w:pPr>
              <w:pStyle w:val="Compact"/>
              <w:jc w:val="left"/>
            </w:pPr>
            <w:r>
              <w:t xml:space="preserve">Engine life-limited part</w:t>
            </w:r>
          </w:p>
        </w:tc>
        <w:tc>
          <w:tcPr/>
          <w:p>
            <w:pPr>
              <w:pStyle w:val="Compact"/>
              <w:jc w:val="left"/>
            </w:pPr>
            <w:r>
              <w:t xml:space="preserve">Civil engine certification</w:t>
            </w:r>
          </w:p>
        </w:tc>
        <w:tc>
          <w:tcPr/>
          <w:p>
            <w:pPr>
              <w:pStyle w:val="Compact"/>
              <w:jc w:val="left"/>
            </w:pPr>
            <w:r>
              <w:t xml:space="preserve">The population is defined by hazardous failure consequence; the life limit is how that consequence is managed</w:t>
            </w:r>
          </w:p>
        </w:tc>
        <w:tc>
          <w:tcPr/>
          <w:p>
            <w:pPr>
              <w:pStyle w:val="Compact"/>
              <w:jc w:val="left"/>
            </w:pPr>
            <w:r>
              <w:t xml:space="preserve">Serial number. This is the clearest case in the appendix: remaining life is a per-unit quantity, and back-to-birth records depend on it</w:t>
            </w:r>
          </w:p>
        </w:tc>
      </w:tr>
      <w:tr>
        <w:tc>
          <w:tcPr/>
          <w:p>
            <w:pPr>
              <w:pStyle w:val="Compact"/>
              <w:jc w:val="left"/>
            </w:pPr>
            <w:r>
              <w:t xml:space="preserve">Propeller critical part; auxiliary power unit critical part</w:t>
            </w:r>
          </w:p>
        </w:tc>
        <w:tc>
          <w:tcPr/>
          <w:p>
            <w:pPr>
              <w:pStyle w:val="Compact"/>
              <w:jc w:val="left"/>
            </w:pPr>
            <w:r>
              <w:t xml:space="preserve">Civil certification</w:t>
            </w:r>
          </w:p>
        </w:tc>
        <w:tc>
          <w:tcPr/>
          <w:p>
            <w:pPr>
              <w:pStyle w:val="Compact"/>
              <w:jc w:val="left"/>
            </w:pPr>
            <w:r>
              <w:t xml:space="preserve">Primary failure is likely to produce a hazardous effect on the propeller or unit</w:t>
            </w:r>
          </w:p>
        </w:tc>
        <w:tc>
          <w:tcPr/>
          <w:p>
            <w:pPr>
              <w:pStyle w:val="Compact"/>
              <w:jc w:val="left"/>
            </w:pPr>
            <w:r>
              <w:t xml:space="preserve">Serial number where an airworthiness limitation attaches</w:t>
            </w:r>
          </w:p>
        </w:tc>
      </w:tr>
      <w:tr>
        <w:tc>
          <w:tcPr/>
          <w:p>
            <w:pPr>
              <w:pStyle w:val="Compact"/>
              <w:jc w:val="left"/>
            </w:pPr>
            <w:r>
              <w:t xml:space="preserve">Rotorcraft critical part</w:t>
            </w:r>
          </w:p>
        </w:tc>
        <w:tc>
          <w:tcPr/>
          <w:p>
            <w:pPr>
              <w:pStyle w:val="Compact"/>
              <w:jc w:val="left"/>
            </w:pPr>
            <w:r>
              <w:t xml:space="preserve">Civil rotorcraft certification</w:t>
            </w:r>
          </w:p>
        </w:tc>
        <w:tc>
          <w:tcPr/>
          <w:p>
            <w:pPr>
              <w:pStyle w:val="Compact"/>
              <w:jc w:val="left"/>
            </w:pPr>
            <w:r>
              <w:t xml:space="preserve">Failure could have a catastrophic effect on the rotorcraft</w:t>
            </w:r>
          </w:p>
        </w:tc>
        <w:tc>
          <w:tcPr/>
          <w:p>
            <w:pPr>
              <w:pStyle w:val="Compact"/>
              <w:jc w:val="left"/>
            </w:pPr>
            <w:r>
              <w:t xml:space="preserve">Serial number where an airworthiness limitation attaches; otherwise lot or batch</w:t>
            </w:r>
          </w:p>
        </w:tc>
      </w:tr>
      <w:tr>
        <w:tc>
          <w:tcPr/>
          <w:p>
            <w:pPr>
              <w:pStyle w:val="Compact"/>
              <w:jc w:val="left"/>
            </w:pPr>
            <w:r>
              <w:t xml:space="preserve">Fracture critical part, and its traceable subclass</w:t>
            </w:r>
          </w:p>
        </w:tc>
        <w:tc>
          <w:tcPr/>
          <w:p>
            <w:pPr>
              <w:pStyle w:val="Compact"/>
              <w:jc w:val="left"/>
            </w:pPr>
            <w:r>
              <w:t xml:space="preserve">Defense airframe structure, under the structures integrity program</w:t>
            </w:r>
          </w:p>
        </w:tc>
        <w:tc>
          <w:tcPr/>
          <w:p>
            <w:pPr>
              <w:pStyle w:val="Compact"/>
              <w:jc w:val="left"/>
            </w:pPr>
            <w:r>
              <w:t xml:space="preserve">Failure by cracking would cause loss of the aircraft</w:t>
            </w:r>
          </w:p>
        </w:tc>
        <w:tc>
          <w:tcPr/>
          <w:p>
            <w:pPr>
              <w:pStyle w:val="Compact"/>
              <w:jc w:val="left"/>
            </w:pPr>
            <w:r>
              <w:t xml:space="preserve">Traceable subclass is serialized. The base class may be lot-controlled with heat traceability</w:t>
            </w:r>
          </w:p>
        </w:tc>
      </w:tr>
      <w:tr>
        <w:tc>
          <w:tcPr/>
          <w:p>
            <w:pPr>
              <w:pStyle w:val="Compact"/>
              <w:jc w:val="left"/>
            </w:pPr>
            <w:r>
              <w:t xml:space="preserve">Fracture critical component</w:t>
            </w:r>
          </w:p>
        </w:tc>
        <w:tc>
          <w:tcPr/>
          <w:p>
            <w:pPr>
              <w:pStyle w:val="Compact"/>
              <w:jc w:val="left"/>
            </w:pPr>
            <w:r>
              <w:t xml:space="preserve">Defense engines, under the engine structural integrity program</w:t>
            </w:r>
          </w:p>
        </w:tc>
        <w:tc>
          <w:tcPr/>
          <w:p>
            <w:pPr>
              <w:pStyle w:val="Compact"/>
              <w:jc w:val="left"/>
            </w:pPr>
            <w:r>
              <w:t xml:space="preserve">Failure would be catastrophic</w:t>
            </w:r>
          </w:p>
        </w:tc>
        <w:tc>
          <w:tcPr/>
          <w:p>
            <w:pPr>
              <w:pStyle w:val="Compact"/>
              <w:jc w:val="left"/>
            </w:pPr>
            <w:r>
              <w:t xml:space="preserve">Conditional. Determined by the fracture control plan rather than by the label</w:t>
            </w:r>
          </w:p>
        </w:tc>
      </w:tr>
      <w:tr>
        <w:tc>
          <w:tcPr/>
          <w:p>
            <w:pPr>
              <w:pStyle w:val="Compact"/>
              <w:jc w:val="left"/>
            </w:pPr>
            <w:r>
              <w:t xml:space="preserve">Fracture critical hardware</w:t>
            </w:r>
          </w:p>
        </w:tc>
        <w:tc>
          <w:tcPr/>
          <w:p>
            <w:pPr>
              <w:pStyle w:val="Compact"/>
              <w:jc w:val="left"/>
            </w:pPr>
            <w:r>
              <w:t xml:space="preserve">Spaceflight programs, under the fracture control board</w:t>
            </w:r>
          </w:p>
        </w:tc>
        <w:tc>
          <w:tcPr/>
          <w:p>
            <w:pPr>
              <w:pStyle w:val="Compact"/>
              <w:jc w:val="left"/>
            </w:pPr>
            <w:r>
              <w:t xml:space="preserve">Failure originating from a crack would produce a catastrophic hazard</w:t>
            </w:r>
          </w:p>
        </w:tc>
        <w:tc>
          <w:tcPr/>
          <w:p>
            <w:pPr>
              <w:pStyle w:val="Compact"/>
              <w:jc w:val="left"/>
            </w:pPr>
            <w:r>
              <w:t xml:space="preserve">Serial number, with material traceability</w:t>
            </w:r>
          </w:p>
        </w:tc>
      </w:tr>
      <w:tr>
        <w:tc>
          <w:tcPr/>
          <w:p>
            <w:pPr>
              <w:pStyle w:val="Compact"/>
              <w:jc w:val="left"/>
            </w:pPr>
            <w:r>
              <w:t xml:space="preserve">Safety-related structure, system or component</w:t>
            </w:r>
          </w:p>
        </w:tc>
        <w:tc>
          <w:tcPr/>
          <w:p>
            <w:pPr>
              <w:pStyle w:val="Compact"/>
              <w:jc w:val="left"/>
            </w:pPr>
            <w:r>
              <w:t xml:space="preserve">Nuclear applications, on the quality list</w:t>
            </w:r>
          </w:p>
        </w:tc>
        <w:tc>
          <w:tcPr/>
          <w:p>
            <w:pPr>
              <w:pStyle w:val="Compact"/>
              <w:jc w:val="left"/>
            </w:pPr>
            <w:r>
              <w:t xml:space="preserve">Required to perform a safety function, or to prevent or mitigate the consequences of an accident</w:t>
            </w:r>
          </w:p>
        </w:tc>
        <w:tc>
          <w:tcPr/>
          <w:p>
            <w:pPr>
              <w:pStyle w:val="Compact"/>
              <w:jc w:val="left"/>
            </w:pPr>
            <w:r>
              <w:rPr>
                <w:bCs/>
                <w:b/>
              </w:rPr>
              <w:t xml:space="preserve">Lot or batch.</w:t>
            </w:r>
            <w:r>
              <w:t xml:space="preserve"> </w:t>
            </w:r>
            <w:r>
              <w:t xml:space="preserve">Commercial grade dedication accepts the item against identified critical characteristics on a lot basis. This is a catastrophic-consequence item that is legitimately not serialized</w:t>
            </w:r>
          </w:p>
        </w:tc>
      </w:tr>
      <w:tr>
        <w:tc>
          <w:tcPr/>
          <w:p>
            <w:pPr>
              <w:pStyle w:val="Compact"/>
              <w:jc w:val="left"/>
            </w:pPr>
            <w:r>
              <w:t xml:space="preserve">Safety-critical</w:t>
            </w:r>
            <w:r>
              <w:t xml:space="preserve"> </w:t>
            </w:r>
            <w:r>
              <w:rPr>
                <w:bCs/>
                <w:b/>
              </w:rPr>
              <w:t xml:space="preserve">item</w:t>
            </w:r>
            <w:r>
              <w:t xml:space="preserve"> </w:t>
            </w:r>
            <w:r>
              <w:t xml:space="preserve">from the system safety analysis (the item half only)</w:t>
            </w:r>
          </w:p>
        </w:tc>
        <w:tc>
          <w:tcPr/>
          <w:p>
            <w:pPr>
              <w:pStyle w:val="Compact"/>
              <w:jc w:val="left"/>
            </w:pPr>
            <w:r>
              <w:t xml:space="preserve">Any program running a formal system safety program</w:t>
            </w:r>
          </w:p>
        </w:tc>
        <w:tc>
          <w:tcPr/>
          <w:p>
            <w:pPr>
              <w:pStyle w:val="Compact"/>
              <w:jc w:val="left"/>
            </w:pPr>
            <w:r>
              <w:t xml:space="preserve">Analysis determined the hardware or software item could contribute to a hazard with catastrophic or critical mishap potential</w:t>
            </w:r>
          </w:p>
        </w:tc>
        <w:tc>
          <w:tcPr/>
          <w:p>
            <w:pPr>
              <w:pStyle w:val="Compact"/>
              <w:jc w:val="left"/>
            </w:pPr>
            <w:r>
              <w:t xml:space="preserve">Not imposed by the criticality designation. Follows from the controls chosen to mitigate the hazard</w:t>
            </w:r>
          </w:p>
        </w:tc>
      </w:tr>
    </w:tbl>
    <w:p>
      <w:pPr>
        <w:pStyle w:val="BodyText"/>
      </w:pPr>
      <w:r>
        <w:rPr>
          <w:bCs/>
          <w:b/>
        </w:rPr>
        <w:t xml:space="preserve">Product unit record structure is not implied by hazard severity. Every row in Table C-1 satisfies criterion (b), and every row carries a product unit record. The product unit record structures in the fourth column still differ across them. They run from serialization driven by a per-unit life clock, to lot control under commercial grade dedication on an item of catastrophic consequence. Both are real control; lot control is not the weak form of serialization. Determine the product unit record from the product unit record-structure test in the identifier assignment section, not from the external criticality designation.</w:t>
      </w:r>
    </w:p>
    <w:p>
      <w:pPr>
        <w:pStyle w:val="BodyText"/>
      </w:pPr>
      <w:r>
        <w:rPr>
          <w:bCs/>
          <w:b/>
        </w:rPr>
        <w:t xml:space="preserve">The critical safety item rows are the one place a designation carries a product unit record with it.</w:t>
      </w:r>
      <w:r>
        <w:t xml:space="preserve"> </w:t>
      </w:r>
      <w:r>
        <w:t xml:space="preserve">Those items are identified as DoD serially managed, so item unique identification applies and a serial number follows. Even there the serial number arrives through unique identification rather than through the safety designation, which is why it is an independent recording driver in the identifier assignment section and not a rule of this appendix. Every other row is determined by the test.</w:t>
      </w:r>
    </w:p>
    <w:p>
      <w:pPr>
        <w:pStyle w:val="BodyText"/>
      </w:pPr>
      <w:r>
        <w:rPr>
          <w:bCs/>
          <w:b/>
        </w:rPr>
        <w:t xml:space="preserve">A condition in Table C-1 satisfies the end-use function gate.</w:t>
      </w:r>
      <w:r>
        <w:t xml:space="preserve"> </w:t>
      </w:r>
      <w:r>
        <w:t xml:space="preserve">These conditions frequently land on small parts: a fitting, a bushing, a fastener. An assessor may argue that such a part fails the end-use function gate, which rejects the item at the first step, before the safety criterion is ever reached. The condition is itself evidence that the part performs a function with system-level consequence. An assessor who nonetheless concludes the item fails the gate obtains System Safety concurrence in writing. Disposition that decision through the safety disposition gate. The terms are the same as for any other decision not to designate a safety-critical item.</w:t>
      </w:r>
    </w:p>
    <w:p>
      <w:pPr>
        <w:pStyle w:val="BodyText"/>
      </w:pPr>
      <w:r>
        <w:rPr>
          <w:bCs/>
          <w:b/>
        </w:rPr>
        <w:t xml:space="preserve">Rows marked Verify</w:t>
      </w:r>
      <w:r>
        <w:t xml:space="preserve"> </w:t>
      </w:r>
      <w:r>
        <w:t xml:space="preserve">rest on terminology that is program-specific, contract-specific, or subject to recent revision. Confirm these against the governing contract or the current issue of the cited document before relying on them.</w:t>
      </w:r>
    </w:p>
    <w:bookmarkEnd w:id="56"/>
    <w:bookmarkStart w:id="57" w:name="X277dcba5f9b8ccbd7b293d9c69d5213aaf79f12"/>
    <w:p>
      <w:pPr>
        <w:pStyle w:val="Heading2"/>
      </w:pPr>
      <w:r>
        <w:t xml:space="preserve">C.2 Conditions that satisfy criterion (b) conditionally</w:t>
      </w:r>
    </w:p>
    <w:p>
      <w:pPr>
        <w:pStyle w:val="FirstParagraph"/>
      </w:pPr>
      <w:r>
        <w:t xml:space="preserve">These conditions reach criterion (b) only once translated onto an item, or only where the underlying limitation attaches to a discrete part. Establish the translation before recording a determination.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Condition</w:t>
            </w:r>
          </w:p>
        </w:tc>
        <w:tc>
          <w:tcPr/>
          <w:p>
            <w:pPr>
              <w:pStyle w:val="Compact"/>
              <w:jc w:val="left"/>
            </w:pPr>
            <w:r>
              <w:rPr>
                <w:bCs/>
                <w:b/>
              </w:rPr>
              <w:t xml:space="preserve">How it reaches the criterion</w:t>
            </w:r>
          </w:p>
        </w:tc>
        <w:tc>
          <w:tcPr/>
          <w:p>
            <w:pPr>
              <w:pStyle w:val="Compact"/>
              <w:jc w:val="left"/>
            </w:pPr>
            <w:r>
              <w:rPr>
                <w:bCs/>
                <w:b/>
              </w:rPr>
              <w:t xml:space="preserve">What to establish first</w:t>
            </w:r>
          </w:p>
        </w:tc>
      </w:tr>
      <w:tr>
        <w:tc>
          <w:tcPr/>
          <w:p>
            <w:pPr>
              <w:pStyle w:val="Compact"/>
              <w:jc w:val="left"/>
            </w:pPr>
            <w:r>
              <w:t xml:space="preserve">Airworthiness limitation item</w:t>
            </w:r>
          </w:p>
        </w:tc>
        <w:tc>
          <w:tcPr/>
          <w:p>
            <w:pPr>
              <w:pStyle w:val="Compact"/>
              <w:jc w:val="left"/>
            </w:pPr>
            <w:r>
              <w:t xml:space="preserve">Fits where the limitation attaches to a discrete part. A zonal or structural inspection task has no item to designate as a CI and is controlled within the parent CI’s documentation</w:t>
            </w:r>
          </w:p>
        </w:tc>
        <w:tc>
          <w:tcPr/>
          <w:p>
            <w:pPr>
              <w:pStyle w:val="Compact"/>
              <w:jc w:val="left"/>
            </w:pPr>
            <w:r>
              <w:t xml:space="preserve">Work from what the airworthiness limitations section actually contains, not from the label. A part can be called critical and carry no entry</w:t>
            </w:r>
          </w:p>
        </w:tc>
      </w:tr>
      <w:tr>
        <w:tc>
          <w:tcPr/>
          <w:p>
            <w:pPr>
              <w:pStyle w:val="Compact"/>
              <w:jc w:val="left"/>
            </w:pPr>
            <w:r>
              <w:t xml:space="preserve">Critical application item (supply coding)</w:t>
            </w:r>
          </w:p>
        </w:tc>
        <w:tc>
          <w:tcPr/>
          <w:p>
            <w:pPr>
              <w:pStyle w:val="Compact"/>
              <w:jc w:val="left"/>
            </w:pPr>
            <w:r>
              <w:t xml:space="preserve">A supply-system code applied to a stock number rather than an engineering designation. Fits once translated onto the item it codes</w:t>
            </w:r>
          </w:p>
        </w:tc>
        <w:tc>
          <w:tcPr/>
          <w:p>
            <w:pPr>
              <w:pStyle w:val="Compact"/>
              <w:jc w:val="left"/>
            </w:pPr>
            <w:r>
              <w:t xml:space="preserve">Establish the engineering basis behind the code before relying on it</w:t>
            </w:r>
          </w:p>
        </w:tc>
      </w:tr>
      <w:tr>
        <w:tc>
          <w:tcPr/>
          <w:p>
            <w:pPr>
              <w:pStyle w:val="Compact"/>
              <w:jc w:val="left"/>
            </w:pPr>
            <w:r>
              <w:t xml:space="preserve">Critical component under a bilateral airworthiness arrangement</w:t>
            </w:r>
          </w:p>
        </w:tc>
        <w:tc>
          <w:tcPr/>
          <w:p>
            <w:pPr>
              <w:pStyle w:val="Compact"/>
              <w:jc w:val="left"/>
            </w:pPr>
            <w:r>
              <w:t xml:space="preserve">Fits where the arrangement’s definition maps onto an item with a stated consequence</w:t>
            </w:r>
          </w:p>
        </w:tc>
        <w:tc>
          <w:tcPr/>
          <w:p>
            <w:pPr>
              <w:pStyle w:val="Compact"/>
              <w:jc w:val="left"/>
            </w:pPr>
            <w:r>
              <w:t xml:space="preserve">Terms vary by arrangement; confirm the definition in force</w:t>
            </w:r>
          </w:p>
        </w:tc>
      </w:tr>
      <w:tr>
        <w:tc>
          <w:tcPr/>
          <w:p>
            <w:pPr>
              <w:pStyle w:val="Compact"/>
              <w:jc w:val="left"/>
            </w:pPr>
            <w:r>
              <w:t xml:space="preserve">Failure-mode criticality code from a criticality analysis</w:t>
            </w:r>
          </w:p>
        </w:tc>
        <w:tc>
          <w:tcPr/>
          <w:p>
            <w:pPr>
              <w:pStyle w:val="Compact"/>
              <w:jc w:val="left"/>
            </w:pPr>
            <w:r>
              <w:t xml:space="preserve">Designates a failure mode, not an item. Fits once the hardware in which the mode lives is identified</w:t>
            </w:r>
          </w:p>
        </w:tc>
        <w:tc>
          <w:tcPr/>
          <w:p>
            <w:pPr>
              <w:pStyle w:val="Compact"/>
              <w:jc w:val="left"/>
            </w:pPr>
            <w:r>
              <w:t xml:space="preserve">A redundant configuration with the same end consequence carries the same code. Redundancy does not relieve the screen</w:t>
            </w:r>
          </w:p>
        </w:tc>
      </w:tr>
      <w:tr>
        <w:tc>
          <w:tcPr/>
          <w:p>
            <w:pPr>
              <w:pStyle w:val="Compact"/>
              <w:jc w:val="left"/>
            </w:pPr>
            <w:r>
              <w:t xml:space="preserve">Software safety classification</w:t>
            </w:r>
          </w:p>
        </w:tc>
        <w:tc>
          <w:tcPr/>
          <w:p>
            <w:pPr>
              <w:pStyle w:val="Compact"/>
              <w:jc w:val="left"/>
            </w:pPr>
            <w:r>
              <w:t xml:space="preserve">Fits where the classification attaches to a software item. Software is a CI by rule regardless of class</w:t>
            </w:r>
          </w:p>
        </w:tc>
        <w:tc>
          <w:tcPr/>
          <w:p>
            <w:pPr>
              <w:pStyle w:val="Compact"/>
              <w:jc w:val="left"/>
            </w:pPr>
            <w:r>
              <w:t xml:space="preserve">Identity attaches to the loadable part number and baseline, never to a physical unit</w:t>
            </w:r>
          </w:p>
        </w:tc>
      </w:tr>
      <w:tr>
        <w:tc>
          <w:tcPr/>
          <w:p>
            <w:pPr>
              <w:pStyle w:val="Compact"/>
              <w:jc w:val="left"/>
            </w:pPr>
            <w:r>
              <w:t xml:space="preserve">Safety critical element</w:t>
            </w:r>
          </w:p>
        </w:tc>
        <w:tc>
          <w:tcPr/>
          <w:p>
            <w:pPr>
              <w:pStyle w:val="Compact"/>
              <w:jc w:val="left"/>
            </w:pPr>
            <w:r>
              <w:t xml:space="preserve">Process and plant contexts. Fits once translated onto a discrete item</w:t>
            </w:r>
          </w:p>
        </w:tc>
        <w:tc>
          <w:tcPr/>
          <w:p>
            <w:pPr>
              <w:pStyle w:val="Compact"/>
              <w:jc w:val="left"/>
            </w:pPr>
            <w:r>
              <w:t xml:space="preserve">Frequently designates a system or plant element rather than a part</w:t>
            </w:r>
          </w:p>
        </w:tc>
      </w:tr>
      <w:tr>
        <w:tc>
          <w:tcPr/>
          <w:p>
            <w:pPr>
              <w:pStyle w:val="Compact"/>
              <w:jc w:val="left"/>
            </w:pPr>
            <w:r>
              <w:t xml:space="preserve">Unique device identification for implantable and life-supporting devices</w:t>
            </w:r>
          </w:p>
        </w:tc>
        <w:tc>
          <w:tcPr/>
          <w:p>
            <w:pPr>
              <w:pStyle w:val="Compact"/>
              <w:jc w:val="left"/>
            </w:pPr>
            <w:r>
              <w:t xml:space="preserve">Medical device contexts. Fits where the device is the item</w:t>
            </w:r>
          </w:p>
        </w:tc>
        <w:tc>
          <w:tcPr/>
          <w:p>
            <w:pPr>
              <w:pStyle w:val="Compact"/>
              <w:jc w:val="left"/>
            </w:pPr>
            <w:r>
              <w:t xml:space="preserve">One of the few rules that explicitly permits either serial or lot identification, treating them as equivalent for its purpose</w:t>
            </w:r>
          </w:p>
        </w:tc>
      </w:tr>
    </w:tbl>
    <w:bookmarkEnd w:id="57"/>
    <w:bookmarkStart w:id="58" w:name="Xfd44e08fd3c3fd676066fd09a5215b1e450f597"/>
    <w:p>
      <w:pPr>
        <w:pStyle w:val="Heading2"/>
      </w:pPr>
      <w:r>
        <w:t xml:space="preserve">C.3 Labels that designate something other than an item</w:t>
      </w:r>
    </w:p>
    <w:p>
      <w:pPr>
        <w:pStyle w:val="FirstParagraph"/>
      </w:pPr>
      <w:r>
        <w:t xml:space="preserve">These labels attach to a function, a task, a failure mode, a feature, a location, or a development baseline. None of them is an item, so none designates a CI on its own. Each is a signal that items worth screening exist nearby. Identifying the hardware behind a function is engineering analysis, so</w:t>
      </w:r>
      <w:r>
        <w:t xml:space="preserve"> </w:t>
      </w:r>
      <w:r>
        <w:rPr>
          <w:bCs/>
          <w:b/>
        </w:rPr>
        <w:t xml:space="preserve">ask for it rather than infer it.</w:t>
      </w:r>
      <w:r>
        <w:t xml:space="preserve"> </w:t>
      </w:r>
      <w:r>
        <w:t xml:space="preserve">A good guess still misses the items nobody thought of.</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The label</w:t>
            </w:r>
          </w:p>
        </w:tc>
        <w:tc>
          <w:tcPr/>
          <w:p>
            <w:pPr>
              <w:pStyle w:val="Compact"/>
              <w:jc w:val="left"/>
            </w:pPr>
            <w:r>
              <w:rPr>
                <w:bCs/>
                <w:b/>
              </w:rPr>
              <w:t xml:space="preserve">What it attaches to</w:t>
            </w:r>
          </w:p>
        </w:tc>
        <w:tc>
          <w:tcPr/>
          <w:p>
            <w:pPr>
              <w:pStyle w:val="Compact"/>
              <w:jc w:val="left"/>
            </w:pPr>
            <w:r>
              <w:rPr>
                <w:bCs/>
                <w:b/>
              </w:rPr>
              <w:t xml:space="preserve">What to ask for</w:t>
            </w:r>
          </w:p>
        </w:tc>
      </w:tr>
      <w:tr>
        <w:tc>
          <w:tcPr/>
          <w:p>
            <w:pPr>
              <w:pStyle w:val="Compact"/>
              <w:jc w:val="left"/>
            </w:pPr>
            <w:r>
              <w:t xml:space="preserve">Safety-critical</w:t>
            </w:r>
            <w:r>
              <w:t xml:space="preserve"> </w:t>
            </w:r>
            <w:r>
              <w:rPr>
                <w:bCs/>
                <w:b/>
              </w:rPr>
              <w:t xml:space="preserve">function</w:t>
            </w:r>
            <w:r>
              <w:t xml:space="preserve"> </w:t>
            </w:r>
            <w:r>
              <w:t xml:space="preserve">from the system safety analysis</w:t>
            </w:r>
          </w:p>
        </w:tc>
        <w:tc>
          <w:tcPr/>
          <w:p>
            <w:pPr>
              <w:pStyle w:val="Compact"/>
              <w:jc w:val="left"/>
            </w:pPr>
            <w:r>
              <w:t xml:space="preserve">A function</w:t>
            </w:r>
          </w:p>
        </w:tc>
        <w:tc>
          <w:tcPr/>
          <w:p>
            <w:pPr>
              <w:pStyle w:val="Compact"/>
              <w:jc w:val="left"/>
            </w:pPr>
            <w:r>
              <w:t xml:space="preserve">The items that implement the function</w:t>
            </w:r>
          </w:p>
        </w:tc>
      </w:tr>
      <w:tr>
        <w:tc>
          <w:tcPr/>
          <w:p>
            <w:pPr>
              <w:pStyle w:val="Compact"/>
              <w:jc w:val="left"/>
            </w:pPr>
            <w:r>
              <w:t xml:space="preserve">Development assurance level</w:t>
            </w:r>
          </w:p>
        </w:tc>
        <w:tc>
          <w:tcPr/>
          <w:p>
            <w:pPr>
              <w:pStyle w:val="Compact"/>
              <w:jc w:val="left"/>
            </w:pPr>
            <w:r>
              <w:t xml:space="preserve">A function, or a development baseline</w:t>
            </w:r>
          </w:p>
        </w:tc>
        <w:tc>
          <w:tcPr/>
          <w:p>
            <w:pPr>
              <w:pStyle w:val="Compact"/>
              <w:jc w:val="left"/>
            </w:pPr>
            <w:r>
              <w:t xml:space="preserve">Nothing on its own. A top-level function can be built from items that do not meet the safety criterion. Software is a CI by rule regardless of level</w:t>
            </w:r>
          </w:p>
        </w:tc>
      </w:tr>
      <w:tr>
        <w:tc>
          <w:tcPr/>
          <w:p>
            <w:pPr>
              <w:pStyle w:val="Compact"/>
              <w:jc w:val="left"/>
            </w:pPr>
            <w:r>
              <w:t xml:space="preserve">Automotive or industrial integrity level</w:t>
            </w:r>
          </w:p>
        </w:tc>
        <w:tc>
          <w:tcPr/>
          <w:p>
            <w:pPr>
              <w:pStyle w:val="Compact"/>
              <w:jc w:val="left"/>
            </w:pPr>
            <w:r>
              <w:t xml:space="preserve">A safety function and its implementation</w:t>
            </w:r>
          </w:p>
        </w:tc>
        <w:tc>
          <w:tcPr/>
          <w:p>
            <w:pPr>
              <w:pStyle w:val="Compact"/>
              <w:jc w:val="left"/>
            </w:pPr>
            <w:r>
              <w:t xml:space="preserve">The items implementing the function, where the program uses these schemes</w:t>
            </w:r>
          </w:p>
        </w:tc>
      </w:tr>
      <w:tr>
        <w:tc>
          <w:tcPr/>
          <w:p>
            <w:pPr>
              <w:pStyle w:val="Compact"/>
              <w:jc w:val="left"/>
            </w:pPr>
            <w:r>
              <w:t xml:space="preserve">Certification maintenance requirement</w:t>
            </w:r>
          </w:p>
        </w:tc>
        <w:tc>
          <w:tcPr/>
          <w:p>
            <w:pPr>
              <w:pStyle w:val="Compact"/>
              <w:jc w:val="left"/>
            </w:pPr>
            <w:r>
              <w:t xml:space="preserve">A maintenance task</w:t>
            </w:r>
          </w:p>
        </w:tc>
        <w:tc>
          <w:tcPr/>
          <w:p>
            <w:pPr>
              <w:pStyle w:val="Compact"/>
              <w:jc w:val="left"/>
            </w:pPr>
            <w:r>
              <w:t xml:space="preserve">The items whose hidden failure the task exists to detect</w:t>
            </w:r>
          </w:p>
        </w:tc>
      </w:tr>
      <w:tr>
        <w:tc>
          <w:tcPr/>
          <w:p>
            <w:pPr>
              <w:pStyle w:val="Compact"/>
              <w:jc w:val="left"/>
            </w:pPr>
            <w:r>
              <w:t xml:space="preserve">Principal structural element; non-redundant tension member</w:t>
            </w:r>
          </w:p>
        </w:tc>
        <w:tc>
          <w:tcPr/>
          <w:p>
            <w:pPr>
              <w:pStyle w:val="Compact"/>
              <w:jc w:val="left"/>
            </w:pPr>
            <w:r>
              <w:t xml:space="preserve">A structural element or location</w:t>
            </w:r>
          </w:p>
        </w:tc>
        <w:tc>
          <w:tcPr/>
          <w:p>
            <w:pPr>
              <w:pStyle w:val="Compact"/>
              <w:jc w:val="left"/>
            </w:pPr>
            <w:r>
              <w:t xml:space="preserve">The parts within the element, screened individually</w:t>
            </w:r>
          </w:p>
        </w:tc>
      </w:tr>
      <w:tr>
        <w:tc>
          <w:tcPr/>
          <w:p>
            <w:pPr>
              <w:pStyle w:val="Compact"/>
              <w:jc w:val="left"/>
            </w:pPr>
            <w:r>
              <w:t xml:space="preserve">Critical characteristic; key characteristic</w:t>
            </w:r>
          </w:p>
        </w:tc>
        <w:tc>
          <w:tcPr/>
          <w:p>
            <w:pPr>
              <w:pStyle w:val="Compact"/>
              <w:jc w:val="left"/>
            </w:pPr>
            <w:r>
              <w:t xml:space="preserve">A feature or process parameter on a part</w:t>
            </w:r>
          </w:p>
        </w:tc>
        <w:tc>
          <w:tcPr/>
          <w:p>
            <w:pPr>
              <w:pStyle w:val="Compact"/>
              <w:jc w:val="left"/>
            </w:pPr>
            <w:r>
              <w:t xml:space="preserve">Screen the</w:t>
            </w:r>
            <w:r>
              <w:t xml:space="preserve"> </w:t>
            </w:r>
            <w:r>
              <w:rPr>
                <w:bCs/>
                <w:b/>
              </w:rPr>
              <w:t xml:space="preserve">parent part</w:t>
            </w:r>
            <w:r>
              <w:t xml:space="preserve">, not the characteristic. Its presence is strong evidence the parent is a candidate</w:t>
            </w:r>
          </w:p>
        </w:tc>
      </w:tr>
    </w:tbl>
    <w:bookmarkEnd w:id="58"/>
    <w:bookmarkStart w:id="59" w:name="Xccb89e3a067bf7ff93edabc1c10e4ceffcf70ef"/>
    <w:p>
      <w:pPr>
        <w:pStyle w:val="Heading2"/>
      </w:pPr>
      <w:r>
        <w:t xml:space="preserve">C.4 Two cautions that govern this appendix</w:t>
      </w:r>
    </w:p>
    <w:p>
      <w:pPr>
        <w:numPr>
          <w:ilvl w:val="0"/>
          <w:numId w:val="1012"/>
        </w:numPr>
      </w:pPr>
      <w:r>
        <w:rPr>
          <w:bCs/>
          <w:b/>
        </w:rPr>
        <w:t xml:space="preserve">This appendix under-catches. Criterion (b) also covers loss of primary system capability. No designation scheme cataloged here keys on lost capability absent an injury pathway, so items in that class appear on no safety list at all. They come from the program’s own decomposition, or they come from nowhere. Treat Table C-1 as an input to candidate identification, never as a substitute for that screen.</w:t>
      </w:r>
    </w:p>
    <w:p>
      <w:pPr>
        <w:numPr>
          <w:ilvl w:val="0"/>
          <w:numId w:val="1012"/>
        </w:numPr>
      </w:pPr>
      <w:r>
        <w:rPr>
          <w:bCs/>
          <w:b/>
        </w:rPr>
        <w:t xml:space="preserve">A designation that does not reach the safety criterion is not a finding that the item is uncontrolled, and not always a finding that it is not a CI.</w:t>
      </w:r>
      <w:r>
        <w:t xml:space="preserve"> </w:t>
      </w:r>
      <w:r>
        <w:t xml:space="preserve">Items that are not CIs are controlled within their parent CI’s configuration documentation, and several designations that fail the safety criterion designate strongly on other criteria. The influencing part in C.6 is the most consequential example. Read the criterion columns together rather than stopping at the safety one.</w:t>
      </w:r>
    </w:p>
    <w:bookmarkEnd w:id="59"/>
    <w:bookmarkStart w:id="60" w:name="c.5-other-criteria-commonly-engaged"/>
    <w:p>
      <w:pPr>
        <w:pStyle w:val="Heading2"/>
      </w:pPr>
      <w:r>
        <w:t xml:space="preserve">C.5 Other criteria commonly engaged</w:t>
      </w:r>
    </w:p>
    <w:p>
      <w:pPr>
        <w:pStyle w:val="FirstParagraph"/>
      </w:pPr>
      <w:r>
        <w:t xml:space="preserve">The safety criterion is rarely the only one triggered. A designation assigned by a customer or government activity also engages criterion (d), the item is under control as designated by the Acquirer. Anything carrying provisioning, technical manual, or dedicated support and test equipment obligations engages criterion (g), requires dedicated logistics support elements. An item the system cannot function without engages criterion (a), critical to the functioning of the system. Note that criterion (a) is not the end-use function gate. The gate asks whether the item has a function at all. Criterion (a) asks whether the system can function without it. List every criterion that applies, because the designation survives if one underlying fact later changes.</w:t>
      </w:r>
    </w:p>
    <w:bookmarkEnd w:id="60"/>
    <w:bookmarkStart w:id="61" w:name="X2e1e253f3b3ca4c8846a3ceb31f66e386da4cc3"/>
    <w:p>
      <w:pPr>
        <w:pStyle w:val="Heading2"/>
      </w:pPr>
      <w:r>
        <w:t xml:space="preserve">C.6 The influencing part: the trap in this appendix</w:t>
      </w:r>
    </w:p>
    <w:p>
      <w:pPr>
        <w:pStyle w:val="FirstParagraph"/>
      </w:pPr>
      <w:r>
        <w:t xml:space="preserve">A part that influences the boundary conditions of the approved life model establishing another part’s airworthiness limitation carries no life limit of its own, and its own failure has no hazardous effect. It therefore fails criterion (b) by its own definition. It is nonetheless a strong candidate on criterion (a), critical to the functioning of the system. The approved lifing basis of a safety-critical part depends on its configuration. A change to it needs an independent effectivity address.</w:t>
      </w:r>
    </w:p>
    <w:p>
      <w:pPr>
        <w:pStyle w:val="BodyText"/>
      </w:pPr>
      <w:r>
        <w:t xml:space="preserve">Screen against criterion (b) and stop there, and the influencing part goes undesignated. Meanwhile the critical part it governs sits within its stamped life limit. The lifing basis behind that limit has quietly become invalid. The airworthiness consequence is displaced onto a different part number, which is what makes it hard to see. Typical examples are cooling air metering hardware, seals, bearings, and oil nozzles. Where a program identifies influencing parts, screen each one against the full criteria set, and record the rationale whether or not it is designated as a CI.</w:t>
      </w:r>
    </w:p>
    <w:bookmarkEnd w:id="61"/>
    <w:bookmarkStart w:id="62" w:name="c.7-terms-that-are-frequently-confused"/>
    <w:p>
      <w:pPr>
        <w:pStyle w:val="Heading2"/>
      </w:pPr>
      <w:r>
        <w:t xml:space="preserve">C.7 Terms that are frequently confused</w:t>
      </w:r>
    </w:p>
    <w:p>
      <w:pPr>
        <w:numPr>
          <w:ilvl w:val="0"/>
          <w:numId w:val="1013"/>
        </w:numPr>
      </w:pPr>
      <w:r>
        <w:rPr>
          <w:bCs/>
          <w:b/>
        </w:rPr>
        <w:t xml:space="preserve">A customer-assigned critical safety item is not a safety-critical item from the system safety analysis.</w:t>
      </w:r>
      <w:r>
        <w:t xml:space="preserve"> </w:t>
      </w:r>
      <w:r>
        <w:t xml:space="preserve">Different authority, different object, different obligation. The first is assigned by a government engineering activity and its primary obligation is source approval and supply chain integrity; the second is an analysis output whose obligation is design and process rigor.</w:t>
      </w:r>
    </w:p>
    <w:p>
      <w:pPr>
        <w:numPr>
          <w:ilvl w:val="0"/>
          <w:numId w:val="1013"/>
        </w:numPr>
      </w:pPr>
      <w:r>
        <w:rPr>
          <w:bCs/>
          <w:b/>
        </w:rPr>
        <w:t xml:space="preserve">A quality-system critical item is broader than safety.</w:t>
      </w:r>
      <w:r>
        <w:t xml:space="preserve"> </w:t>
      </w:r>
      <w:r>
        <w:t xml:space="preserve">The term as used in aerospace quality standards deliberately includes producibility, service life, and form, fit and function alongside safety. Establish why an item was flagged before treating the flag as a safety designation.</w:t>
      </w:r>
    </w:p>
    <w:p>
      <w:pPr>
        <w:numPr>
          <w:ilvl w:val="0"/>
          <w:numId w:val="1013"/>
        </w:numPr>
      </w:pPr>
      <w:r>
        <w:rPr>
          <w:bCs/>
          <w:b/>
        </w:rPr>
        <w:t xml:space="preserve">Life limited means two different things.</w:t>
      </w:r>
      <w:r>
        <w:t xml:space="preserve"> </w:t>
      </w:r>
      <w:r>
        <w:t xml:space="preserve">See the two-clocks rule in the identifier assignment section. A cycles or hours limit and a shelf-life or cure-date limit produce opposite record structures.</w:t>
      </w:r>
    </w:p>
    <w:bookmarkEnd w:id="62"/>
    <w:bookmarkEnd w:id="63"/>
    <w:bookmarkStart w:id="89" w:name="X0ccac0b8ca85019b1c68d8f75cad45c19a42504"/>
    <w:p>
      <w:pPr>
        <w:pStyle w:val="Heading1"/>
      </w:pPr>
      <w:r>
        <w:t xml:space="preserve">Appendix D: Same CI or Separate CIs Decision Aid</w:t>
      </w:r>
    </w:p>
    <w:bookmarkStart w:id="64" w:name="d.1-purpose"/>
    <w:p>
      <w:pPr>
        <w:pStyle w:val="Heading2"/>
      </w:pPr>
      <w:r>
        <w:t xml:space="preserve">D.1 Purpose</w:t>
      </w:r>
    </w:p>
    <w:p>
      <w:pPr>
        <w:pStyle w:val="FirstParagraph"/>
      </w:pPr>
      <w:r>
        <w:t xml:space="preserve">Two items carry different part numbers. They share a function. They share a subsystem. They share a vendor. Do they share one Configuration Item identifier with part number variants? Or are they separate Configuration Items?</w:t>
      </w:r>
    </w:p>
    <w:p>
      <w:pPr>
        <w:pStyle w:val="BodyText"/>
      </w:pPr>
      <w:r>
        <w:t xml:space="preserve">This appendix answers that question. It also answers the reverse question. One part number sometimes maps to more than one Configuration Item.</w:t>
      </w:r>
    </w:p>
    <w:p>
      <w:pPr>
        <w:pStyle w:val="BodyText"/>
      </w:pPr>
      <w:r>
        <w:t xml:space="preserve">This appendix supplements the selection criteria screen and the Acquirer concurrence requirement of this process. It does not replace either one.</w:t>
      </w:r>
    </w:p>
    <w:bookmarkEnd w:id="64"/>
    <w:bookmarkStart w:id="65" w:name="d.2-definitions"/>
    <w:p>
      <w:pPr>
        <w:pStyle w:val="Heading2"/>
      </w:pPr>
      <w:r>
        <w:t xml:space="preserve">D.2 Definitions</w:t>
      </w:r>
    </w:p>
    <w:p>
      <w:pPr>
        <w:pStyle w:val="FirstParagraph"/>
      </w:pPr>
      <w:r>
        <w:t xml:space="preserve">These definitions are carried from the definitions section of this process. Use them as written. Do not paraphrase them.</w:t>
      </w:r>
    </w:p>
    <w:p>
      <w:pPr>
        <w:pStyle w:val="BodyText"/>
      </w:pPr>
      <w:r>
        <w:rPr>
          <w:bCs/>
          <w:b/>
        </w:rPr>
        <w:t xml:space="preserve">Configuration Item (CI).</w:t>
      </w:r>
      <w:r>
        <w:t xml:space="preserve"> </w:t>
      </w:r>
      <w:r>
        <w:t xml:space="preserve">Any hardware, software, firmware, or aggregation thereof that satisfies a system end-use function and is designated for separate configuration management. Designation includes establishing the CI’s requirements and verifying that its configuration meets those requirements and that its configuration documentation accurately describes its configuration.</w:t>
      </w:r>
    </w:p>
    <w:p>
      <w:pPr>
        <w:pStyle w:val="BodyText"/>
      </w:pPr>
      <w:r>
        <w:rPr>
          <w:bCs/>
          <w:b/>
        </w:rPr>
        <w:t xml:space="preserve">Part or Identifying Number (PIN).</w:t>
      </w:r>
      <w:r>
        <w:t xml:space="preserve"> </w:t>
      </w:r>
      <w:r>
        <w:t xml:space="preserve">The identifier that, combined with the design activity CAGE code, uniquely identifies an item and its configuration. The PIN changes when a modification creates a non-interchangeable condition.</w:t>
      </w:r>
    </w:p>
    <w:bookmarkEnd w:id="65"/>
    <w:bookmarkStart w:id="66" w:name="Xc9cc7f27445bdedc9e53e62e77f39659b3a278a"/>
    <w:p>
      <w:pPr>
        <w:pStyle w:val="Heading2"/>
      </w:pPr>
      <w:r>
        <w:t xml:space="preserve">D.3 Principle: The CI Identifier and the PIN</w:t>
      </w:r>
    </w:p>
    <w:p>
      <w:pPr>
        <w:pStyle w:val="FirstParagraph"/>
      </w:pPr>
      <w:r>
        <w:t xml:space="preserve">The CI identifier follows function. It also follows the management need for separate configuration control.</w:t>
      </w:r>
    </w:p>
    <w:p>
      <w:pPr>
        <w:pStyle w:val="BodyText"/>
      </w:pPr>
      <w:r>
        <w:t xml:space="preserve">The PIN follows form, fit, and function. The PIN changes when a modification creates a non-interchangeable condition.</w:t>
      </w:r>
    </w:p>
    <w:p>
      <w:pPr>
        <w:pStyle w:val="BodyText"/>
      </w:pPr>
      <w:r>
        <w:t xml:space="preserve">The two identifiers answer different questions. They are decoupled on purpose.</w:t>
      </w:r>
    </w:p>
    <w:p>
      <w:pPr>
        <w:pStyle w:val="BodyText"/>
      </w:pPr>
      <w:r>
        <w:rPr>
          <w:bCs/>
          <w:b/>
        </w:rPr>
        <w:t xml:space="preserve">Multiple PINs under one CI.</w:t>
      </w:r>
      <w:r>
        <w:t xml:space="preserve"> </w:t>
      </w:r>
      <w:r>
        <w:t xml:space="preserve">Several variants perform one managed function. The variants are not interchangeable with each other. Different interface details are the usual cause. The variants share one specification basis. They share one verification basis. They share common change effectivity.</w:t>
      </w:r>
    </w:p>
    <w:p>
      <w:pPr>
        <w:pStyle w:val="BodyText"/>
      </w:pPr>
      <w:r>
        <w:rPr>
          <w:bCs/>
          <w:b/>
        </w:rPr>
        <w:t xml:space="preserve">One PIN under multiple CIs.</w:t>
      </w:r>
      <w:r>
        <w:t xml:space="preserve"> </w:t>
      </w:r>
      <w:r>
        <w:t xml:space="preserve">One antenna part number is installed twice. One installation sits in the UHF subsystem. One sits in the MIDS JTRS subsystem. That is one PIN and two CIs.</w:t>
      </w:r>
    </w:p>
    <w:p>
      <w:pPr>
        <w:pStyle w:val="BodyText"/>
      </w:pPr>
      <w:r>
        <w:t xml:space="preserve">Each installation satisfies a different end-use function. Each sits in a different branch of the CI hierarchy. Each needs its own change effectivity address. Each needs its own hazard traceability and its own logistics reporting.</w:t>
      </w:r>
    </w:p>
    <w:p>
      <w:pPr>
        <w:pStyle w:val="BodyText"/>
      </w:pPr>
      <w:r>
        <w:t xml:space="preserve">Different part numbers do not decide the CI question. The same part number does not decide it either.</w:t>
      </w:r>
    </w:p>
    <w:bookmarkEnd w:id="66"/>
    <w:bookmarkStart w:id="67" w:name="d.4-scope-cautions"/>
    <w:p>
      <w:pPr>
        <w:pStyle w:val="Heading2"/>
      </w:pPr>
      <w:r>
        <w:t xml:space="preserve">D.4 Scope Cautions</w:t>
      </w:r>
    </w:p>
    <w:p>
      <w:pPr>
        <w:pStyle w:val="FirstParagraph"/>
      </w:pPr>
      <w:r>
        <w:t xml:space="preserve">Two cautions apply before any gate is run.</w:t>
      </w:r>
    </w:p>
    <w:p>
      <w:pPr>
        <w:pStyle w:val="BodyText"/>
      </w:pPr>
      <w:r>
        <w:rPr>
          <w:bCs/>
          <w:b/>
        </w:rPr>
        <w:t xml:space="preserve">Compare items at the level at which the company procures them.</w:t>
      </w:r>
      <w:r>
        <w:t xml:space="preserve"> </w:t>
      </w:r>
      <w:r>
        <w:t xml:space="preserve">Do not decompose a supplier-designed item to run this screen. Where the supplier holds the design and the company procures the item as a unit, the procured item is the CI. That rule governs. This appendix does not override it.</w:t>
      </w:r>
    </w:p>
    <w:p>
      <w:pPr>
        <w:pStyle w:val="BodyText"/>
      </w:pPr>
      <w:r>
        <w:rPr>
          <w:bCs/>
          <w:b/>
        </w:rPr>
        <w:t xml:space="preserve">Software carries identity on version identifiers, not on PINs.</w:t>
      </w:r>
      <w:r>
        <w:t xml:space="preserve"> </w:t>
      </w:r>
      <w:r>
        <w:t xml:space="preserve">Computer software is designated as a CSCI by rule. The same question still arises. One CSCI with several version identifiers, or several CSCIs. The separation triggers below apply, with two substitutions. Read version identifier for PIN. Read build or load for variant. The record structure differs. Software carries identity on the loadable part number and the baseline. It never carries a physical unit identifier.</w:t>
      </w:r>
    </w:p>
    <w:bookmarkEnd w:id="67"/>
    <w:bookmarkStart w:id="72" w:name="X14b47a4896d4f6a69826d9c1acc235818f13880"/>
    <w:p>
      <w:pPr>
        <w:pStyle w:val="Heading2"/>
      </w:pPr>
      <w:r>
        <w:t xml:space="preserve">D.5 Decision Path A: Two or More Items Compared</w:t>
      </w:r>
    </w:p>
    <w:p>
      <w:pPr>
        <w:pStyle w:val="FirstParagraph"/>
      </w:pPr>
      <w:r>
        <w:t xml:space="preserve">Use this path when two or more distinct items are compared against each other. Use Decision Path B when one part number is installed in more than one place.</w:t>
      </w:r>
    </w:p>
    <w:bookmarkStart w:id="68" w:name="d.5.1-qualifying-gates"/>
    <w:p>
      <w:pPr>
        <w:pStyle w:val="Heading3"/>
      </w:pPr>
      <w:r>
        <w:t xml:space="preserve">D.5.1 Qualifying Gates</w:t>
      </w:r>
    </w:p>
    <w:p>
      <w:pPr>
        <w:pStyle w:val="FirstParagraph"/>
      </w:pPr>
      <w:r>
        <w:t xml:space="preserve">Both answers must be YES to continue.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Gate</w:t>
            </w:r>
          </w:p>
        </w:tc>
        <w:tc>
          <w:tcPr/>
          <w:p>
            <w:pPr>
              <w:pStyle w:val="Compact"/>
              <w:jc w:val="left"/>
            </w:pPr>
            <w:r>
              <w:rPr>
                <w:bCs/>
                <w:b/>
              </w:rPr>
              <w:t xml:space="preserve">Question</w:t>
            </w:r>
          </w:p>
        </w:tc>
        <w:tc>
          <w:tcPr/>
          <w:p>
            <w:pPr>
              <w:pStyle w:val="Compact"/>
              <w:jc w:val="left"/>
            </w:pPr>
            <w:r>
              <w:rPr>
                <w:bCs/>
                <w:b/>
              </w:rPr>
              <w:t xml:space="preserve">If the answer is NO</w:t>
            </w:r>
          </w:p>
        </w:tc>
      </w:tr>
      <w:tr>
        <w:tc>
          <w:tcPr/>
          <w:p>
            <w:pPr>
              <w:pStyle w:val="Compact"/>
              <w:jc w:val="left"/>
            </w:pPr>
            <w:r>
              <w:rPr>
                <w:bCs/>
                <w:b/>
              </w:rPr>
              <w:t xml:space="preserve">Q1</w:t>
            </w:r>
          </w:p>
        </w:tc>
        <w:tc>
          <w:tcPr/>
          <w:p>
            <w:pPr>
              <w:pStyle w:val="Compact"/>
              <w:jc w:val="left"/>
            </w:pPr>
            <w:r>
              <w:t xml:space="preserve">Does each item satisfy a system end-use function?</w:t>
            </w:r>
          </w:p>
        </w:tc>
        <w:tc>
          <w:tcPr/>
          <w:p>
            <w:pPr>
              <w:pStyle w:val="Compact"/>
              <w:jc w:val="left"/>
            </w:pPr>
            <w:r>
              <w:t xml:space="preserve">Not CI candidates. Control each item within the parent CI’s configuration documentation. Stop.</w:t>
            </w:r>
          </w:p>
        </w:tc>
      </w:tr>
      <w:tr>
        <w:tc>
          <w:tcPr/>
          <w:p>
            <w:pPr>
              <w:pStyle w:val="Compact"/>
              <w:jc w:val="left"/>
            </w:pPr>
            <w:r>
              <w:rPr>
                <w:bCs/>
                <w:b/>
              </w:rPr>
              <w:t xml:space="preserve">Q2</w:t>
            </w:r>
          </w:p>
        </w:tc>
        <w:tc>
          <w:tcPr/>
          <w:p>
            <w:pPr>
              <w:pStyle w:val="Compact"/>
              <w:jc w:val="left"/>
            </w:pPr>
            <w:r>
              <w:t xml:space="preserve">Does each item meet at least one CI selection criterion?</w:t>
            </w:r>
          </w:p>
        </w:tc>
        <w:tc>
          <w:tcPr/>
          <w:p>
            <w:pPr>
              <w:pStyle w:val="Compact"/>
              <w:jc w:val="left"/>
            </w:pPr>
            <w:r>
              <w:t xml:space="preserve">Parts, not CIs. The PINs already capture the differences. Record a do-not-designate rationale on the CI selection criteria checklist. Stop.</w:t>
            </w:r>
          </w:p>
        </w:tc>
      </w:tr>
    </w:tbl>
    <w:bookmarkEnd w:id="68"/>
    <w:bookmarkStart w:id="69" w:name="d.5.2-separation-triggers"/>
    <w:p>
      <w:pPr>
        <w:pStyle w:val="Heading3"/>
      </w:pPr>
      <w:r>
        <w:t xml:space="preserve">D.5.2 Separation Triggers</w:t>
      </w:r>
    </w:p>
    <w:p>
      <w:pPr>
        <w:pStyle w:val="FirstParagraph"/>
      </w:pPr>
      <w:r>
        <w:t xml:space="preserve">Any single YES separates. Run every trigger anyway. Record each one that fires.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Trigger</w:t>
            </w:r>
          </w:p>
        </w:tc>
        <w:tc>
          <w:tcPr/>
          <w:p>
            <w:pPr>
              <w:pStyle w:val="Compact"/>
              <w:jc w:val="left"/>
            </w:pPr>
            <w:r>
              <w:rPr>
                <w:bCs/>
                <w:b/>
              </w:rPr>
              <w:t xml:space="preserve">Question</w:t>
            </w:r>
          </w:p>
        </w:tc>
        <w:tc>
          <w:tcPr/>
          <w:p>
            <w:pPr>
              <w:pStyle w:val="Compact"/>
              <w:jc w:val="left"/>
            </w:pPr>
            <w:r>
              <w:rPr>
                <w:bCs/>
                <w:b/>
              </w:rPr>
              <w:t xml:space="preserve">YES means</w:t>
            </w:r>
          </w:p>
        </w:tc>
      </w:tr>
      <w:tr>
        <w:tc>
          <w:tcPr/>
          <w:p>
            <w:pPr>
              <w:pStyle w:val="Compact"/>
              <w:jc w:val="left"/>
            </w:pPr>
            <w:r>
              <w:rPr>
                <w:bCs/>
                <w:b/>
              </w:rPr>
              <w:t xml:space="preserve">S1</w:t>
            </w:r>
          </w:p>
        </w:tc>
        <w:tc>
          <w:tcPr/>
          <w:p>
            <w:pPr>
              <w:pStyle w:val="Compact"/>
              <w:jc w:val="left"/>
            </w:pPr>
            <w:r>
              <w:t xml:space="preserve">Do the items perform different end-use functions?</w:t>
            </w:r>
          </w:p>
        </w:tc>
        <w:tc>
          <w:tcPr/>
          <w:p>
            <w:pPr>
              <w:pStyle w:val="Compact"/>
              <w:jc w:val="left"/>
            </w:pPr>
            <w:r>
              <w:t xml:space="preserve">Separate CIs</w:t>
            </w:r>
          </w:p>
        </w:tc>
      </w:tr>
      <w:tr>
        <w:tc>
          <w:tcPr/>
          <w:p>
            <w:pPr>
              <w:pStyle w:val="Compact"/>
              <w:jc w:val="left"/>
            </w:pPr>
            <w:r>
              <w:rPr>
                <w:bCs/>
                <w:b/>
              </w:rPr>
              <w:t xml:space="preserve">S2</w:t>
            </w:r>
          </w:p>
        </w:tc>
        <w:tc>
          <w:tcPr/>
          <w:p>
            <w:pPr>
              <w:pStyle w:val="Compact"/>
              <w:jc w:val="left"/>
            </w:pPr>
            <w:r>
              <w:t xml:space="preserve">Do the items sit under different parents in the system or sub-system hierarchy?</w:t>
            </w:r>
          </w:p>
        </w:tc>
        <w:tc>
          <w:tcPr/>
          <w:p>
            <w:pPr>
              <w:pStyle w:val="Compact"/>
              <w:jc w:val="left"/>
            </w:pPr>
            <w:r>
              <w:t xml:space="preserve">Separate CIs</w:t>
            </w:r>
          </w:p>
        </w:tc>
      </w:tr>
      <w:tr>
        <w:tc>
          <w:tcPr/>
          <w:p>
            <w:pPr>
              <w:pStyle w:val="Compact"/>
              <w:jc w:val="left"/>
            </w:pPr>
            <w:r>
              <w:rPr>
                <w:bCs/>
                <w:b/>
              </w:rPr>
              <w:t xml:space="preserve">S3</w:t>
            </w:r>
          </w:p>
        </w:tc>
        <w:tc>
          <w:tcPr/>
          <w:p>
            <w:pPr>
              <w:pStyle w:val="Compact"/>
              <w:jc w:val="left"/>
            </w:pPr>
            <w:r>
              <w:t xml:space="preserve">Is any one of the items safety-critical?</w:t>
            </w:r>
          </w:p>
        </w:tc>
        <w:tc>
          <w:tcPr/>
          <w:p>
            <w:pPr>
              <w:pStyle w:val="Compact"/>
              <w:jc w:val="left"/>
            </w:pPr>
            <w:r>
              <w:t xml:space="preserve">Separate CIs</w:t>
            </w:r>
          </w:p>
        </w:tc>
      </w:tr>
      <w:tr>
        <w:tc>
          <w:tcPr/>
          <w:p>
            <w:pPr>
              <w:pStyle w:val="Compact"/>
              <w:jc w:val="left"/>
            </w:pPr>
            <w:r>
              <w:rPr>
                <w:bCs/>
                <w:b/>
              </w:rPr>
              <w:t xml:space="preserve">S4</w:t>
            </w:r>
          </w:p>
        </w:tc>
        <w:tc>
          <w:tcPr/>
          <w:p>
            <w:pPr>
              <w:pStyle w:val="Compact"/>
              <w:jc w:val="left"/>
            </w:pPr>
            <w:r>
              <w:t xml:space="preserve">Does either item have or need its own specification for performance or for interfaces?</w:t>
            </w:r>
          </w:p>
        </w:tc>
        <w:tc>
          <w:tcPr/>
          <w:p>
            <w:pPr>
              <w:pStyle w:val="Compact"/>
              <w:jc w:val="left"/>
            </w:pPr>
            <w:r>
              <w:t xml:space="preserve">Separate CIs</w:t>
            </w:r>
          </w:p>
        </w:tc>
      </w:tr>
      <w:tr>
        <w:tc>
          <w:tcPr/>
          <w:p>
            <w:pPr>
              <w:pStyle w:val="Compact"/>
              <w:jc w:val="left"/>
            </w:pPr>
            <w:r>
              <w:rPr>
                <w:bCs/>
                <w:b/>
              </w:rPr>
              <w:t xml:space="preserve">S5</w:t>
            </w:r>
          </w:p>
        </w:tc>
        <w:tc>
          <w:tcPr/>
          <w:p>
            <w:pPr>
              <w:pStyle w:val="Compact"/>
              <w:jc w:val="left"/>
            </w:pPr>
            <w:r>
              <w:t xml:space="preserve">Do the items have or need different verification requirements or different verification plans?</w:t>
            </w:r>
          </w:p>
        </w:tc>
        <w:tc>
          <w:tcPr/>
          <w:p>
            <w:pPr>
              <w:pStyle w:val="Compact"/>
              <w:jc w:val="left"/>
            </w:pPr>
            <w:r>
              <w:t xml:space="preserve">Separate CIs</w:t>
            </w:r>
          </w:p>
        </w:tc>
      </w:tr>
      <w:tr>
        <w:tc>
          <w:tcPr/>
          <w:p>
            <w:pPr>
              <w:pStyle w:val="Compact"/>
              <w:jc w:val="left"/>
            </w:pPr>
            <w:r>
              <w:rPr>
                <w:bCs/>
                <w:b/>
              </w:rPr>
              <w:t xml:space="preserve">S6</w:t>
            </w:r>
          </w:p>
        </w:tc>
        <w:tc>
          <w:tcPr/>
          <w:p>
            <w:pPr>
              <w:pStyle w:val="Compact"/>
              <w:jc w:val="left"/>
            </w:pPr>
            <w:r>
              <w:t xml:space="preserve">Will changes to one item routinely need a separate change or maintenance effectivity address (e.g., cut-in time, separate next higher assembly, separate end item, maintenance or replacement intervals) from the other item?</w:t>
            </w:r>
          </w:p>
        </w:tc>
        <w:tc>
          <w:tcPr/>
          <w:p>
            <w:pPr>
              <w:pStyle w:val="Compact"/>
              <w:jc w:val="left"/>
            </w:pPr>
            <w:r>
              <w:t xml:space="preserve">Separate CIs</w:t>
            </w:r>
          </w:p>
        </w:tc>
      </w:tr>
      <w:tr>
        <w:tc>
          <w:tcPr/>
          <w:p>
            <w:pPr>
              <w:pStyle w:val="Compact"/>
              <w:jc w:val="left"/>
            </w:pPr>
            <w:r>
              <w:rPr>
                <w:bCs/>
                <w:b/>
              </w:rPr>
              <w:t xml:space="preserve">S7</w:t>
            </w:r>
          </w:p>
        </w:tc>
        <w:tc>
          <w:tcPr/>
          <w:p>
            <w:pPr>
              <w:pStyle w:val="Compact"/>
              <w:jc w:val="left"/>
            </w:pPr>
            <w:r>
              <w:t xml:space="preserve">Does Acquirer direction, nomenclature, or logistics force separation?</w:t>
            </w:r>
          </w:p>
        </w:tc>
        <w:tc>
          <w:tcPr/>
          <w:p>
            <w:pPr>
              <w:pStyle w:val="Compact"/>
              <w:jc w:val="left"/>
            </w:pPr>
            <w:r>
              <w:t xml:space="preserve">Separate CIs</w:t>
            </w:r>
          </w:p>
        </w:tc>
      </w:tr>
    </w:tbl>
    <w:p>
      <w:pPr>
        <w:pStyle w:val="BodyText"/>
      </w:pPr>
      <w:r>
        <w:t xml:space="preserve">Where MBSE is used, answer S2 from the model.</w:t>
      </w:r>
    </w:p>
    <w:p>
      <w:pPr>
        <w:pStyle w:val="BodyText"/>
      </w:pPr>
      <w:r>
        <w:t xml:space="preserve">No trigger fires. Then the verdict is one CI with multiple PIN variants. Go to the model check.</w:t>
      </w:r>
    </w:p>
    <w:bookmarkEnd w:id="69"/>
    <w:bookmarkStart w:id="70" w:name="d.5.3-model-check"/>
    <w:p>
      <w:pPr>
        <w:pStyle w:val="Heading3"/>
      </w:pPr>
      <w:r>
        <w:t xml:space="preserve">D.5.3 Model Check</w:t>
      </w:r>
    </w:p>
    <w:p>
      <w:pPr>
        <w:pStyle w:val="FirstParagraph"/>
      </w:pPr>
      <w:r>
        <w:t xml:space="preserve">Every verdict passes the model check. A separation verdict passes it too.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Check</w:t>
            </w:r>
          </w:p>
        </w:tc>
        <w:tc>
          <w:tcPr/>
          <w:p>
            <w:pPr>
              <w:pStyle w:val="Compact"/>
              <w:jc w:val="left"/>
            </w:pPr>
            <w:r>
              <w:rPr>
                <w:bCs/>
                <w:b/>
              </w:rPr>
              <w:t xml:space="preserve">Question</w:t>
            </w:r>
          </w:p>
        </w:tc>
        <w:tc>
          <w:tcPr/>
          <w:p>
            <w:pPr>
              <w:pStyle w:val="Compact"/>
              <w:jc w:val="left"/>
            </w:pPr>
            <w:r>
              <w:rPr>
                <w:bCs/>
                <w:b/>
              </w:rPr>
              <w:t xml:space="preserve">Then</w:t>
            </w:r>
          </w:p>
        </w:tc>
      </w:tr>
      <w:tr>
        <w:tc>
          <w:tcPr/>
          <w:p>
            <w:pPr>
              <w:pStyle w:val="Compact"/>
              <w:jc w:val="left"/>
            </w:pPr>
            <w:r>
              <w:rPr>
                <w:bCs/>
                <w:b/>
              </w:rPr>
              <w:t xml:space="preserve">M1</w:t>
            </w:r>
          </w:p>
        </w:tc>
        <w:tc>
          <w:tcPr/>
          <w:p>
            <w:pPr>
              <w:pStyle w:val="Compact"/>
              <w:jc w:val="left"/>
            </w:pPr>
            <w:r>
              <w:t xml:space="preserve">Is MBSE used on this program?</w:t>
            </w:r>
          </w:p>
        </w:tc>
        <w:tc>
          <w:tcPr/>
          <w:p>
            <w:pPr>
              <w:pStyle w:val="Compact"/>
              <w:jc w:val="left"/>
            </w:pPr>
            <w:r>
              <w:t xml:space="preserve">NO: record the verdict. YES: go to M2.</w:t>
            </w:r>
          </w:p>
        </w:tc>
      </w:tr>
      <w:tr>
        <w:tc>
          <w:tcPr/>
          <w:p>
            <w:pPr>
              <w:pStyle w:val="Compact"/>
              <w:jc w:val="left"/>
            </w:pPr>
            <w:r>
              <w:rPr>
                <w:bCs/>
                <w:b/>
              </w:rPr>
              <w:t xml:space="preserve">M2</w:t>
            </w:r>
          </w:p>
        </w:tc>
        <w:tc>
          <w:tcPr/>
          <w:p>
            <w:pPr>
              <w:pStyle w:val="Compact"/>
              <w:jc w:val="left"/>
            </w:pPr>
            <w:r>
              <w:t xml:space="preserve">Does the verdict match the current MBSE model representation?</w:t>
            </w:r>
          </w:p>
        </w:tc>
        <w:tc>
          <w:tcPr/>
          <w:p>
            <w:pPr>
              <w:pStyle w:val="Compact"/>
              <w:jc w:val="left"/>
            </w:pPr>
            <w:r>
              <w:t xml:space="preserve">YES: record the verdict. NO: hold. Route to Systems Engineering for model disposition before recording.</w:t>
            </w:r>
          </w:p>
        </w:tc>
      </w:tr>
    </w:tbl>
    <w:bookmarkEnd w:id="70"/>
    <w:bookmarkStart w:id="71" w:name="d.5.4-verdicts"/>
    <w:p>
      <w:pPr>
        <w:pStyle w:val="Heading3"/>
      </w:pPr>
      <w:r>
        <w:t xml:space="preserve">D.5.4 Verdicts</w:t>
      </w:r>
    </w:p>
    <w:p>
      <w:pPr>
        <w:pStyle w:val="FirstParagraph"/>
      </w:pPr>
      <w:r>
        <w:rPr>
          <w:bCs/>
          <w:b/>
        </w:rPr>
        <w:t xml:space="preserve">Not CI candidates.</w:t>
      </w:r>
      <w:r>
        <w:t xml:space="preserve"> </w:t>
      </w:r>
      <w:r>
        <w:t xml:space="preserve">Q1 fails. The items have no end-use function. Control them within the parent CI’s configuration documentation.</w:t>
      </w:r>
    </w:p>
    <w:p>
      <w:pPr>
        <w:pStyle w:val="BodyText"/>
      </w:pPr>
      <w:r>
        <w:rPr>
          <w:bCs/>
          <w:b/>
        </w:rPr>
        <w:t xml:space="preserve">Parts, not CIs.</w:t>
      </w:r>
      <w:r>
        <w:t xml:space="preserve"> </w:t>
      </w:r>
      <w:r>
        <w:t xml:space="preserve">Q2 fails. No selection criterion applies. Do not designate CIs to solve a part numbering question. The PINs already capture non-interchangeability. Record a do-not-designate rationale on the CI selection criteria checklist.</w:t>
      </w:r>
    </w:p>
    <w:p>
      <w:pPr>
        <w:pStyle w:val="BodyText"/>
      </w:pPr>
      <w:r>
        <w:rPr>
          <w:bCs/>
          <w:b/>
        </w:rPr>
        <w:t xml:space="preserve">Separate CIs.</w:t>
      </w:r>
      <w:r>
        <w:t xml:space="preserve"> </w:t>
      </w:r>
      <w:r>
        <w:t xml:space="preserve">Any trigger fires. Each item gets its own CI identifier. Each gets its own position in the hierarchy. Each gets a determination of its required configuration documentation. Each gets its own effectivity address and its own baseline management. Verify that every pairwise boundary between the new sibling CIs appears in the interface register, or carries a signed no-interface determination.</w:t>
      </w:r>
    </w:p>
    <w:p>
      <w:pPr>
        <w:pStyle w:val="BodyText"/>
      </w:pPr>
      <w:r>
        <w:rPr>
          <w:bCs/>
          <w:b/>
        </w:rPr>
        <w:t xml:space="preserve">One CI, multiple PIN variants.</w:t>
      </w:r>
      <w:r>
        <w:t xml:space="preserve"> </w:t>
      </w:r>
      <w:r>
        <w:t xml:space="preserve">No trigger fires. One CI identifier covers the family. The PINs are carried as variants beneath it. Record the variant mapping in the CI index. Tabulate the specification by variant, including the interface callouts for each variant.</w:t>
      </w:r>
    </w:p>
    <w:bookmarkEnd w:id="71"/>
    <w:bookmarkEnd w:id="72"/>
    <w:bookmarkStart w:id="73" w:name="Xd3e1c66861ea84a6290a27c5ba4a022f8a4dcdd"/>
    <w:p>
      <w:pPr>
        <w:pStyle w:val="Heading2"/>
      </w:pPr>
      <w:r>
        <w:t xml:space="preserve">D.6 Decision Path B: One PIN in More Than One Place</w:t>
      </w:r>
    </w:p>
    <w:p>
      <w:pPr>
        <w:pStyle w:val="FirstParagraph"/>
      </w:pPr>
      <w:r>
        <w:t xml:space="preserve">One part number is installed in more than one place. Decision Path A does not fit. It compares items against each other. Here there is one item.</w:t>
      </w:r>
    </w:p>
    <w:p>
      <w:pPr>
        <w:pStyle w:val="BodyText"/>
      </w:pPr>
      <w:r>
        <w:t xml:space="preserve">Run these triggers instead. Compare the item instances and their next-higher items (installed position) together, not the items alone.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Trigger</w:t>
            </w:r>
          </w:p>
        </w:tc>
        <w:tc>
          <w:tcPr/>
          <w:p>
            <w:pPr>
              <w:pStyle w:val="Compact"/>
              <w:jc w:val="left"/>
            </w:pPr>
            <w:r>
              <w:rPr>
                <w:bCs/>
                <w:b/>
              </w:rPr>
              <w:t xml:space="preserve">Question</w:t>
            </w:r>
          </w:p>
        </w:tc>
        <w:tc>
          <w:tcPr/>
          <w:p>
            <w:pPr>
              <w:pStyle w:val="Compact"/>
              <w:jc w:val="left"/>
            </w:pPr>
            <w:r>
              <w:rPr>
                <w:bCs/>
                <w:b/>
              </w:rPr>
              <w:t xml:space="preserve">YES means</w:t>
            </w:r>
          </w:p>
        </w:tc>
      </w:tr>
      <w:tr>
        <w:tc>
          <w:tcPr/>
          <w:p>
            <w:pPr>
              <w:pStyle w:val="Compact"/>
              <w:jc w:val="left"/>
            </w:pPr>
            <w:r>
              <w:rPr>
                <w:bCs/>
                <w:b/>
              </w:rPr>
              <w:t xml:space="preserve">B1</w:t>
            </w:r>
          </w:p>
        </w:tc>
        <w:tc>
          <w:tcPr/>
          <w:p>
            <w:pPr>
              <w:pStyle w:val="Compact"/>
              <w:jc w:val="left"/>
            </w:pPr>
            <w:r>
              <w:t xml:space="preserve">Does each item instance satisfy a different end-use function?</w:t>
            </w:r>
          </w:p>
        </w:tc>
        <w:tc>
          <w:tcPr/>
          <w:p>
            <w:pPr>
              <w:pStyle w:val="Compact"/>
              <w:jc w:val="left"/>
            </w:pPr>
            <w:r>
              <w:t xml:space="preserve">Separate CIs</w:t>
            </w:r>
          </w:p>
        </w:tc>
      </w:tr>
      <w:tr>
        <w:tc>
          <w:tcPr/>
          <w:p>
            <w:pPr>
              <w:pStyle w:val="Compact"/>
              <w:jc w:val="left"/>
            </w:pPr>
            <w:r>
              <w:rPr>
                <w:bCs/>
                <w:b/>
              </w:rPr>
              <w:t xml:space="preserve">B2</w:t>
            </w:r>
          </w:p>
        </w:tc>
        <w:tc>
          <w:tcPr/>
          <w:p>
            <w:pPr>
              <w:pStyle w:val="Compact"/>
              <w:jc w:val="left"/>
            </w:pPr>
            <w:r>
              <w:t xml:space="preserve">Does each item instance sit under a different parent in the system or sub-system hierarchy?</w:t>
            </w:r>
          </w:p>
        </w:tc>
        <w:tc>
          <w:tcPr/>
          <w:p>
            <w:pPr>
              <w:pStyle w:val="Compact"/>
              <w:jc w:val="left"/>
            </w:pPr>
            <w:r>
              <w:t xml:space="preserve">Separate CIs</w:t>
            </w:r>
          </w:p>
        </w:tc>
      </w:tr>
      <w:tr>
        <w:tc>
          <w:tcPr/>
          <w:p>
            <w:pPr>
              <w:pStyle w:val="Compact"/>
              <w:jc w:val="left"/>
            </w:pPr>
            <w:r>
              <w:rPr>
                <w:bCs/>
                <w:b/>
              </w:rPr>
              <w:t xml:space="preserve">B3</w:t>
            </w:r>
          </w:p>
        </w:tc>
        <w:tc>
          <w:tcPr/>
          <w:p>
            <w:pPr>
              <w:pStyle w:val="Compact"/>
              <w:jc w:val="left"/>
            </w:pPr>
            <w:r>
              <w:t xml:space="preserve">Does each item instance need its own change or maintenance effectivity address (e.g., cut-in time, separate next higher assembly, separate end item, maintenance or replacement intervals)?</w:t>
            </w:r>
          </w:p>
        </w:tc>
        <w:tc>
          <w:tcPr/>
          <w:p>
            <w:pPr>
              <w:pStyle w:val="Compact"/>
              <w:jc w:val="left"/>
            </w:pPr>
            <w:r>
              <w:t xml:space="preserve">Separate CIs</w:t>
            </w:r>
          </w:p>
        </w:tc>
      </w:tr>
      <w:tr>
        <w:tc>
          <w:tcPr/>
          <w:p>
            <w:pPr>
              <w:pStyle w:val="Compact"/>
              <w:jc w:val="left"/>
            </w:pPr>
            <w:r>
              <w:rPr>
                <w:bCs/>
                <w:b/>
              </w:rPr>
              <w:t xml:space="preserve">B4</w:t>
            </w:r>
          </w:p>
        </w:tc>
        <w:tc>
          <w:tcPr/>
          <w:p>
            <w:pPr>
              <w:pStyle w:val="Compact"/>
              <w:jc w:val="left"/>
            </w:pPr>
            <w:r>
              <w:t xml:space="preserve">Is one item instance safety-critical when another is not?</w:t>
            </w:r>
          </w:p>
        </w:tc>
        <w:tc>
          <w:tcPr/>
          <w:p>
            <w:pPr>
              <w:pStyle w:val="Compact"/>
              <w:jc w:val="left"/>
            </w:pPr>
            <w:r>
              <w:t xml:space="preserve">Separate CIs</w:t>
            </w:r>
          </w:p>
        </w:tc>
      </w:tr>
    </w:tbl>
    <w:p>
      <w:pPr>
        <w:pStyle w:val="BodyText"/>
      </w:pPr>
      <w:r>
        <w:t xml:space="preserve">Any YES means separate CIs against one PIN. The qualifying gates and the model check still apply.</w:t>
      </w:r>
    </w:p>
    <w:p>
      <w:pPr>
        <w:pStyle w:val="BodyText"/>
      </w:pPr>
      <w:r>
        <w:rPr>
          <w:bCs/>
          <w:b/>
        </w:rPr>
        <w:t xml:space="preserve">State the cost before adopting this verdict.</w:t>
      </w:r>
      <w:r>
        <w:t xml:space="preserve"> </w:t>
      </w:r>
      <w:r>
        <w:t xml:space="preserve">One PIN under two CI identifiers carries a consequence for the life of the program. The CI identifier no longer resolves from the item alone. It resolves from the item and its installed position together. The as-built record must carry the CI identifier at the installation, not on the part. Configuration status accounting must key on the CI and the position together. Marking on the part cannot carry the CI identifier. The part is one part number.</w:t>
      </w:r>
    </w:p>
    <w:p>
      <w:pPr>
        <w:pStyle w:val="BodyText"/>
      </w:pPr>
      <w:r>
        <w:t xml:space="preserve">Confirm that the CSA system supports position-keyed CI identity before recording this verdict. Record that confirmation with the rationale.</w:t>
      </w:r>
    </w:p>
    <w:bookmarkEnd w:id="73"/>
    <w:bookmarkStart w:id="78" w:name="d.7-trigger-rationale-and-cautions"/>
    <w:p>
      <w:pPr>
        <w:pStyle w:val="Heading2"/>
      </w:pPr>
      <w:r>
        <w:t xml:space="preserve">D.7 Trigger Rationale and Cautions</w:t>
      </w:r>
    </w:p>
    <w:bookmarkStart w:id="74" w:name="d.7.1-s3-safety-either-item-not-both"/>
    <w:p>
      <w:pPr>
        <w:pStyle w:val="Heading3"/>
      </w:pPr>
      <w:r>
        <w:t xml:space="preserve">D.7.1 S3: Safety, Either Item, Not Both</w:t>
      </w:r>
    </w:p>
    <w:p>
      <w:pPr>
        <w:pStyle w:val="FirstParagraph"/>
      </w:pPr>
      <w:r>
        <w:t xml:space="preserve">Separate the CIs if any one item is safety-critical. Do not wait for all of them to be.</w:t>
      </w:r>
    </w:p>
    <w:p>
      <w:pPr>
        <w:pStyle w:val="BodyText"/>
      </w:pPr>
      <w:r>
        <w:t xml:space="preserve">A safety-critical item sharing a CI identifier with a non-critical item produces one of two outcomes. The whole CI inherits the obligations of the safety criterion, and safety change control with it. Or the hazard-to-CI traceability blurs. Both outcomes are worse than a second CI number.</w:t>
      </w:r>
    </w:p>
    <w:p>
      <w:pPr>
        <w:pStyle w:val="BodyText"/>
      </w:pPr>
      <w:r>
        <w:t xml:space="preserve">Separate the CIs when each item is safety-critical too. Each one needs distinct hazard traceability. Each one needs an independent effectivity address for safety-driven changes.</w:t>
      </w:r>
    </w:p>
    <w:p>
      <w:pPr>
        <w:pStyle w:val="BodyText"/>
      </w:pPr>
      <w:r>
        <w:t xml:space="preserve">Do not consolidate a safety-critical item with a non-safety-critical item into a shared CI identifier without System Safety concurrence. The terms are the same as for any other decision not to designate a safety-critical item as a CI.</w:t>
      </w:r>
    </w:p>
    <w:bookmarkEnd w:id="74"/>
    <w:bookmarkStart w:id="75" w:name="Xd256169302b7586f5323fde45b9d88c7a1568e0"/>
    <w:p>
      <w:pPr>
        <w:pStyle w:val="Heading3"/>
      </w:pPr>
      <w:r>
        <w:t xml:space="preserve">D.7.2 S4: The One-Specification Test and the ICD Caution</w:t>
      </w:r>
    </w:p>
    <w:p>
      <w:pPr>
        <w:pStyle w:val="FirstParagraph"/>
      </w:pPr>
      <w:r>
        <w:t xml:space="preserve">One specification must define performance and interfaces for all variants. A tabulated specification is acceptable.</w:t>
      </w:r>
    </w:p>
    <w:p>
      <w:pPr>
        <w:pStyle w:val="BodyText"/>
      </w:pPr>
      <w:r>
        <w:t xml:space="preserve">Interfaces are where consolidation quietly fails. Apply this caution.</w:t>
      </w:r>
    </w:p>
    <w:p>
      <w:pPr>
        <w:pStyle w:val="BodyText"/>
      </w:pPr>
      <w:r>
        <w:rPr>
          <w:bCs/>
          <w:b/>
        </w:rPr>
        <w:t xml:space="preserve">Appearing on the same ICD is not evidence of a common interface.</w:t>
      </w:r>
      <w:r>
        <w:t xml:space="preserve"> </w:t>
      </w:r>
      <w:r>
        <w:t xml:space="preserve">Both items may appear in one ICD. The ICD may still call out separate interfaces for each item. That case requires analysis. Do not stop at</w:t>
      </w:r>
      <w:r>
        <w:t xml:space="preserve"> </w:t>
      </w:r>
      <w:r>
        <w:t xml:space="preserve">“</w:t>
      </w:r>
      <w:r>
        <w:t xml:space="preserve">they are on the same ICD.</w:t>
      </w:r>
      <w:r>
        <w:t xml:space="preserve">”</w:t>
      </w:r>
    </w:p>
    <w:p>
      <w:pPr>
        <w:pStyle w:val="BodyText"/>
      </w:pPr>
      <w:r>
        <w:t xml:space="preserve">Determine whether one interface definition governs all variants. Determine whether the ICD is instead documenting different interfaces.</w:t>
      </w:r>
    </w:p>
    <w:p>
      <w:pPr>
        <w:pStyle w:val="BodyText"/>
      </w:pPr>
      <w:r>
        <w:t xml:space="preserve">Distinct interface callouts usually mean different mating definitions. They usually mean separate interface change traffic. Both are grounds for separate effectivity under S6. Both are grounds for separate CIs outright.</w:t>
      </w:r>
    </w:p>
    <w:p>
      <w:pPr>
        <w:pStyle w:val="BodyText"/>
      </w:pPr>
      <w:r>
        <w:t xml:space="preserve">Record the analysis outcome in the rationale. Make sure the interface register identifies which variant each interface row applies to.</w:t>
      </w:r>
    </w:p>
    <w:bookmarkEnd w:id="75"/>
    <w:bookmarkStart w:id="76" w:name="d.7.3-s5-verification"/>
    <w:p>
      <w:pPr>
        <w:pStyle w:val="Heading3"/>
      </w:pPr>
      <w:r>
        <w:t xml:space="preserve">D.7.3 S5: Verification</w:t>
      </w:r>
    </w:p>
    <w:p>
      <w:pPr>
        <w:pStyle w:val="FirstParagraph"/>
      </w:pPr>
      <w:r>
        <w:t xml:space="preserve">One qualification and acceptance basis must cover all variants.</w:t>
      </w:r>
    </w:p>
    <w:p>
      <w:pPr>
        <w:pStyle w:val="BodyText"/>
      </w:pPr>
      <w:r>
        <w:t xml:space="preserve">Designate separately where variants need separate definition of performance and test requirements. Designate separately where variants must be verified independently, to different requirements or by different plans.</w:t>
      </w:r>
    </w:p>
    <w:p>
      <w:pPr>
        <w:pStyle w:val="BodyText"/>
      </w:pPr>
      <w:r>
        <w:t xml:space="preserve">The verification picture is often unknown early. Obtain it before deciding. This trigger is frequently the deciding fact.</w:t>
      </w:r>
    </w:p>
    <w:bookmarkEnd w:id="76"/>
    <w:bookmarkStart w:id="77" w:name="X1a5dce8a36ed929bd9642df47fc1f23e50a43ae"/>
    <w:p>
      <w:pPr>
        <w:pStyle w:val="Heading3"/>
      </w:pPr>
      <w:r>
        <w:t xml:space="preserve">D.7.4 S6: Change</w:t>
      </w:r>
      <w:r>
        <w:t xml:space="preserve"> </w:t>
      </w:r>
      <w:r>
        <w:rPr>
          <w:bCs/>
          <w:b/>
        </w:rPr>
        <w:t xml:space="preserve">or</w:t>
      </w:r>
      <w:r>
        <w:t xml:space="preserve"> </w:t>
      </w:r>
      <w:r>
        <w:t xml:space="preserve">Maintenance Effectivity Address</w:t>
      </w:r>
    </w:p>
    <w:p>
      <w:pPr>
        <w:pStyle w:val="FirstParagraph"/>
      </w:pPr>
      <w:r>
        <w:t xml:space="preserve">This is the practical day-to-day discriminator.</w:t>
      </w:r>
    </w:p>
    <w:p>
      <w:pPr>
        <w:pStyle w:val="BodyText"/>
      </w:pPr>
      <w:r>
        <w:t xml:space="preserve">A change or maintenance interval to one item may need to be dispositioned, tracked, and cut in independently of the others. Where that is routine, each item needs its own effectivity address. That is a primary reason separate CIs exist.</w:t>
      </w:r>
    </w:p>
    <w:p>
      <w:pPr>
        <w:pStyle w:val="BodyText"/>
      </w:pPr>
      <w:r>
        <w:t xml:space="preserve">Where changes or maintenance tasking normally apply across the family, one CI is sufficient.</w:t>
      </w:r>
    </w:p>
    <w:p>
      <w:pPr>
        <w:pStyle w:val="BodyText"/>
      </w:pPr>
      <w:r>
        <w:rPr>
          <w:bCs/>
          <w:b/>
        </w:rPr>
        <w:t xml:space="preserve">The influencing part.</w:t>
      </w:r>
      <w:r>
        <w:t xml:space="preserve"> </w:t>
      </w:r>
      <w:r>
        <w:t xml:space="preserve">An influencing part carries no life limit of its own. Its own failure has no hazardous effect. It fails the safety criterion by its own definition. It still needs an independent effectivity address, because the approved lifing basis of the part it governs depends on its configuration. S3 will not catch it. S6 will. See the influencing part discussion in the criticality designations appendix.</w:t>
      </w:r>
    </w:p>
    <w:bookmarkEnd w:id="77"/>
    <w:bookmarkEnd w:id="78"/>
    <w:bookmarkStart w:id="82" w:name="d.8-mbse-alignment"/>
    <w:p>
      <w:pPr>
        <w:pStyle w:val="Heading2"/>
      </w:pPr>
      <w:r>
        <w:t xml:space="preserve">D.8 MBSE Alignment</w:t>
      </w:r>
    </w:p>
    <w:p>
      <w:pPr>
        <w:pStyle w:val="FirstParagraph"/>
      </w:pPr>
      <w:r>
        <w:t xml:space="preserve">Where MBSE is used, the CI structure mirrors the model decomposition. The two do not diverge. Three rules govern how this appendix interacts with the model.</w:t>
      </w:r>
    </w:p>
    <w:bookmarkStart w:id="79" w:name="Xf26cb0fd8f0dacbdb5541964504f9c7b4141318"/>
    <w:p>
      <w:pPr>
        <w:pStyle w:val="Heading3"/>
      </w:pPr>
      <w:r>
        <w:t xml:space="preserve">D.8.1 The Model Informs. It Does Not Decide.</w:t>
      </w:r>
    </w:p>
    <w:p>
      <w:pPr>
        <w:pStyle w:val="FirstParagraph"/>
      </w:pPr>
      <w:r>
        <w:t xml:space="preserve">Answer S2 from the model where a model exists.</w:t>
      </w:r>
    </w:p>
    <w:p>
      <w:pPr>
        <w:pStyle w:val="BodyText"/>
      </w:pPr>
      <w:r>
        <w:t xml:space="preserve">The model’s current abstraction of the candidate items is not itself a verdict. One element or sibling elements, either way, the abstraction is not the answer. SysML can legitimately represent a variant family either way. One logical block with multiple physical realizations is valid. Sibling blocks are valid.</w:t>
      </w:r>
    </w:p>
    <w:p>
      <w:pPr>
        <w:pStyle w:val="BodyText"/>
      </w:pPr>
      <w:r>
        <w:t xml:space="preserve">A mismatch between the model and this screen may mean only that the architect stopped abstracting at a different level. It does not mean either view is wrong. The screen result is engineering evidence for which representation is correct.</w:t>
      </w:r>
    </w:p>
    <w:bookmarkEnd w:id="79"/>
    <w:bookmarkStart w:id="80" w:name="X32fb9766f493aba88ed5ece7ca344fa31c66e3c"/>
    <w:p>
      <w:pPr>
        <w:pStyle w:val="Heading3"/>
      </w:pPr>
      <w:r>
        <w:t xml:space="preserve">D.8.2 Adjudicating the CI Question May Drive Changes to the Model</w:t>
      </w:r>
    </w:p>
    <w:p>
      <w:pPr>
        <w:pStyle w:val="FirstParagraph"/>
      </w:pPr>
      <w:r>
        <w:t xml:space="preserve">That is an expected outcome of the process. It is not a workaround.</w:t>
      </w:r>
    </w:p>
    <w:p>
      <w:pPr>
        <w:pStyle w:val="BodyText"/>
      </w:pPr>
      <w:r>
        <w:t xml:space="preserve">The screen may require separate CIs where the model shows one element. It may support one CI where the model shows siblings. CM raises the discrepancy to Systems Engineering as a model disposition item.</w:t>
      </w:r>
    </w:p>
    <w:p>
      <w:pPr>
        <w:pStyle w:val="BodyText"/>
      </w:pPr>
      <w:r>
        <w:t xml:space="preserve">Where SE concurs, the model is corrected. The decomposition change is itself a re-evaluation trigger. The process loops as designed.</w:t>
      </w:r>
    </w:p>
    <w:p>
      <w:pPr>
        <w:pStyle w:val="BodyText"/>
      </w:pPr>
      <w:r>
        <w:t xml:space="preserve">Where SE does not concur, the disagreement is a genuine engineering dispute. Resolve it at a technical review.</w:t>
      </w:r>
    </w:p>
    <w:p>
      <w:pPr>
        <w:pStyle w:val="BodyText"/>
      </w:pPr>
      <w:r>
        <w:t xml:space="preserve">CM does not override the architecture unilaterally. Systems Engineering does not silently overrule the CI screen.</w:t>
      </w:r>
    </w:p>
    <w:bookmarkEnd w:id="80"/>
    <w:bookmarkStart w:id="81" w:name="Xaa4633b7152e8ca582588bdf463662728a3394c"/>
    <w:p>
      <w:pPr>
        <w:pStyle w:val="Heading3"/>
      </w:pPr>
      <w:r>
        <w:t xml:space="preserve">D.8.3 Never Record Against a Divergent Model</w:t>
      </w:r>
    </w:p>
    <w:p>
      <w:pPr>
        <w:pStyle w:val="FirstParagraph"/>
      </w:pPr>
      <w:r>
        <w:t xml:space="preserve">Do not designate two CIs against one model element before the model is dispositioned. Do not consolidate two model elements under one CI before the model is dispositioned.</w:t>
      </w:r>
    </w:p>
    <w:p>
      <w:pPr>
        <w:pStyle w:val="BodyText"/>
      </w:pPr>
      <w:r>
        <w:t xml:space="preserve">Either action breaks the traceability rule. Every CI resolves to a model element. Every model element resolves to a CI. Either action also creates a second, independent decomposition. The MBSE alignment guidance prohibits that.</w:t>
      </w:r>
    </w:p>
    <w:p>
      <w:pPr>
        <w:pStyle w:val="BodyText"/>
      </w:pPr>
      <w:r>
        <w:t xml:space="preserve">The model check enforces this. A verdict that mismatches the model is held. It is routed to Systems Engineering. It is recorded only after the model and the CI structure agree.</w:t>
      </w:r>
    </w:p>
    <w:bookmarkEnd w:id="81"/>
    <w:bookmarkEnd w:id="82"/>
    <w:bookmarkStart w:id="83" w:name="d.9-recording-the-result"/>
    <w:p>
      <w:pPr>
        <w:pStyle w:val="Heading2"/>
      </w:pPr>
      <w:r>
        <w:t xml:space="preserve">D.9 Recording the Result</w:t>
      </w:r>
    </w:p>
    <w:p>
      <w:pPr>
        <w:numPr>
          <w:ilvl w:val="0"/>
          <w:numId w:val="1014"/>
        </w:numPr>
      </w:pPr>
      <w:r>
        <w:t xml:space="preserve">Complete a CI selection criteria checklist for each item, or one for each consolidated CI. Cite every trigger that fired as the rationale.</w:t>
      </w:r>
    </w:p>
    <w:p>
      <w:pPr>
        <w:numPr>
          <w:ilvl w:val="0"/>
          <w:numId w:val="1014"/>
        </w:numPr>
      </w:pPr>
      <w:r>
        <w:t xml:space="preserve">Apply the product unit record-structure test to each variant and to its component parts. One CI may contain parts of more than one product unit record structure. The product unit record structure follows that test. It does not follow CI status, and it does not follow the verdict reached here.</w:t>
      </w:r>
    </w:p>
    <w:p>
      <w:pPr>
        <w:numPr>
          <w:ilvl w:val="0"/>
          <w:numId w:val="1014"/>
        </w:numPr>
      </w:pPr>
      <w:r>
        <w:rPr>
          <w:bCs/>
          <w:b/>
        </w:rPr>
        <w:t xml:space="preserve">One-CI verdicts.</w:t>
      </w:r>
      <w:r>
        <w:t xml:space="preserve"> </w:t>
      </w:r>
      <w:r>
        <w:t xml:space="preserve">Record the CI-to-PIN variant mapping in the CI index. Tabulate the specification by variant. Identify variant applicability on each interface register row.</w:t>
      </w:r>
    </w:p>
    <w:p>
      <w:pPr>
        <w:numPr>
          <w:ilvl w:val="0"/>
          <w:numId w:val="1014"/>
        </w:numPr>
      </w:pPr>
      <w:r>
        <w:rPr>
          <w:bCs/>
          <w:b/>
        </w:rPr>
        <w:t xml:space="preserve">Separate-CI verdicts.</w:t>
      </w:r>
      <w:r>
        <w:t xml:space="preserve"> </w:t>
      </w:r>
      <w:r>
        <w:t xml:space="preserve">Verify that every pairwise boundary between the new sibling CIs appears in the interface register, or carries a signed no-interface determination.</w:t>
      </w:r>
    </w:p>
    <w:p>
      <w:pPr>
        <w:numPr>
          <w:ilvl w:val="0"/>
          <w:numId w:val="1014"/>
        </w:numPr>
      </w:pPr>
      <w:r>
        <w:rPr>
          <w:bCs/>
          <w:b/>
        </w:rPr>
        <w:t xml:space="preserve">One-PIN-multiple-CI verdicts.</w:t>
      </w:r>
      <w:r>
        <w:t xml:space="preserve"> </w:t>
      </w:r>
      <w:r>
        <w:t xml:space="preserve">Record the CI identifier against the installed position, not against the part. Record the CSA confirmation described in Decision Path B.</w:t>
      </w:r>
    </w:p>
    <w:p>
      <w:pPr>
        <w:numPr>
          <w:ilvl w:val="0"/>
          <w:numId w:val="1014"/>
        </w:numPr>
      </w:pPr>
      <w:r>
        <w:rPr>
          <w:bCs/>
          <w:b/>
        </w:rPr>
        <w:t xml:space="preserve">All verdicts.</w:t>
      </w:r>
      <w:r>
        <w:t xml:space="preserve"> </w:t>
      </w:r>
      <w:r>
        <w:t xml:space="preserve">Submit for Acquirer concurrence. Record in the CSA system. Re-run this assessment on any trigger. A variant’s specification, verification, effectivity, or safety classification may diverge later. Each divergence is a trigger.</w:t>
      </w:r>
    </w:p>
    <w:bookmarkEnd w:id="83"/>
    <w:bookmarkStart w:id="87" w:name="d.10-splits-and-consolidations"/>
    <w:p>
      <w:pPr>
        <w:pStyle w:val="Heading2"/>
      </w:pPr>
      <w:r>
        <w:t xml:space="preserve">D.10 Splits and Consolidations</w:t>
      </w:r>
    </w:p>
    <w:p>
      <w:pPr>
        <w:pStyle w:val="FirstParagraph"/>
      </w:pPr>
      <w:r>
        <w:t xml:space="preserve">A verdict sometimes changes a CI designation that already exists. One CI becomes two. Two CIs become one. Establish the current CI designation before running the gates. The same verdict means different work depending on where the assessment started.</w:t>
      </w:r>
    </w:p>
    <w:p>
      <w:pPr>
        <w:pStyle w:val="BodyText"/>
      </w:pPr>
      <w:r>
        <w:t xml:space="preserve">Both cases are selection changes. Submit both for Acquirer concurrence.</w:t>
      </w:r>
    </w:p>
    <w:bookmarkStart w:id="84" w:name="d.10.1-a-split"/>
    <w:p>
      <w:pPr>
        <w:pStyle w:val="Heading3"/>
      </w:pPr>
      <w:r>
        <w:t xml:space="preserve">D.10.1 A Split</w:t>
      </w:r>
    </w:p>
    <w:p>
      <w:pPr>
        <w:pStyle w:val="FirstParagraph"/>
      </w:pPr>
      <w:r>
        <w:t xml:space="preserve">One CI today. The gates return separate CIs.</w:t>
      </w:r>
    </w:p>
    <w:p>
      <w:pPr>
        <w:numPr>
          <w:ilvl w:val="0"/>
          <w:numId w:val="1015"/>
        </w:numPr>
      </w:pPr>
      <w:r>
        <w:t xml:space="preserve">CI identifiers change. PINs move only on a non-interchangeable condition. Product unit identifiers never move. A modified unit keeps its original unit identifier even though the PIN changes.</w:t>
      </w:r>
    </w:p>
    <w:p>
      <w:pPr>
        <w:numPr>
          <w:ilvl w:val="0"/>
          <w:numId w:val="1015"/>
        </w:numPr>
      </w:pPr>
      <w:r>
        <w:t xml:space="preserve">Every boundary between the new sibling CIs goes in the interface register, or carries a signed no-interface determination. A split creates boundaries that did not exist before.</w:t>
      </w:r>
    </w:p>
    <w:p>
      <w:pPr>
        <w:numPr>
          <w:ilvl w:val="0"/>
          <w:numId w:val="1015"/>
        </w:numPr>
      </w:pPr>
      <w:r>
        <w:t xml:space="preserve">Retain the old CI index row with its status changed. Never delete it. The old identifier is the trace to everything recorded against it.</w:t>
      </w:r>
    </w:p>
    <w:bookmarkEnd w:id="84"/>
    <w:bookmarkStart w:id="85" w:name="d.10.2-a-consolidation"/>
    <w:p>
      <w:pPr>
        <w:pStyle w:val="Heading3"/>
      </w:pPr>
      <w:r>
        <w:t xml:space="preserve">D.10.2 A Consolidation</w:t>
      </w:r>
    </w:p>
    <w:p>
      <w:pPr>
        <w:pStyle w:val="FirstParagraph"/>
      </w:pPr>
      <w:r>
        <w:t xml:space="preserve">Separate CIs today. The gates return one CI.</w:t>
      </w:r>
    </w:p>
    <w:p>
      <w:pPr>
        <w:numPr>
          <w:ilvl w:val="0"/>
          <w:numId w:val="1016"/>
        </w:numPr>
      </w:pPr>
      <w:r>
        <w:t xml:space="preserve">The boundary between the old CIs becomes internal. Disposition the interface register rows and record why. Do not leave a row pointing at a boundary that no longer exists.</w:t>
      </w:r>
    </w:p>
    <w:p>
      <w:pPr>
        <w:numPr>
          <w:ilvl w:val="0"/>
          <w:numId w:val="1016"/>
        </w:numPr>
      </w:pPr>
      <w:r>
        <w:t xml:space="preserve">Retain the old CI index rows with their status changed.</w:t>
      </w:r>
    </w:p>
    <w:p>
      <w:pPr>
        <w:numPr>
          <w:ilvl w:val="0"/>
          <w:numId w:val="1016"/>
        </w:numPr>
      </w:pPr>
      <w:r>
        <w:t xml:space="preserve">PINs do not merge. Each variant keeps its own PIN beneath the one CI. Consolidating the CI identifier does not make the variants interchangeable.</w:t>
      </w:r>
    </w:p>
    <w:bookmarkEnd w:id="85"/>
    <w:bookmarkStart w:id="86" w:name="d.10.3-both-cases"/>
    <w:p>
      <w:pPr>
        <w:pStyle w:val="Heading3"/>
      </w:pPr>
      <w:r>
        <w:t xml:space="preserve">D.10.3 Both Cases</w:t>
      </w:r>
    </w:p>
    <w:p>
      <w:pPr>
        <w:pStyle w:val="FirstParagraph"/>
      </w:pPr>
      <w:r>
        <w:t xml:space="preserve">Apply the product unit record-structure test again. The product unit record structure follows that test, not the CI structure. A split does not create a serialization obligation. A consolidation does not remove one.</w:t>
      </w:r>
    </w:p>
    <w:p>
      <w:pPr>
        <w:pStyle w:val="BodyText"/>
      </w:pPr>
      <w:r>
        <w:t xml:space="preserve">A change to the CI structure is a re-evaluation trigger in its own right. Where MBSE is used, the model check applies to the changed structure before it is recorded.</w:t>
      </w:r>
    </w:p>
    <w:bookmarkEnd w:id="86"/>
    <w:bookmarkEnd w:id="87"/>
    <w:bookmarkStart w:id="88" w:name="d.11-worked-example-three-relays"/>
    <w:p>
      <w:pPr>
        <w:pStyle w:val="Heading2"/>
      </w:pPr>
      <w:r>
        <w:t xml:space="preserve">D.11 Worked Example: Three Relays</w:t>
      </w:r>
    </w:p>
    <w:p>
      <w:pPr>
        <w:pStyle w:val="FirstParagraph"/>
      </w:pPr>
      <w:r>
        <w:t xml:space="preserve">Three relays carry different part numbers. They perform the same end-use function. They sit under the same parent. They come from the same vendor. They share maintenance requirements. None is safety-critical. Their interfaces differ slightly. Verification requirements are unknown.</w:t>
      </w:r>
    </w:p>
    <w:p>
      <w:pPr>
        <w:pStyle w:val="BodyText"/>
      </w:pPr>
      <w:r>
        <w:rPr>
          <w:bCs/>
          <w:b/>
        </w:rPr>
        <w:t xml:space="preserve">Scope cautions.</w:t>
      </w:r>
      <w:r>
        <w:t xml:space="preserve"> </w:t>
      </w:r>
      <w:r>
        <w:t xml:space="preserve">The relays are vendor catalog items. The company procures each one as a unit. Compare them as procured. Do not decompose them.</w:t>
      </w:r>
    </w:p>
    <w:p>
      <w:pPr>
        <w:pStyle w:val="BodyText"/>
      </w:pPr>
      <w:r>
        <w:rPr>
          <w:bCs/>
          <w:b/>
        </w:rPr>
        <w:t xml:space="preserve">Q1 and Q2.</w:t>
      </w:r>
      <w:r>
        <w:t xml:space="preserve"> </w:t>
      </w:r>
      <w:r>
        <w:t xml:space="preserve">The relays pass the end-use function gate. Whether they meet a selection criterion is a separate question. Required logistics elements and Acquirer direction are the usual ones. Suppose no criterion applies. Then they are parts under the parent CI with three PINs. Stop there.</w:t>
      </w:r>
    </w:p>
    <w:p>
      <w:pPr>
        <w:pStyle w:val="BodyText"/>
      </w:pPr>
      <w:r>
        <w:rPr>
          <w:bCs/>
          <w:b/>
        </w:rPr>
        <w:t xml:space="preserve">S1 and S2.</w:t>
      </w:r>
      <w:r>
        <w:t xml:space="preserve"> </w:t>
      </w:r>
      <w:r>
        <w:t xml:space="preserve">Same function. Same parent. Neither triggers.</w:t>
      </w:r>
    </w:p>
    <w:p>
      <w:pPr>
        <w:pStyle w:val="BodyText"/>
      </w:pPr>
      <w:r>
        <w:rPr>
          <w:bCs/>
          <w:b/>
        </w:rPr>
        <w:t xml:space="preserve">S3.</w:t>
      </w:r>
      <w:r>
        <w:t xml:space="preserve"> </w:t>
      </w:r>
      <w:r>
        <w:t xml:space="preserve">Not safety-critical. Does not trigger.</w:t>
      </w:r>
    </w:p>
    <w:p>
      <w:pPr>
        <w:pStyle w:val="BodyText"/>
      </w:pPr>
      <w:r>
        <w:rPr>
          <w:bCs/>
          <w:b/>
        </w:rPr>
        <w:t xml:space="preserve">S4.</w:t>
      </w:r>
      <w:r>
        <w:t xml:space="preserve"> </w:t>
      </w:r>
      <w:r>
        <w:t xml:space="preserve">Slightly different interfaces is exactly the ICD caution. One tabulated specification with per-variant interface callouts may genuinely govern all three. Then S4 does not trigger. The interface definitions may instead be distinct enough to need separate documents or separate interface change traffic. Then S4 triggers and the relays are separate CIs.</w:t>
      </w:r>
    </w:p>
    <w:p>
      <w:pPr>
        <w:pStyle w:val="BodyText"/>
      </w:pPr>
      <w:r>
        <w:rPr>
          <w:bCs/>
          <w:b/>
        </w:rPr>
        <w:t xml:space="preserve">S5.</w:t>
      </w:r>
      <w:r>
        <w:t xml:space="preserve"> </w:t>
      </w:r>
      <w:r>
        <w:t xml:space="preserve">Obtain the verification answer before deciding. This is the open deciding fact. Same qualification and acceptance basis, and S5 does not trigger. Different basis, and it does.</w:t>
      </w:r>
    </w:p>
    <w:p>
      <w:pPr>
        <w:pStyle w:val="BodyText"/>
      </w:pPr>
      <w:r>
        <w:rPr>
          <w:bCs/>
          <w:b/>
        </w:rPr>
        <w:t xml:space="preserve">S6 and S7.</w:t>
      </w:r>
      <w:r>
        <w:t xml:space="preserve"> </w:t>
      </w:r>
      <w:r>
        <w:t xml:space="preserve">Relay changes cut in family-wide. No external driver separates them. Neither triggers.</w:t>
      </w:r>
    </w:p>
    <w:p>
      <w:pPr>
        <w:pStyle w:val="BodyText"/>
      </w:pPr>
      <w:r>
        <w:rPr>
          <w:bCs/>
          <w:b/>
        </w:rPr>
        <w:t xml:space="preserve">Verdict.</w:t>
      </w:r>
      <w:r>
        <w:t xml:space="preserve"> </w:t>
      </w:r>
      <w:r>
        <w:t xml:space="preserve">No trigger fires. One CI with three PIN variants. Record the variant mapping in the CI index.</w:t>
      </w:r>
    </w:p>
    <w:p>
      <w:pPr>
        <w:pStyle w:val="BodyText"/>
      </w:pPr>
      <w:r>
        <w:rPr>
          <w:bCs/>
          <w:b/>
        </w:rPr>
        <w:t xml:space="preserve">Model check.</w:t>
      </w:r>
      <w:r>
        <w:t xml:space="preserve"> </w:t>
      </w:r>
      <w:r>
        <w:t xml:space="preserve">Verify the verdict against the MBSE model before recording.</w:t>
      </w:r>
    </w:p>
    <w:p>
      <w:pPr>
        <w:pStyle w:val="BodyText"/>
      </w:pPr>
      <w:r>
        <w:rPr>
          <w:bCs/>
          <w:b/>
        </w:rPr>
        <w:t xml:space="preserve">Product unit record structure.</w:t>
      </w:r>
      <w:r>
        <w:t xml:space="preserve"> </w:t>
      </w:r>
      <w:r>
        <w:t xml:space="preserve">Apply the product unit record-structure test to each of the three PINs. One CI with three variants may still hold parts of more than one record structure.</w:t>
      </w:r>
    </w:p>
    <w:p>
      <w:pPr>
        <w:pStyle w:val="BodyText"/>
      </w:pPr>
      <w:r>
        <w:rPr>
          <w:iCs/>
          <w:i/>
        </w:rPr>
        <w:t xml:space="preserve">Final CI designation authority for Acquirer-controlled CIs rests with the Acquirer. This appendix is a decision aid. It does not substitute for engineering judgment. It does not substitute for contract requirements.</w:t>
      </w:r>
    </w:p>
    <w:p>
      <w:pPr>
        <w:pStyle w:val="BodyText"/>
      </w:pPr>
      <w:r>
        <w:t xml:space="preserve">CI Identification Process | Page 32</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Configuration Item (CI) Identification Process</dc:title>
  <dc:creator/>
  <cp:keywords/>
  <dcterms:created xsi:type="dcterms:W3CDTF">2026-09-17T00:26:39Z</dcterms:created>
  <dcterms:modified xsi:type="dcterms:W3CDTF">2026-09-17T00:26:39Z</dcterms:modified>
  <dc:subject>Configuration Management Process</dc:subject>
  <dc:description>Rev H draft. Section 4 roles table reconciled with the Section 5 activities; identifier assignment and Appendix C updated for critical safety item unique identification.</dc:description>
</cp:coreProperties>
</file>

<file path=docProps/custom.xml><?xml version="1.0" encoding="utf-8"?>
<Properties xmlns="http://schemas.openxmlformats.org/officeDocument/2006/custom-properties" xmlns:vt="http://schemas.openxmlformats.org/officeDocument/2006/docPropsVTypes"/>
</file>