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8A97A8"/>
          <w:sz w:val="18"/>
          <w:szCs w:val="18"/>
        </w:rPr>
        <w:t xml:space="preserve">DRAFT FOR REVIEW</w:t>
      </w:r>
    </w:p>
    <w:p>
      <w:pPr>
        <w:pStyle w:val="Title"/>
        <w:spacing w:after="80"/>
      </w:pPr>
      <w:r>
        <w:rPr>
          <w:rFonts w:ascii="Arial" w:cs="Arial" w:eastAsia="Arial" w:hAnsi="Arial"/>
        </w:rPr>
        <w:t xml:space="preserve">Flight Test Configuration Readiness Checklists</w:t>
      </w:r>
    </w:p>
    <w:p>
      <w:pPr>
        <w:spacing w:after="240" w:before="0" w:line="276"/>
      </w:pPr>
      <w:r>
        <w:rPr>
          <w:rFonts w:ascii="Arial" w:cs="Arial" w:eastAsia="Arial" w:hAnsi="Arial"/>
          <w:i/>
          <w:iCs/>
          <w:color w:val="44505F"/>
          <w:sz w:val="24"/>
          <w:szCs w:val="24"/>
        </w:rPr>
        <w:t xml:space="preserve">One checklist for each type of Configuration Item (CI) installed on a flight test aircraft</w:t>
      </w:r>
    </w:p>
    <w:p>
      <w:pPr>
        <w:pStyle w:val="Heading1"/>
        <w:keepNext/>
        <w:spacing w:after="120" w:before="0"/>
      </w:pPr>
      <w:r>
        <w:rPr>
          <w:rFonts w:ascii="Arial" w:cs="Arial" w:eastAsia="Arial" w:hAnsi="Arial"/>
        </w:rPr>
        <w:t xml:space="preserve">1.  Capturing the delta configuration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60"/>
      </w:tblGrid>
      <w:tr>
        <w:tc>
          <w:tcPr>
            <w:tcW w:type="dxa" w:w="12960"/>
            <w:tcBorders>
              <w:top w:val="none" w:color="FFFFFF" w:sz="0"/>
              <w:left w:val="single" w:color="1F3A5F" w:sz="24"/>
              <w:bottom w:val="none" w:color="FFFFFF" w:sz="0"/>
              <w:right w:val="none" w:color="FFFFFF" w:sz="0"/>
            </w:tcBorders>
            <w:shd w:fill="EDF1F8" w:color="auto" w:val="clear"/>
            <w:tcMar>
              <w:top w:type="dxa" w:w="140"/>
              <w:left w:type="dxa" w:w="200"/>
              <w:bottom w:type="dxa" w:w="140"/>
              <w:right w:type="dxa" w:w="200"/>
            </w:tcMar>
          </w:tcPr>
          <w:p>
            <w:pPr>
              <w:spacing w:after="60" w:line="276"/>
            </w:pPr>
            <w:r>
              <w:rPr>
                <w:rFonts w:ascii="Arial" w:cs="Arial" w:eastAsia="Arial" w:hAnsi="Arial"/>
                <w:b/>
                <w:bCs/>
                <w:color w:val="132A4E"/>
                <w:sz w:val="21"/>
                <w:szCs w:val="21"/>
              </w:rPr>
              <w:t xml:space="preserve">Bottom line</w:t>
            </w:r>
          </w:p>
          <w:p>
            <w:pPr>
              <w:spacing w:after="0" w:line="276"/>
            </w:pPr>
            <w:r>
              <w:rPr>
                <w:rFonts w:ascii="Arial" w:cs="Arial" w:eastAsia="Arial" w:hAnsi="Arial"/>
                <w:color w:val="132A4E"/>
                <w:sz w:val="21"/>
                <w:szCs w:val="21"/>
              </w:rPr>
              <w:t xml:space="preserve">A test aircraft flies only when its delta configuration is complete. Every difference from the approved and qualified configuration is named. Each one is approved. Each one is checked on the hardware.</w:t>
            </w:r>
          </w:p>
        </w:tc>
      </w:tr>
    </w:tbl>
    <w:p>
      <w:pPr>
        <w:spacing w:after="60" w:before="0" w:line="276"/>
      </w:pPr>
      <w:r>
        <w:rPr>
          <w:rFonts w:ascii="Arial" w:cs="Arial" w:eastAsia="Arial" w:hAnsi="Arial"/>
          <w:sz w:val="20"/>
          <w:szCs w:val="20"/>
        </w:rPr>
        <w:t xml:space="preserve"/>
      </w:r>
    </w:p>
    <w:p>
      <w:pPr>
        <w:spacing w:after="120" w:before="0" w:line="276"/>
      </w:pPr>
      <w:r>
        <w:rPr>
          <w:rFonts w:ascii="Arial" w:cs="Arial" w:eastAsia="Arial" w:hAnsi="Arial"/>
          <w:sz w:val="20"/>
          <w:szCs w:val="20"/>
        </w:rPr>
        <w:t xml:space="preserve">Before a test aircraft flies, leadership needs one answer. How does this aircraft differ from what was approved and qualified? That difference is the delta configuration. Ten items capture it.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800"/>
        <w:gridCol w:w="7600"/>
        <w:gridCol w:w="2000"/>
      </w:tblGrid>
      <w:tr>
        <w:trPr>
          <w:tblHeader/>
        </w:trPr>
        <w:tc>
          <w:tcPr>
            <w:tcW w:type="dxa" w:w="5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w:t>
            </w:r>
          </w:p>
        </w:tc>
        <w:tc>
          <w:tcPr>
            <w:tcW w:type="dxa" w:w="2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Item</w:t>
            </w:r>
          </w:p>
        </w:tc>
        <w:tc>
          <w:tcPr>
            <w:tcW w:type="dxa" w:w="7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What it captures</w:t>
            </w:r>
          </w:p>
        </w:tc>
        <w:tc>
          <w:tcPr>
            <w:tcW w:type="dxa" w:w="2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9"/>
                <w:szCs w:val="19"/>
              </w:rPr>
              <w:t xml:space="preserve">Owner</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1</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Reference configuration</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The approved baseline of every installed CI, at revision, and the configuration each ACN clears. This is the yardstick.</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2</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Incorporated changes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approved engineering change built into this aircraft, with its effectivity.</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3</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Changes not yet incorporated</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approved change that applies to this aircraft but is not yet built in.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4</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Approved variances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unit that departs from its baseline under an approved variance, with any use restriction.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5</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Open nonconformances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departure that has no approved disposition yet. Each one is dispositioned before flight.</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Quality</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6</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Loaded software</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The software version on each host unit, compared with the approved and qualified version.</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CM; Test</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7</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Qualification-to-flight differences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How each flight unit differs from the unit its ACN cleared, and the assessment of each difference.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Test</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8</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Test items installed</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Instrumentation and other non-CI items added for test, with their interfaces and hazards.</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Test; CM</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9</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Physical verification</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A check that the hardware and software on the aircraft match items 1 through 8.</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Quality</w:t>
            </w:r>
          </w:p>
        </w:tc>
      </w:tr>
      <w:tr>
        <w:trPr>
          <w:cantSplit/>
        </w:trPr>
        <w:tc>
          <w:tcPr>
            <w:tcW w:type="dxa" w:w="5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10</w:t>
            </w:r>
          </w:p>
        </w:tc>
        <w:tc>
          <w:tcPr>
            <w:tcW w:type="dxa" w:w="2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9"/>
                <w:szCs w:val="19"/>
              </w:rPr>
              <w:t xml:space="preserve">Consolidated limitations</w:t>
            </w:r>
          </w:p>
        </w:tc>
        <w:tc>
          <w:tcPr>
            <w:tcW w:type="dxa" w:w="7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Every limitation that results from items 4 through 8, in one list. It feeds the flight clearance.</w:t>
            </w:r>
          </w:p>
        </w:tc>
        <w:tc>
          <w:tcPr>
            <w:tcW w:type="dxa" w:w="2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9"/>
                <w:szCs w:val="19"/>
              </w:rPr>
              <w:t xml:space="preserve">Test; System Safety</w:t>
            </w:r>
          </w:p>
        </w:tc>
      </w:tr>
    </w:tbl>
    <w:p>
      <w:pPr>
        <w:pageBreakBefore/>
        <w:spacing w:after="120" w:line="276"/>
      </w:pPr>
      <w:r>
        <w:rPr>
          <w:rFonts w:ascii="Arial" w:cs="Arial" w:eastAsia="Arial" w:hAnsi="Arial"/>
          <w:sz w:val="20"/>
          <w:szCs w:val="20"/>
        </w:rPr>
        <w:t xml:space="preserve">The delta is complete when all ten items are captured, approved, and verified. Item 1 sets the yardstick. Items 2 through 8 name each kind of difference. Item 9 proves the records match the hardware. Item 10 turns the delta into flight limits.</w:t>
      </w:r>
    </w:p>
    <w:p>
      <w:pPr>
        <w:pStyle w:val="Heading2"/>
        <w:keepNext/>
        <w:spacing w:after="100" w:before="240"/>
      </w:pPr>
      <w:r>
        <w:rPr>
          <w:rFonts w:ascii="Arial" w:cs="Arial" w:eastAsia="Arial" w:hAnsi="Arial"/>
        </w:rPr>
        <w:t xml:space="preserve">Terms for the delta</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760"/>
        <w:gridCol w:w="2200"/>
      </w:tblGrid>
      <w:tr>
        <w:trPr>
          <w:tblHeader/>
        </w:trPr>
        <w:tc>
          <w:tcPr>
            <w:tcW w:type="dxa" w:w="3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Term</w:t>
            </w:r>
          </w:p>
        </w:tc>
        <w:tc>
          <w:tcPr>
            <w:tcW w:type="dxa" w:w="77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Definition</w:t>
            </w:r>
          </w:p>
        </w:tc>
        <w:tc>
          <w:tcPr>
            <w:tcW w:type="dxa" w:w="2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Source</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Delta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set of differences between the configuration installed on a flight test aircraft and its reference configuration.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Reference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current approved configuration of each installed CI, and the configuration that the CI’s approval and clearance notice (ACN) clears.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bl>
    <w:p>
      <w:pPr>
        <w:spacing w:after="60" w:before="0" w:line="276"/>
      </w:pPr>
      <w:r>
        <w:rPr>
          <w:rFonts w:ascii="Arial" w:cs="Arial" w:eastAsia="Arial" w:hAnsi="Arial"/>
          <w:sz w:val="20"/>
          <w:szCs w:val="20"/>
        </w:rPr>
        <w:t xml:space="preserve"/>
      </w:r>
    </w:p>
    <w:p>
      <w:pPr>
        <w:keepNext/>
        <w:spacing w:after="120" w:before="0" w:line="276"/>
      </w:pPr>
      <w:r>
        <w:rPr>
          <w:rFonts w:ascii="Arial" w:cs="Arial" w:eastAsia="Arial" w:hAnsi="Arial"/>
          <w:sz w:val="20"/>
          <w:szCs w:val="20"/>
        </w:rPr>
        <w:t xml:space="preserve">The checklists that follow collect the evidence for each item, CI by CI. Checklist S rolls the evidence up into two records for the tail: the tail configuration list and the consolidated limitations list.</w:t>
      </w:r>
    </w:p>
    <w:p>
      <w:pPr>
        <w:keepNext/>
        <w:spacing w:after="80" w:before="160"/>
        <w:jc w:val="center"/>
      </w:pPr>
      <w:r>
        <w:drawing>
          <wp:inline distT="0" distB="0" distL="0" distR="0">
            <wp:extent cx="7239000" cy="3371850"/>
            <wp:effectExtent t="0" r="0" b="0" l="0"/>
            <wp:docPr id="1" name="Figure 1" descr="The reference configuration and the as-built tail meet in the delta. The delta produces the consolidated limitations list, which feeds the flight clearance." title="Figure 1. The delta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239000" cy="3371850"/>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1.  </w:t>
      </w:r>
      <w:r>
        <w:rPr>
          <w:rFonts w:ascii="Arial" w:cs="Arial" w:eastAsia="Arial" w:hAnsi="Arial"/>
          <w:b/>
          <w:bCs/>
          <w:color w:val="1F3A5F"/>
          <w:sz w:val="18"/>
          <w:szCs w:val="18"/>
        </w:rPr>
        <w:t xml:space="preserve">The delta configuration. </w:t>
      </w:r>
      <w:r>
        <w:rPr>
          <w:rFonts w:ascii="Arial" w:cs="Arial" w:eastAsia="Arial" w:hAnsi="Arial"/>
          <w:i/>
          <w:iCs/>
          <w:color w:val="44505F"/>
          <w:sz w:val="18"/>
          <w:szCs w:val="18"/>
        </w:rPr>
        <w:t xml:space="preserve">The reference configuration and the as-built tail meet in the delta. The delta produces the consolidated limitations list, which feeds the flight clearance.</w:t>
      </w:r>
    </w:p>
    <w:p>
      <w:pPr>
        <w:sectPr>
          <w:headerReference w:type="default" r:id="rId7"/>
          <w:footerReference w:type="default" r:id="rId8"/>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2.  About the checklists</w:t>
      </w:r>
    </w:p>
    <w:p>
      <w:pPr>
        <w:pStyle w:val="Heading2"/>
        <w:keepNext/>
        <w:spacing w:after="100" w:before="240"/>
      </w:pPr>
      <w:r>
        <w:rPr>
          <w:rFonts w:ascii="Arial" w:cs="Arial" w:eastAsia="Arial" w:hAnsi="Arial"/>
        </w:rPr>
        <w:t xml:space="preserve">Purpose</w:t>
      </w:r>
    </w:p>
    <w:p>
      <w:pPr>
        <w:spacing w:after="120" w:before="0" w:line="276"/>
      </w:pPr>
      <w:r>
        <w:rPr>
          <w:rFonts w:ascii="Arial" w:cs="Arial" w:eastAsia="Arial" w:hAnsi="Arial"/>
          <w:sz w:val="20"/>
          <w:szCs w:val="20"/>
        </w:rPr>
        <w:t xml:space="preserve">A CI flies in a known configuration. A known configuration is a baseline, plus its approved changes, plus any variances on that unit.</w:t>
      </w:r>
    </w:p>
    <w:p>
      <w:pPr>
        <w:spacing w:after="120" w:before="0" w:line="276"/>
      </w:pPr>
      <w:r>
        <w:rPr>
          <w:rFonts w:ascii="Arial" w:cs="Arial" w:eastAsia="Arial" w:hAnsi="Arial"/>
          <w:sz w:val="20"/>
          <w:szCs w:val="20"/>
        </w:rPr>
        <w:t xml:space="preserve">Flight test units are usually built to the developmental configuration. Most fly on the initial product baseline, before any physical configuration audit. MIL-HDBK-61B notes that units built in this phase “are not necessarily representative of the production hardware.” So each CI needs its own proof of a known configuration before first flight. These checklists collect that proof.</w:t>
      </w:r>
    </w:p>
    <w:p>
      <w:pPr>
        <w:keepNext/>
        <w:spacing w:after="120" w:before="0" w:line="276"/>
      </w:pPr>
      <w:r>
        <w:rPr>
          <w:rFonts w:ascii="Arial" w:cs="Arial" w:eastAsia="Arial" w:hAnsi="Arial"/>
          <w:sz w:val="20"/>
          <w:szCs w:val="20"/>
        </w:rPr>
        <w:t xml:space="preserve">The checklists derive from the company CI identification process, the configuration baselines guidance, EIA-649-1A, GEIA-HB-649A, and MIL-HDBK-61B. They add no requirements. Where the contract or the process differs, the contract and the process govern.</w:t>
      </w:r>
    </w:p>
    <w:p>
      <w:pPr>
        <w:keepNext/>
        <w:spacing w:after="80" w:before="160"/>
        <w:jc w:val="center"/>
      </w:pPr>
      <w:r>
        <w:drawing>
          <wp:inline distT="0" distB="0" distL="0" distR="0">
            <wp:extent cx="7239000" cy="3038475"/>
            <wp:effectExtent t="0" r="0" b="0" l="0"/>
            <wp:docPr id="1" name="Figure 2" descr="Flight test units fly before the physical configuration audit. The checklists prove each CI’s configuration in its place." title="Figure 2. What flies before th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239000" cy="3038475"/>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2.  </w:t>
      </w:r>
      <w:r>
        <w:rPr>
          <w:rFonts w:ascii="Arial" w:cs="Arial" w:eastAsia="Arial" w:hAnsi="Arial"/>
          <w:b/>
          <w:bCs/>
          <w:color w:val="1F3A5F"/>
          <w:sz w:val="18"/>
          <w:szCs w:val="18"/>
        </w:rPr>
        <w:t xml:space="preserve">What flies before the PCA. </w:t>
      </w:r>
      <w:r>
        <w:rPr>
          <w:rFonts w:ascii="Arial" w:cs="Arial" w:eastAsia="Arial" w:hAnsi="Arial"/>
          <w:i/>
          <w:iCs/>
          <w:color w:val="44505F"/>
          <w:sz w:val="18"/>
          <w:szCs w:val="18"/>
        </w:rPr>
        <w:t xml:space="preserve">Flight test units fly before the physical configuration audit. The checklists prove each CI’s configuration in its place.</w:t>
      </w:r>
    </w:p>
    <w:p>
      <w:pPr>
        <w:pStyle w:val="Heading2"/>
        <w:keepNext/>
        <w:pageBreakBefore/>
        <w:spacing w:after="100" w:before="240"/>
      </w:pPr>
      <w:r>
        <w:rPr>
          <w:rFonts w:ascii="Arial" w:cs="Arial" w:eastAsia="Arial" w:hAnsi="Arial"/>
        </w:rPr>
        <w:t xml:space="preserve">Four questions</w:t>
      </w:r>
    </w:p>
    <w:p>
      <w:pPr>
        <w:spacing w:after="120" w:before="0" w:line="276"/>
      </w:pPr>
      <w:r>
        <w:rPr>
          <w:rFonts w:ascii="Arial" w:cs="Arial" w:eastAsia="Arial" w:hAnsi="Arial"/>
          <w:sz w:val="20"/>
          <w:szCs w:val="20"/>
        </w:rPr>
        <w:t xml:space="preserve">Each checklist groups its artifacts under four questions.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0360"/>
      </w:tblGrid>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Definition</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What must the CI be? The requirements, interfaces, analyses, verifications, and design at revision.</w:t>
            </w:r>
          </w:p>
        </w:tc>
      </w:tr>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Evidence</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Why is the CI cleared to fly? Qualification results, the approval and clearance notice, and the difference between the qualified unit and the flight unit.</w:t>
            </w:r>
          </w:p>
        </w:tc>
      </w:tr>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The unit</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What is actually on this tail? The as-built record, acceptance results, variances, nonconformances, changes, and installation.</w:t>
            </w:r>
          </w:p>
        </w:tc>
      </w:tr>
      <w:tr>
        <w:trPr>
          <w:cantSplit/>
        </w:trPr>
        <w:tc>
          <w:tcPr>
            <w:tcW w:type="dxa" w:w="260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9"/>
                <w:szCs w:val="19"/>
              </w:rPr>
              <w:t xml:space="preserve">Status</w:t>
            </w:r>
          </w:p>
        </w:tc>
        <w:tc>
          <w:tcPr>
            <w:tcW w:type="dxa" w:w="10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9"/>
                <w:szCs w:val="19"/>
              </w:rPr>
              <w:t xml:space="preserve">Is the CM record clean? The CI index and the interface register.</w:t>
            </w:r>
          </w:p>
        </w:tc>
      </w:tr>
    </w:tbl>
    <w:p>
      <w:pPr>
        <w:keepNext/>
        <w:spacing w:after="80" w:before="160"/>
        <w:jc w:val="center"/>
      </w:pPr>
      <w:r>
        <w:drawing>
          <wp:inline distT="0" distB="0" distL="0" distR="0">
            <wp:extent cx="7239000" cy="2390775"/>
            <wp:effectExtent t="0" r="0" b="0" l="0"/>
            <wp:docPr id="1" name="Figure 3" descr="When all four questions have answers, the configuration on the tail is known." title="Figure 3. Four questions, one known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239000" cy="2390775"/>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3.  </w:t>
      </w:r>
      <w:r>
        <w:rPr>
          <w:rFonts w:ascii="Arial" w:cs="Arial" w:eastAsia="Arial" w:hAnsi="Arial"/>
          <w:b/>
          <w:bCs/>
          <w:color w:val="1F3A5F"/>
          <w:sz w:val="18"/>
          <w:szCs w:val="18"/>
        </w:rPr>
        <w:t xml:space="preserve">Four questions, one known configuration. </w:t>
      </w:r>
      <w:r>
        <w:rPr>
          <w:rFonts w:ascii="Arial" w:cs="Arial" w:eastAsia="Arial" w:hAnsi="Arial"/>
          <w:i/>
          <w:iCs/>
          <w:color w:val="44505F"/>
          <w:sz w:val="18"/>
          <w:szCs w:val="18"/>
        </w:rPr>
        <w:t xml:space="preserve">When all four questions have answers, the configuration on the tail is known.</w:t>
      </w:r>
    </w:p>
    <w:p>
      <w:pPr>
        <w:pStyle w:val="Heading2"/>
        <w:keepNext/>
        <w:pageBreakBefore/>
        <w:spacing w:after="100" w:before="240"/>
      </w:pPr>
      <w:r>
        <w:rPr>
          <w:rFonts w:ascii="Arial" w:cs="Arial" w:eastAsia="Arial" w:hAnsi="Arial"/>
        </w:rPr>
        <w:t xml:space="preserve">How to use the checklists</w:t>
      </w:r>
    </w:p>
    <w:p>
      <w:pPr>
        <w:pStyle w:val="ListParagraph"/>
        <w:numPr>
          <w:ilvl w:val="0"/>
          <w:numId w:val="2"/>
        </w:numPr>
        <w:spacing w:after="80" w:line="276"/>
      </w:pPr>
      <w:r>
        <w:rPr>
          <w:rFonts w:ascii="Arial" w:cs="Arial" w:eastAsia="Arial" w:hAnsi="Arial"/>
          <w:sz w:val="20"/>
          <w:szCs w:val="20"/>
        </w:rPr>
        <w:t xml:space="preserve">Complete one checklist for each CI installed on the test tail. Pick the checklist that matches the CI type in the index below.</w:t>
      </w:r>
    </w:p>
    <w:p>
      <w:pPr>
        <w:pStyle w:val="ListParagraph"/>
        <w:numPr>
          <w:ilvl w:val="0"/>
          <w:numId w:val="2"/>
        </w:numPr>
        <w:spacing w:after="80" w:line="276"/>
      </w:pPr>
      <w:r>
        <w:rPr>
          <w:rFonts w:ascii="Arial" w:cs="Arial" w:eastAsia="Arial" w:hAnsi="Arial"/>
          <w:sz w:val="20"/>
          <w:szCs w:val="20"/>
        </w:rPr>
        <w:t xml:space="preserve">Check an item only when the evidence exists at the revision that matches the flight configuration.</w:t>
      </w:r>
    </w:p>
    <w:p>
      <w:pPr>
        <w:pStyle w:val="ListParagraph"/>
        <w:numPr>
          <w:ilvl w:val="0"/>
          <w:numId w:val="2"/>
        </w:numPr>
        <w:spacing w:after="80" w:line="276"/>
      </w:pPr>
      <w:r>
        <w:rPr>
          <w:rFonts w:ascii="Arial" w:cs="Arial" w:eastAsia="Arial" w:hAnsi="Arial"/>
          <w:sz w:val="20"/>
          <w:szCs w:val="20"/>
        </w:rPr>
        <w:t xml:space="preserve">Record the document number, revision, and location of the evidence in the checklist.</w:t>
      </w:r>
    </w:p>
    <w:p>
      <w:pPr>
        <w:pStyle w:val="ListParagraph"/>
        <w:numPr>
          <w:ilvl w:val="0"/>
          <w:numId w:val="2"/>
        </w:numPr>
        <w:spacing w:after="80" w:line="276"/>
      </w:pPr>
      <w:r>
        <w:rPr>
          <w:rFonts w:ascii="Arial" w:cs="Arial" w:eastAsia="Arial" w:hAnsi="Arial"/>
          <w:sz w:val="20"/>
          <w:szCs w:val="20"/>
        </w:rPr>
        <w:t xml:space="preserve">Mark an item N/A only with a written reason.</w:t>
      </w:r>
    </w:p>
    <w:p>
      <w:pPr>
        <w:pStyle w:val="ListParagraph"/>
        <w:numPr>
          <w:ilvl w:val="0"/>
          <w:numId w:val="2"/>
        </w:numPr>
        <w:spacing w:after="80" w:line="276"/>
      </w:pPr>
      <w:r>
        <w:rPr>
          <w:rFonts w:ascii="Arial" w:cs="Arial" w:eastAsia="Arial" w:hAnsi="Arial"/>
          <w:sz w:val="20"/>
          <w:szCs w:val="20"/>
        </w:rPr>
        <w:t xml:space="preserve">An item that cannot close before flight goes on the consolidated limitations list, or the flight does not go.</w:t>
      </w:r>
    </w:p>
    <w:p>
      <w:pPr>
        <w:pStyle w:val="ListParagraph"/>
        <w:numPr>
          <w:ilvl w:val="0"/>
          <w:numId w:val="2"/>
        </w:numPr>
        <w:spacing w:after="80" w:line="276"/>
      </w:pPr>
      <w:r>
        <w:rPr>
          <w:rFonts w:ascii="Arial" w:cs="Arial" w:eastAsia="Arial" w:hAnsi="Arial"/>
          <w:sz w:val="20"/>
          <w:szCs w:val="20"/>
        </w:rPr>
        <w:t xml:space="preserve">The system checklist closes last. It depends on every other checklist.</w:t>
      </w:r>
    </w:p>
    <w:p>
      <w:pPr>
        <w:keepNext/>
        <w:spacing w:after="80" w:before="160"/>
        <w:jc w:val="center"/>
      </w:pPr>
      <w:r>
        <w:drawing>
          <wp:inline distT="0" distB="0" distL="0" distR="0">
            <wp:extent cx="7239000" cy="3543300"/>
            <wp:effectExtent t="0" r="0" b="0" l="0"/>
            <wp:docPr id="1" name="Figure 4" descr="Child checklists close first. The system checklist closes last and produces the two tail records." title="Figure 4. Checklists roll up to the flight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239000" cy="3543300"/>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4.  </w:t>
      </w:r>
      <w:r>
        <w:rPr>
          <w:rFonts w:ascii="Arial" w:cs="Arial" w:eastAsia="Arial" w:hAnsi="Arial"/>
          <w:b/>
          <w:bCs/>
          <w:color w:val="1F3A5F"/>
          <w:sz w:val="18"/>
          <w:szCs w:val="18"/>
        </w:rPr>
        <w:t xml:space="preserve">Checklists roll up to the flight clearance. </w:t>
      </w:r>
      <w:r>
        <w:rPr>
          <w:rFonts w:ascii="Arial" w:cs="Arial" w:eastAsia="Arial" w:hAnsi="Arial"/>
          <w:i/>
          <w:iCs/>
          <w:color w:val="44505F"/>
          <w:sz w:val="18"/>
          <w:szCs w:val="18"/>
        </w:rPr>
        <w:t xml:space="preserve">Child checklists close first. The system checklist closes last and produces the two tail records.</w:t>
      </w:r>
    </w:p>
    <w:p>
      <w:pPr>
        <w:pStyle w:val="Heading2"/>
        <w:keepNext/>
        <w:pageBreakBefore/>
        <w:spacing w:after="100" w:before="240"/>
      </w:pPr>
      <w:r>
        <w:rPr>
          <w:rFonts w:ascii="Arial" w:cs="Arial" w:eastAsia="Arial" w:hAnsi="Arial"/>
        </w:rPr>
        <w:t xml:space="preserve">The qualification-to-flight difference assessment</w:t>
      </w:r>
    </w:p>
    <w:p>
      <w:pPr>
        <w:spacing w:after="120" w:before="0" w:line="276"/>
      </w:pPr>
      <w:r>
        <w:rPr>
          <w:rFonts w:ascii="Arial" w:cs="Arial" w:eastAsia="Arial" w:hAnsi="Arial"/>
          <w:sz w:val="20"/>
          <w:szCs w:val="20"/>
        </w:rPr>
        <w:t xml:space="preserve">Every checklist for a qualified CI asks for this assessment. An ACN clears a CI configuration: a PIN and revision, or a software version. It does not clear a serial number. The assessment compares the flight unit with the configuration the ACN cleared.</w:t>
      </w:r>
    </w:p>
    <w:p>
      <w:pPr>
        <w:keepNext/>
        <w:spacing w:after="120" w:before="0" w:line="276"/>
      </w:pPr>
      <w:r>
        <w:rPr>
          <w:rFonts w:ascii="Arial" w:cs="Arial" w:eastAsia="Arial" w:hAnsi="Arial"/>
          <w:sz w:val="20"/>
          <w:szCs w:val="20"/>
        </w:rPr>
        <w:t xml:space="preserve">EIA-649-1A 3.5.3.1 (1) b asks the same question at the PCA. These checklists ask it before first flight. A difference that requires requalification is a Major change under EIA-649-1A 3.3.1.2 (2) w.</w:t>
      </w:r>
    </w:p>
    <w:p>
      <w:pPr>
        <w:keepNext/>
        <w:spacing w:after="80" w:before="160"/>
        <w:jc w:val="center"/>
      </w:pPr>
      <w:r>
        <w:drawing>
          <wp:inline distT="0" distB="0" distL="0" distR="0">
            <wp:extent cx="7239000" cy="3038475"/>
            <wp:effectExtent t="0" r="0" b="0" l="0"/>
            <wp:docPr id="1" name="Figure 5" descr="Three outcomes. Only the third one stops the flight until a new ACN is issued." title="Figure 5. The qualification-to-flight difference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239000" cy="3038475"/>
                    </a:xfrm>
                    <a:prstGeom prst="rect">
                      <a:avLst/>
                    </a:prstGeom>
                  </pic:spPr>
                </pic:pic>
              </a:graphicData>
            </a:graphic>
          </wp:inline>
        </w:drawing>
      </w:r>
    </w:p>
    <w:p>
      <w:pPr>
        <w:spacing w:after="200"/>
        <w:jc w:val="center"/>
      </w:pPr>
      <w:r>
        <w:rPr>
          <w:rFonts w:ascii="Arial" w:cs="Arial" w:eastAsia="Arial" w:hAnsi="Arial"/>
          <w:b/>
          <w:bCs/>
          <w:color w:val="1F3A5F"/>
          <w:sz w:val="18"/>
          <w:szCs w:val="18"/>
        </w:rPr>
        <w:t xml:space="preserve">Figure 5.  </w:t>
      </w:r>
      <w:r>
        <w:rPr>
          <w:rFonts w:ascii="Arial" w:cs="Arial" w:eastAsia="Arial" w:hAnsi="Arial"/>
          <w:b/>
          <w:bCs/>
          <w:color w:val="1F3A5F"/>
          <w:sz w:val="18"/>
          <w:szCs w:val="18"/>
        </w:rPr>
        <w:t xml:space="preserve">The qualification-to-flight difference assessment. </w:t>
      </w:r>
      <w:r>
        <w:rPr>
          <w:rFonts w:ascii="Arial" w:cs="Arial" w:eastAsia="Arial" w:hAnsi="Arial"/>
          <w:i/>
          <w:iCs/>
          <w:color w:val="44505F"/>
          <w:sz w:val="18"/>
          <w:szCs w:val="18"/>
        </w:rPr>
        <w:t xml:space="preserve">Three outcomes. Only the third one stops the flight until a new ACN is issued.</w:t>
      </w:r>
    </w:p>
    <w:p>
      <w:pPr>
        <w:pStyle w:val="Heading2"/>
        <w:keepNext/>
        <w:pageBreakBefore/>
        <w:spacing w:after="100" w:before="240"/>
      </w:pPr>
      <w:r>
        <w:rPr>
          <w:rFonts w:ascii="Arial" w:cs="Arial" w:eastAsia="Arial" w:hAnsi="Arial"/>
        </w:rPr>
        <w:t xml:space="preserve">Checklist index</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200"/>
        <w:gridCol w:w="5160"/>
        <w:gridCol w:w="2700"/>
      </w:tblGrid>
      <w:tr>
        <w:trPr>
          <w:tblHeader/>
        </w:trPr>
        <w:tc>
          <w:tcPr>
            <w:tcW w:type="dxa" w:w="9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Prefix</w:t>
            </w:r>
          </w:p>
        </w:tc>
        <w:tc>
          <w:tcPr>
            <w:tcW w:type="dxa" w:w="4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CI type</w:t>
            </w:r>
          </w:p>
        </w:tc>
        <w:tc>
          <w:tcPr>
            <w:tcW w:type="dxa" w:w="5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Worked example</w:t>
            </w:r>
          </w:p>
        </w:tc>
        <w:tc>
          <w:tcPr>
            <w:tcW w:type="dxa" w:w="2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Who completes it</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S</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System (top-level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Air vehicle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Program Management</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A</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Acquirer-spec controlled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Flight control system</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Systems Engineering</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H</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Company-design hardware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Control electronics unit</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Design Engineering</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W</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Software CI (CSCI)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Flight control software</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Test and Verification</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P</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Supplier-design hardware CI on a source control drawing</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Elevator actuator</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Supplier Requirements Engineering</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G</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Government furnished equipment CI</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Government-furnished radio</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Program Management</w:t>
            </w:r>
          </w:p>
        </w:tc>
      </w:tr>
      <w:tr>
        <w:tc>
          <w:tcPr>
            <w:tcW w:type="dxa" w:w="9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N</w:t>
            </w:r>
          </w:p>
        </w:tc>
        <w:tc>
          <w:tcPr>
            <w:tcW w:type="dxa" w:w="4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Items that fly but are not CIs</w:t>
            </w:r>
          </w:p>
        </w:tc>
        <w:tc>
          <w:tcPr>
            <w:tcW w:type="dxa" w:w="5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Flight test instrumentation</w:t>
            </w:r>
          </w:p>
        </w:tc>
        <w:tc>
          <w:tcPr>
            <w:tcW w:type="dxa" w:w="2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CM, with Test and Verification</w:t>
            </w:r>
          </w:p>
        </w:tc>
      </w:tr>
    </w:tbl>
    <w:p>
      <w:pPr>
        <w:pStyle w:val="Heading2"/>
        <w:keepNext/>
        <w:spacing w:after="100" w:before="240"/>
      </w:pPr>
      <w:r>
        <w:rPr>
          <w:rFonts w:ascii="Arial" w:cs="Arial" w:eastAsia="Arial" w:hAnsi="Arial"/>
        </w:rPr>
        <w:t xml:space="preserve">Terms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760"/>
        <w:gridCol w:w="2200"/>
      </w:tblGrid>
      <w:tr>
        <w:trPr>
          <w:tblHeader/>
        </w:trPr>
        <w:tc>
          <w:tcPr>
            <w:tcW w:type="dxa" w:w="30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Term</w:t>
            </w:r>
          </w:p>
        </w:tc>
        <w:tc>
          <w:tcPr>
            <w:tcW w:type="dxa" w:w="77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Definition</w:t>
            </w:r>
          </w:p>
        </w:tc>
        <w:tc>
          <w:tcPr>
            <w:tcW w:type="dxa" w:w="2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Source</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Approval and clearance notice (ACN)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output of qualification testing conducted on a CI. It identifies the current exceptions and limitations associated with the CI.</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Company usage</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Development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contractor’s design and associated technical documentation that defines the contractor’s evolving design solution during development of a CI.</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MIL-HDBK-61B 5.5.2 d</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Current approved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 baseline for any product, or any document, plus the approved changes, is the current approved configuration.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EIA-649-1A Principle CI-12</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Variance</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An authorized temporary departure from the approved configuration documentation information for a specific number of units under the contract or contracts identified and that does not require revision of approved product configuration documentation.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EIA-649-1A 2.3</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As-built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configuration of an item as actually produced. The as-built configuration consists of the as-designed configuration at the time of production as modified with approved engineering changes and variances.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EIA-649-1A 2.3</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Tail configuration list</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record of every CI installed on one flight test aircraft, with its PIN, revision or software version, serial or lot number, ACN, and open limitations.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Consolidated limitations list</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record of every open ACN limitation and every RFV use restriction on one flight test aircraft.</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Delta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set of differences between the configuration installed on a flight test aircraft and its reference configuration.</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r>
        <w:trPr>
          <w:cantSplit/>
        </w:trPr>
        <w:tc>
          <w:tcPr>
            <w:tcW w:type="dxa" w:w="30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bCs/>
                <w:sz w:val="18"/>
                <w:szCs w:val="18"/>
              </w:rPr>
              <w:t xml:space="preserve">Reference configuration</w:t>
            </w:r>
          </w:p>
        </w:tc>
        <w:tc>
          <w:tcPr>
            <w:tcW w:type="dxa" w:w="77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The current approved configuration of each installed CI, and the configuration that the CI’s approval and clearance notice (ACN) clears.</w:t>
            </w:r>
          </w:p>
        </w:tc>
        <w:tc>
          <w:tcPr>
            <w:tcW w:type="dxa" w:w="2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b w:val="false"/>
                <w:bCs w:val="false"/>
                <w:sz w:val="18"/>
                <w:szCs w:val="18"/>
              </w:rPr>
              <w:t xml:space="preserve">This checklist set</w:t>
            </w:r>
          </w:p>
        </w:tc>
      </w:tr>
    </w:tbl>
    <w:p>
      <w:pPr>
        <w:pStyle w:val="Heading2"/>
        <w:keepNext/>
        <w:spacing w:after="100" w:before="240"/>
      </w:pPr>
      <w:r>
        <w:rPr>
          <w:rFonts w:ascii="Arial" w:cs="Arial" w:eastAsia="Arial" w:hAnsi="Arial"/>
        </w:rPr>
        <w:t xml:space="preserve">Known open item</w:t>
      </w:r>
    </w:p>
    <w:p>
      <w:pPr>
        <w:spacing w:after="120" w:before="0" w:line="276"/>
      </w:pPr>
      <w:r>
        <w:rPr>
          <w:rFonts w:ascii="Arial" w:cs="Arial" w:eastAsia="Arial" w:hAnsi="Arial"/>
          <w:sz w:val="20"/>
          <w:szCs w:val="20"/>
        </w:rPr>
        <w:t xml:space="preserve">The process does not yet say how configuration status accounting records each unit’s ACN and its open limitations. Until it does, the tail configuration list and the consolidated limitations list are built by hand. Treat both as controlled records.</w:t>
      </w:r>
    </w:p>
    <w:p>
      <w:pPr>
        <w:sectPr>
          <w:headerReference w:type="default" r:id="rId9"/>
          <w:footerReference w:type="default" r:id="rId10"/>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S.  System (top-level CI)</w:t>
      </w:r>
    </w:p>
    <w:p>
      <w:pPr>
        <w:spacing w:after="120" w:before="0" w:line="276"/>
      </w:pPr>
      <w:r>
        <w:rPr>
          <w:rFonts w:ascii="Arial" w:cs="Arial" w:eastAsia="Arial" w:hAnsi="Arial"/>
          <w:i/>
          <w:iCs/>
          <w:color w:val="44505F"/>
          <w:sz w:val="20"/>
          <w:szCs w:val="20"/>
        </w:rPr>
        <w:t xml:space="preserve">Example: the air vehicle. Control tier: Acquirer-spec controlled.</w:t>
      </w:r>
    </w:p>
    <w:p>
      <w:pPr>
        <w:spacing w:after="120" w:before="0" w:line="276"/>
      </w:pPr>
      <w:r>
        <w:rPr>
          <w:rFonts w:ascii="Arial" w:cs="Arial" w:eastAsia="Arial" w:hAnsi="Arial"/>
          <w:sz w:val="20"/>
          <w:szCs w:val="20"/>
        </w:rPr>
        <w:t xml:space="preserve">The system checklist closes last. It depends on a completed checklist for every CI installed on the tail.</w:t>
      </w:r>
    </w:p>
    <w:p>
      <w:pPr>
        <w:spacing w:after="120" w:before="0" w:line="276"/>
      </w:pPr>
      <w:r>
        <w:rPr>
          <w:rFonts w:ascii="Arial" w:cs="Arial" w:eastAsia="Arial" w:hAnsi="Arial"/>
          <w:sz w:val="20"/>
          <w:szCs w:val="20"/>
        </w:rPr>
        <w:t xml:space="preserve">The system is the only CI that needs a flight clearance. That clearance names the whole tail configuration.</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400"/>
        <w:gridCol w:w="2400"/>
        <w:gridCol w:w="1480"/>
        <w:gridCol w:w="1700"/>
        <w:gridCol w:w="1940"/>
        <w:gridCol w:w="112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148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Owner</w:t>
            </w:r>
          </w:p>
        </w:tc>
        <w:tc>
          <w:tcPr>
            <w:tcW w:type="dxa" w:w="1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19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1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system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Contract and statement of work at the current modification.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obligations the flight must meet.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Program Management</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note</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specification at its approved revision (FBL).</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system must do.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External interface requirements, and the ICDs the system specification invokes,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External connections are defined.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 MIL-HDBK-61B 5.5.2.6</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the system mapped. Structural floor complete. No open coverage exceptions.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 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 hazard analysis reports, current to the flight configuration.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hazard controls match the aircraft that will fly.</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verification plan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each system requirement will be shown.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b</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EBOM and installation drawings for the tail, at revision, with engineering release records.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aircraft was built to.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 3.2.3.2.2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Flight test instrumentation definition: CI screening result, installation drawings, and interface rows. See the checklist for items that fly but are not CIs.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equipment on the aircraft is defined and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system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 completed checklist for every CI installed on the tail.</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CI is cleared on its own.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This checklist set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S.10</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Consolidated limitations list. It holds every open ACN limitation and every RFV use restriction on the tail.</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aircrew and the test team know what is not cleared.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 System Safety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Status of the test and certification requirements due before flight. Each one is closed or dispositioned.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Nothing required before flight is open.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Flight clearance from the Acquirer’s airworthiness authority, naming the tail configuration.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Acquirer authorizes this configuration to fly.</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Program Management</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GEIA-HB-649A FCA checklist (flight approvals)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Tail configuration list. It names every installed CI with its PIN, revision or software version, serial or lot number, ACN, and open limitations.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is actually on this aircraft.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 (as-built configuration)</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Physical verification of the tail against the tail configuration list.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the hardware.</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system-level RFVs, with their use restrictions.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acceptable for flight.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MIL-HDBK-61B 6.2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Approved changes not yet incorporated on the tail. List of open ECPs.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the tail.</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on the tail, each dispositioned before flight.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nonconformance and variance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every installed CI is designated, Acquirer concurred, and its baseline status is recorded.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CI on the tail is managed.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S.19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Configuration documentation package delivered for the test readiness review.</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review saw the real configuration.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3.1.3 (1) f</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1"/>
          <w:footerReference w:type="default" r:id="rId12"/>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A.  Acquirer-spec controlled CI</w:t>
      </w:r>
    </w:p>
    <w:p>
      <w:pPr>
        <w:spacing w:after="120" w:before="0" w:line="276"/>
      </w:pPr>
      <w:r>
        <w:rPr>
          <w:rFonts w:ascii="Arial" w:cs="Arial" w:eastAsia="Arial" w:hAnsi="Arial"/>
          <w:i/>
          <w:iCs/>
          <w:color w:val="44505F"/>
          <w:sz w:val="20"/>
          <w:szCs w:val="20"/>
        </w:rPr>
        <w:t xml:space="preserve">Example: the flight control system. Its specification is under Acquirer control.</w:t>
      </w:r>
    </w:p>
    <w:p>
      <w:pPr>
        <w:spacing w:after="120" w:before="0" w:line="276"/>
      </w:pPr>
      <w:r>
        <w:rPr>
          <w:rFonts w:ascii="Arial" w:cs="Arial" w:eastAsia="Arial" w:hAnsi="Arial"/>
          <w:sz w:val="20"/>
          <w:szCs w:val="20"/>
        </w:rPr>
        <w:t xml:space="preserve">This CI sits at the top tier below the system. The Acquirer controls its specification once it approves the ABL.</w:t>
      </w:r>
    </w:p>
    <w:p>
      <w:pPr>
        <w:spacing w:after="120" w:before="0" w:line="276"/>
      </w:pPr>
      <w:r>
        <w:rPr>
          <w:rFonts w:ascii="Arial" w:cs="Arial" w:eastAsia="Arial" w:hAnsi="Arial"/>
          <w:sz w:val="20"/>
          <w:szCs w:val="20"/>
        </w:rPr>
        <w:t xml:space="preserve">Any Class I change or major RFV against this specification needs Government approval before flight.</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400"/>
        <w:gridCol w:w="2400"/>
        <w:gridCol w:w="1480"/>
        <w:gridCol w:w="1700"/>
        <w:gridCol w:w="1940"/>
        <w:gridCol w:w="112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148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Owner</w:t>
            </w:r>
          </w:p>
        </w:tc>
        <w:tc>
          <w:tcPr>
            <w:tcW w:type="dxa" w:w="1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19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1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specification at its approved revision (ABL), traced to the system specification.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must do.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and the ICDs the specification invokes,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CI’s connections are defined.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 MIL-HDBK-61B 5.5.2.6</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CI mapped. Parent and child rows across control tiers present. No open coverage exceptions.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FMEA, FMECA, and hazard analyses for this CI, current to the flight configuration. Each allocated critical function is stated in the specification.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hardware that will fly.</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 RM&amp;SH</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Verification plan, qualification and integration test procedures, and qualification analyses,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CI is shown to meet its specification.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drawings at revision, with engineering release records. List of child CI product baselines.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was built and installed to.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 3.2.3.2.2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 and integration test results, tied to the exact configuration tested, including the lab or rig configuration.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evidence applies to this design.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 (correlate prototype configurations to test results)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naming the cleared CI configuration, with its current exceptions and limitations.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may and may not do in flight.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usage; EIA-649-1A 3.3.1.2 (2) w</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Qualification-to-flight difference assessment.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flight configuration is covered by the ACN.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 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A.10</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 completed checklist for every child CI in this CI.</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child CI is cleared on its own.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This checklist set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Installed configuration record: the serial number and version of every child CI in this CI on the tail.</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is actually installed.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and installed verification for the CI.</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was installed and checked to its drawings.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 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 8.2.1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with use restrictions. A major RFV against this specification is approved by the Government.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approved at the right level.</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MIL-HDBK-61B App C</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Acquirer approval for every Class I change in effect on the tail. Approved changes not yet incorporated. List of open ECPs.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approved by the right authority.</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3.3.1.5</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from installation, each dispositioned before flight.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nonconformance and variance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A.16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designated, Acquirer concurred, ABL established, initial PBL status recorded.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is managed.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3"/>
          <w:footerReference w:type="default" r:id="rId14"/>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H.  Company-design hardware CI</w:t>
      </w:r>
    </w:p>
    <w:p>
      <w:pPr>
        <w:spacing w:after="120" w:before="0" w:line="276"/>
      </w:pPr>
      <w:r>
        <w:rPr>
          <w:rFonts w:ascii="Arial" w:cs="Arial" w:eastAsia="Arial" w:hAnsi="Arial"/>
          <w:i/>
          <w:iCs/>
          <w:color w:val="44505F"/>
          <w:sz w:val="20"/>
          <w:szCs w:val="20"/>
        </w:rPr>
        <w:t xml:space="preserve">Example: the control electronics unit. Control tier: Company-spec controlled. The company holds the design.</w:t>
      </w:r>
    </w:p>
    <w:p>
      <w:pPr>
        <w:spacing w:after="120" w:before="0" w:line="276"/>
      </w:pPr>
      <w:r>
        <w:rPr>
          <w:rFonts w:ascii="Arial" w:cs="Arial" w:eastAsia="Arial" w:hAnsi="Arial"/>
          <w:sz w:val="20"/>
          <w:szCs w:val="20"/>
        </w:rPr>
        <w:t xml:space="preserve">The company holds full design disclosure for this CI. So this checklist carries the most PBL content.</w:t>
      </w:r>
    </w:p>
    <w:p>
      <w:pPr>
        <w:spacing w:after="120" w:before="0" w:line="276"/>
      </w:pPr>
      <w:r>
        <w:rPr>
          <w:rFonts w:ascii="Arial" w:cs="Arial" w:eastAsia="Arial" w:hAnsi="Arial"/>
          <w:sz w:val="20"/>
          <w:szCs w:val="20"/>
        </w:rPr>
        <w:t xml:space="preserve">If the CI hosts loadable software, also complete the software CI checklist for that software.</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400"/>
        <w:gridCol w:w="2400"/>
        <w:gridCol w:w="1480"/>
        <w:gridCol w:w="1700"/>
        <w:gridCol w:w="1940"/>
        <w:gridCol w:w="112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148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Owner</w:t>
            </w:r>
          </w:p>
        </w:tc>
        <w:tc>
          <w:tcPr>
            <w:tcW w:type="dxa" w:w="1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19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1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performance specification at revision, or its allocated requirements in the parent specification, traced to the parent.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must do.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and the ICDs the specification invokes,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CI’s connections are defined.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CI mapped. No open coverage exceptions.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FMEA, FMECA, and hazard analyses for this CI, current to the flight configuration.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hardware that will fly.</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 RM&amp;SH</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Verification plan, qualification test procedures, and qualification analyses,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CI is shown to meet its specification.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disclosure at revision: drawings, models, and parts lists, with engineering release records.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unit was built to.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 3.2.3.2.2 (1) a; MIL-HDBK-61B 5.4.2.5</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Acceptance definition: the ATP, the critical characteristics, and any first article requirements.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each unit is accepted.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 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3.2.3.2.2 (1) b, e</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Process and material specifications. Definition of special tooling and test equipment.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unit was made and tested.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 Manufacturing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3.2.3.2.2 (1) c, f</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 test reports, tied to the exact configuration tested.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evidence applies to this design.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H.10</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at PIN and revision, with current exceptions and limitations.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may and may not do in flight.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usage; EIA-649-1A 3.3.1.2 (2) w</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Qualification-to-flight difference assessment between the qualified unit and this unit.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This unit is covered by the ACN.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 Design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As-built BOM for this serial number.</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this unit actually is.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Manufacturing Engineering, 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ATP results for this serial number. First article inspection record where required.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This unit passed acceptance.</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Record checked against the acceptance definition</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Physical verification of the as-built configuration against the as-designed configuration.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the hardware.</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on this unit, with use restrictions. Company authority applies to company-baselined documents. A departure with Class I effect goes through the parent CI.</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approved at the right level.</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MIL-HDBK-61B App C</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on this unit, each dispositioned before flight.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nonconformance and variance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for this unit. Approved changes not yet incorporated. List of open ECPs.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this unit.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tail, position, date, and removal and reinstallation history.</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Where the unit is, and where it has been.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H.19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designated, Acquirer concurred, ABL established, initial PBL established.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is managed.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5"/>
          <w:footerReference w:type="default" r:id="rId16"/>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W.  Software CI (CSCI)</w:t>
      </w:r>
    </w:p>
    <w:p>
      <w:pPr>
        <w:spacing w:after="120" w:before="0" w:line="276"/>
      </w:pPr>
      <w:r>
        <w:rPr>
          <w:rFonts w:ascii="Arial" w:cs="Arial" w:eastAsia="Arial" w:hAnsi="Arial"/>
          <w:i/>
          <w:iCs/>
          <w:color w:val="44505F"/>
          <w:sz w:val="20"/>
          <w:szCs w:val="20"/>
        </w:rPr>
        <w:t xml:space="preserve">Example: the flight control software. Control tier: Company-spec controlled.</w:t>
      </w:r>
    </w:p>
    <w:p>
      <w:pPr>
        <w:spacing w:after="120" w:before="0" w:line="276"/>
      </w:pPr>
      <w:r>
        <w:rPr>
          <w:rFonts w:ascii="Arial" w:cs="Arial" w:eastAsia="Arial" w:hAnsi="Arial"/>
          <w:sz w:val="20"/>
          <w:szCs w:val="20"/>
        </w:rPr>
        <w:t xml:space="preserve">For software, the baseline includes the actual product (EIA-649-1A 2.3). The build that flies is the build that must be cleared.</w:t>
      </w:r>
    </w:p>
    <w:p>
      <w:pPr>
        <w:spacing w:after="120" w:before="0" w:line="276"/>
      </w:pPr>
      <w:r>
        <w:rPr>
          <w:rFonts w:ascii="Arial" w:cs="Arial" w:eastAsia="Arial" w:hAnsi="Arial"/>
          <w:sz w:val="20"/>
          <w:szCs w:val="20"/>
        </w:rPr>
        <w:t xml:space="preserve">The unit record for software is the load record. It ties a software version to a host hardware serial number.</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400"/>
        <w:gridCol w:w="2400"/>
        <w:gridCol w:w="1480"/>
        <w:gridCol w:w="1700"/>
        <w:gridCol w:w="1940"/>
        <w:gridCol w:w="112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148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Owner</w:t>
            </w:r>
          </w:p>
        </w:tc>
        <w:tc>
          <w:tcPr>
            <w:tcW w:type="dxa" w:w="1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19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1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CSCI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requirements specification (SRS) at revision, traced to the parent.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software must do.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specification (IRS), and the ICDs it invokes,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software’s interfaces are defined.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CSCI mapped. No open coverage exceptions.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hazard analysis and software safety requirements, current to the flight build.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software that will fly.</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test plan and qualification test procedures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software is shown to meet its requirements.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b</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Software product specification (SPS), source code, and software version description (SVD) for the flight build.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flight build is.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2.3; 3.2.3.2.2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Build environment identification: compilers, tools, and their versions.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build can be reproduced.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3.2.3.2.2 (1) g</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CSCI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 test results tied to the exact build, with requirement-to-test traceability and known deficiencies listed.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requirement has a passed test step on this build.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3.5.2.1 (1) c</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Configuration of the simulation and lab software used for verification, correlated to its results.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test environment is known.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W.10</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at the software version, with current exceptions and limitations.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software may and may not do in flight.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usage; EIA-649-1A 3.3.1.2 (2) w</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Build-to-flight difference assessment between the qualified build and the flight build.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flight build is covered by the ACN.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 Design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Listing of developmental software versions in the software library.</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version that existed is known.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3.5.2.1 (2)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Load record: the software version on each host hardware serial number on the tail.</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Which build is on which unit.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 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Load verification: the installed version confirmed against the SVD.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what is loaded.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 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and open software problem reports that affect flight, each dispositioned.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acceptable for flight.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 3.5.2.1 (1) c</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for the build. Approved changes not yet in the flight build. List of open ECPs and software change requests.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the software.</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W.17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and software identifier register entry for the flight version.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CSCI and its version are managed.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7"/>
          <w:footerReference w:type="default" r:id="rId18"/>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P.  Supplier-design hardware CI on a source control drawing</w:t>
      </w:r>
    </w:p>
    <w:p>
      <w:pPr>
        <w:spacing w:after="120" w:before="0" w:line="276"/>
      </w:pPr>
      <w:r>
        <w:rPr>
          <w:rFonts w:ascii="Arial" w:cs="Arial" w:eastAsia="Arial" w:hAnsi="Arial"/>
          <w:i/>
          <w:iCs/>
          <w:color w:val="44505F"/>
          <w:sz w:val="20"/>
          <w:szCs w:val="20"/>
        </w:rPr>
        <w:t xml:space="preserve">Example: the elevator actuator. Control tier: Company-spec controlled. The supplier holds the detailed design.</w:t>
      </w:r>
    </w:p>
    <w:p>
      <w:pPr>
        <w:spacing w:after="120" w:before="0" w:line="276"/>
      </w:pPr>
      <w:r>
        <w:rPr>
          <w:rFonts w:ascii="Arial" w:cs="Arial" w:eastAsia="Arial" w:hAnsi="Arial"/>
          <w:sz w:val="20"/>
          <w:szCs w:val="20"/>
        </w:rPr>
        <w:t xml:space="preserve">The company does not decompose a supplier-designed item. The SCD is the company-level product definition.</w:t>
      </w:r>
    </w:p>
    <w:p>
      <w:pPr>
        <w:spacing w:after="120" w:before="0" w:line="276"/>
      </w:pPr>
      <w:r>
        <w:rPr>
          <w:rFonts w:ascii="Arial" w:cs="Arial" w:eastAsia="Arial" w:hAnsi="Arial"/>
          <w:sz w:val="20"/>
          <w:szCs w:val="20"/>
        </w:rPr>
        <w:t xml:space="preserve">Parts inside the item still carry their own records. Life limits, serial numbers, and lot numbers attach to those parts.</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400"/>
        <w:gridCol w:w="2400"/>
        <w:gridCol w:w="1480"/>
        <w:gridCol w:w="1700"/>
        <w:gridCol w:w="1940"/>
        <w:gridCol w:w="112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148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Owner</w:t>
            </w:r>
          </w:p>
        </w:tc>
        <w:tc>
          <w:tcPr>
            <w:tcW w:type="dxa" w:w="1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19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1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performance specification at revision, or its allocated requirements in the parent specification.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must do.</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requirements and ICDs at revision. The interface definition on the SCD.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company fixes the interface. The supplier consumes it.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every row on this CI mapped. No open coverage exceptions.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FMEA, FMECA, and hazard analyses current to the flight configuration. Failure modes inside the supplier item are traced to this CI.</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analyses describe the hardware that will fly.</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 RM&amp;SH</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3.2.3.2.1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SCD at revision: engineering description, qualification requirements, acceptance criteria, critical characteristics, and approved sources.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company buys and accepts.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 Supplier Requirements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2.3 (SCD); 3.2.3.2.2 (1) e</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Supplier statement of work. It names the authorship case for serialization, lot recording, and life limits.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Who sets each unit record requirement.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Supplier Requirements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Supplier qualification report against the SCD. CM logs it as received. The reviewing function accepts it.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qualification evidence is in hand and accepted.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 Supplier Requirements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ACN at PIN and revision. It is valid only for units from a qualified source.</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CI may and may not do in flight.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usage; EIA-649-1A 3.3.1.2 (2) w</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Qualification-to-flight difference assessment, including every supplier change since qualification.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This unit is covered by the ACN.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 Supplier Requirements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3.5.3.1 (1) b, applied before first flight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P.10</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Unit came from an approved source named on the SCD.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unit is from a qualified source.</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 Supplier Requirements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3.3.1.2 (2) g</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Supplier certificate of conformance and acceptance data for this serial number.</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supplier accepted this unit to the SCD.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Record checked against the SCD</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Receiving inspection of the critical characteristics.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company confirmed what matters most.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Unit record: the CI serial number. Serial number and heat lot on each life-limited part inside. Lot number and date code on each lot-recorded part.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this unit actually is.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 MIL-HDBK-61B 5.6.2.1.4</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Life status at installation: cycles or hours consumed against each limit, and shelf life on lot-recorded parts.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life-limited part flies past its limit.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RM&amp;SH,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Traceability chain from each recorded lot to the unit serial number to the tail.</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Any part can be found on any aircraft.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Approved RFVs on this unit, including supplier variances the company accepted.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Each known departure is acceptable for flight.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3.3.2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Open nonconformances on this unit, including supplier nonconformances, each dispositioned before flight.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No unapproved departure flies.</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nonconformance and variance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Change incorporation record. Approved changes not yet incorporated. List of open ECPs. Supplier change notices dispositioned.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current approved configuration of this unit.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Principle CI-12; EIA-649-1A 3.4.1 (3)</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P.19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tail, position, date, and removal and reinstallation history.</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Where the unit is, and where it has been.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P.20</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with the SCD and supplier statement of work references, and the recording flags and life clock.</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CI is managed.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19"/>
          <w:footerReference w:type="default" r:id="rId20"/>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G.  Government furnished equipment CI</w:t>
      </w:r>
    </w:p>
    <w:p>
      <w:pPr>
        <w:spacing w:after="120" w:before="0" w:line="276"/>
      </w:pPr>
      <w:r>
        <w:rPr>
          <w:rFonts w:ascii="Arial" w:cs="Arial" w:eastAsia="Arial" w:hAnsi="Arial"/>
          <w:i/>
          <w:iCs/>
          <w:color w:val="44505F"/>
          <w:sz w:val="20"/>
          <w:szCs w:val="20"/>
        </w:rPr>
        <w:t xml:space="preserve">Example: a government-furnished radio installed in the product structure.</w:t>
      </w:r>
    </w:p>
    <w:p>
      <w:pPr>
        <w:spacing w:after="120" w:before="0" w:line="276"/>
      </w:pPr>
      <w:r>
        <w:rPr>
          <w:rFonts w:ascii="Arial" w:cs="Arial" w:eastAsia="Arial" w:hAnsi="Arial"/>
          <w:sz w:val="20"/>
          <w:szCs w:val="20"/>
        </w:rPr>
        <w:t xml:space="preserve">The Government holds the definition of a GFE CI. The company cannot clear it. The company obtains the Government’s clearance and controls the installation and the interfaces.</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400"/>
        <w:gridCol w:w="2400"/>
        <w:gridCol w:w="1480"/>
        <w:gridCol w:w="1700"/>
        <w:gridCol w:w="1940"/>
        <w:gridCol w:w="112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148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Owner</w:t>
            </w:r>
          </w:p>
        </w:tc>
        <w:tc>
          <w:tcPr>
            <w:tcW w:type="dxa" w:w="1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19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1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 what the CI must be</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Government identification of the item: PIN, nomenclature, and configuration.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the Government furnished.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Company-side interface requirements and ICDs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connections to the GFE are defined.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3.2.5.1 (2)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register: the GFE CI appears on a mapped row. No open coverage exceptions.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identified interface is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 (structural floor)</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hazard analysis covers the GFE item and its interfaces.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GFE hazards are controlled at system level.</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drawings at revision, with engineering release records.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How the GFE is installed.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Evidence: why the CI is cleared to fly</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Government clearance and limitations for the furnished configuration, obtained and on file.</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Government cleared what it furnished.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Program Management</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Contract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Government-furnished data received and logged.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company has what it needs to install and test.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Contract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G.8</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Integration test results for the installed GFE, tied to the configuration tested.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GFE works on this aircraft.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Test and Verification</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App C</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what is on this tail</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G.9</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Installed serial number and the configuration as received.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What is actually installed.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G.10</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Receipt inspection and installed verification.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unit matches the Government identification.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Discrepancies found at receipt, reported to the Government and dispositioned.</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Known problems are resolved by the owner.</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Contract</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record: tail, position, date, and removal and reinstallation history.</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Where the unit is, and where it has been.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Status: is the CM record clean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G.13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index row, GFE control tier.</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GFE CI is recorded.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sectPr>
          <w:headerReference w:type="default" r:id="rId21"/>
          <w:footerReference w:type="default" r:id="rId22"/>
          <w:pgSz w:w="15840" w:h="12240" w:orient="landscape"/>
          <w:pgMar w:top="1080" w:right="1440" w:bottom="1080" w:left="1440" w:header="708" w:footer="708" w:gutter="0"/>
          <w:pgNumType/>
          <w:docGrid w:linePitch="360"/>
        </w:sectPr>
      </w:pPr>
    </w:p>
    <w:p>
      <w:pPr>
        <w:pStyle w:val="Heading1"/>
        <w:keepNext/>
        <w:spacing w:after="120" w:before="0"/>
      </w:pPr>
      <w:r>
        <w:rPr>
          <w:rFonts w:ascii="Arial" w:cs="Arial" w:eastAsia="Arial" w:hAnsi="Arial"/>
        </w:rPr>
        <w:t xml:space="preserve">Checklist N.  Items that fly but are not CIs</w:t>
      </w:r>
    </w:p>
    <w:p>
      <w:pPr>
        <w:spacing w:after="120" w:before="0" w:line="276"/>
      </w:pPr>
      <w:r>
        <w:rPr>
          <w:rFonts w:ascii="Arial" w:cs="Arial" w:eastAsia="Arial" w:hAnsi="Arial"/>
          <w:i/>
          <w:iCs/>
          <w:color w:val="44505F"/>
          <w:sz w:val="20"/>
          <w:szCs w:val="20"/>
        </w:rPr>
        <w:t xml:space="preserve">Example: flight test instrumentation installed for the test program.</w:t>
      </w:r>
    </w:p>
    <w:p>
      <w:pPr>
        <w:spacing w:after="120" w:before="0" w:line="276"/>
      </w:pPr>
      <w:r>
        <w:rPr>
          <w:rFonts w:ascii="Arial" w:cs="Arial" w:eastAsia="Arial" w:hAnsi="Arial"/>
          <w:sz w:val="20"/>
          <w:szCs w:val="20"/>
        </w:rPr>
        <w:t xml:space="preserve">Instrumentation taps buses, adds wiring and power load, and changes weight. It flies, so it needs a decision and a record.</w:t>
      </w:r>
    </w:p>
    <w:p>
      <w:pPr>
        <w:spacing w:after="120" w:before="0" w:line="276"/>
      </w:pPr>
      <w:r>
        <w:rPr>
          <w:rFonts w:ascii="Arial" w:cs="Arial" w:eastAsia="Arial" w:hAnsi="Arial"/>
          <w:sz w:val="20"/>
          <w:szCs w:val="20"/>
        </w:rPr>
        <w:t xml:space="preserve">Screen it for CI designation first. If it is a CI, use the checklist for its type. If it is not, use this checklist.</w:t>
      </w:r>
    </w:p>
    <w:p>
      <w:pPr>
        <w:pStyle w:val="Heading2"/>
        <w:keepNext/>
        <w:spacing w:after="100" w:before="240"/>
      </w:pPr>
      <w:r>
        <w:rPr>
          <w:rFonts w:ascii="Arial" w:cs="Arial" w:eastAsia="Arial" w:hAnsi="Arial"/>
        </w:rPr>
        <w:t xml:space="preserve">CI identification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4320"/>
        <w:gridCol w:w="2160"/>
        <w:gridCol w:w="4320"/>
      </w:tblGrid>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name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CI identifier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PIN and revision, or software version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Serial, lot, or batch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Control tier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ACN number and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Tail number</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Installed position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Flight event or test plan</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7"/>
                <w:szCs w:val="17"/>
              </w:rPr>
              <w:t xml:space="preserve">Checklist date</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Checklist</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400"/>
        <w:gridCol w:w="2400"/>
        <w:gridCol w:w="1480"/>
        <w:gridCol w:w="1700"/>
        <w:gridCol w:w="1940"/>
        <w:gridCol w:w="1120"/>
      </w:tblGrid>
      <w:tr>
        <w:trPr>
          <w:tblHeader/>
        </w:trPr>
        <w:tc>
          <w:tcPr>
            <w:tcW w:type="dxa" w:w="9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Done</w:t>
            </w:r>
          </w:p>
        </w:tc>
        <w:tc>
          <w:tcPr>
            <w:tcW w:type="dxa" w:w="3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Artifact</w:t>
            </w:r>
          </w:p>
        </w:tc>
        <w:tc>
          <w:tcPr>
            <w:tcW w:type="dxa" w:w="24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What it proves</w:t>
            </w:r>
          </w:p>
        </w:tc>
        <w:tc>
          <w:tcPr>
            <w:tcW w:type="dxa" w:w="148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Owner</w:t>
            </w:r>
          </w:p>
        </w:tc>
        <w:tc>
          <w:tcPr>
            <w:tcW w:type="dxa" w:w="17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Basis</w:t>
            </w:r>
          </w:p>
        </w:tc>
        <w:tc>
          <w:tcPr>
            <w:tcW w:type="dxa" w:w="19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Document, revision, location</w:t>
            </w:r>
          </w:p>
        </w:tc>
        <w:tc>
          <w:tcPr>
            <w:tcW w:type="dxa" w:w="11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spacing w:after="0" w:line="252"/>
            </w:pPr>
            <w:r>
              <w:rPr>
                <w:rFonts w:ascii="Arial" w:cs="Arial" w:eastAsia="Arial" w:hAnsi="Arial"/>
                <w:b/>
                <w:bCs/>
                <w:color w:val="FFFFFF"/>
                <w:sz w:val="17"/>
                <w:szCs w:val="17"/>
              </w:rPr>
              <w:t xml:space="preserve">Initials, date</w:t>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Definition</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N.1</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CI screening result recorded, with rationale.</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designation decision was made, not skipped.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Company CI identification process</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N.2</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Installation drawings, controlled in the parent CI’s documentation, at revision.</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installation is defined.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Design Engineering</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3.2.2</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N.3</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Interface rows for every CI the item connects to: data buses, power, and structure.</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Every connection is controlled.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Systems Engineering, 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3.2.5</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N.4</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Hazard analysis covers the item: bus loading, power, electromagnetic effects, and structural attachment.</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item adds no uncontrolled hazard.</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System Safety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EIA-649-1A 3.2.3.2 (1) a</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12960"/>
            <w:gridSpan w:val="7"/>
            <w:tcBorders>
              <w:top w:val="single" w:color="8A97A8" w:sz="4"/>
              <w:left w:val="single" w:color="8A97A8" w:sz="4"/>
              <w:bottom w:val="single" w:color="8A97A8" w:sz="4"/>
              <w:right w:val="single" w:color="8A97A8" w:sz="4"/>
            </w:tcBorders>
            <w:shd w:fill="E8ECF1" w:color="auto" w:val="clear"/>
            <w:tcMar>
              <w:top w:type="dxa" w:w="60"/>
              <w:left w:type="dxa" w:w="90"/>
              <w:bottom w:type="dxa" w:w="60"/>
              <w:right w:type="dxa" w:w="90"/>
            </w:tcMar>
            <w:vAlign w:val="top"/>
          </w:tcPr>
          <w:p>
            <w:pPr>
              <w:spacing w:after="0" w:line="252"/>
            </w:pPr>
            <w:r>
              <w:rPr>
                <w:rFonts w:ascii="Arial" w:cs="Arial" w:eastAsia="Arial" w:hAnsi="Arial"/>
                <w:b/>
                <w:bCs/>
                <w:sz w:val="18"/>
                <w:szCs w:val="18"/>
              </w:rPr>
              <w:t xml:space="preserve">The unit and status</w:t>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N.5</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Entry on the tail configuration list, with part number and serial number.</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item is part of the known configuration.</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Table I</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N.6</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Installed verification against the installation drawings.</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record matches the hardware.</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r>
        <w:trPr>
          <w:cantSplit/>
        </w:trPr>
        <w:tc>
          <w:tcPr>
            <w:tcW w:type="dxa" w:w="920"/>
            <w:tcBorders>
              <w:top w:val="single" w:color="8A97A8" w:sz="4"/>
              <w:left w:val="single" w:color="8A97A8" w:sz="4"/>
              <w:bottom w:val="single" w:color="8A97A8" w:sz="4"/>
              <w:right w:val="single" w:color="8A97A8" w:sz="4"/>
            </w:tcBorders>
            <w:tcMar>
              <w:top w:type="dxa" w:w="60"/>
              <w:left w:type="dxa" w:w="90"/>
              <w:bottom w:type="dxa" w:w="60"/>
              <w:right w:type="dxa" w:w="90"/>
            </w:tcMar>
          </w:tcPr>
          <w:p>
            <w:pPr>
              <w:spacing w:after="0"/>
            </w:pPr>
            <w:r>
              <w:rPr>
                <w:rFonts w:ascii="Segoe UI Symbol" w:cs="Segoe UI Symbol" w:eastAsia="Segoe UI Symbol" w:hAnsi="Segoe UI Symbol"/>
                <w:sz w:val="20"/>
                <w:szCs w:val="20"/>
              </w:rPr>
              <w:t xml:space="preserve">☐ </w:t>
            </w:r>
            <w:r>
              <w:rPr>
                <w:rFonts w:ascii="Arial" w:cs="Arial" w:eastAsia="Arial" w:hAnsi="Arial"/>
                <w:b/>
                <w:bCs/>
                <w:sz w:val="17"/>
                <w:szCs w:val="17"/>
              </w:rPr>
              <w:t xml:space="preserve">N.7</w:t>
            </w:r>
          </w:p>
        </w:tc>
        <w:tc>
          <w:tcPr>
            <w:tcW w:type="dxa" w:w="3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Removal plan, and verification that the aircraft returns to its approved configuration after removal.</w:t>
            </w:r>
          </w:p>
        </w:tc>
        <w:tc>
          <w:tcPr>
            <w:tcW w:type="dxa" w:w="24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The aircraft does not keep test configuration by accident.</w:t>
            </w:r>
          </w:p>
        </w:tc>
        <w:tc>
          <w:tcPr>
            <w:tcW w:type="dxa" w:w="148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CM, Quality</w:t>
            </w:r>
          </w:p>
        </w:tc>
        <w:tc>
          <w:tcPr>
            <w:tcW w:type="dxa" w:w="17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color w:val="44505F"/>
                <w:sz w:val="17"/>
                <w:szCs w:val="17"/>
              </w:rPr>
              <w:t xml:space="preserve">MIL-HDBK-61B 8.2.1.1</w:t>
            </w:r>
          </w:p>
        </w:tc>
        <w:tc>
          <w:tcPr>
            <w:tcW w:type="dxa" w:w="19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c>
          <w:tcPr>
            <w:tcW w:type="dxa" w:w="11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Open items and N/A reasons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7360"/>
        <w:gridCol w:w="2600"/>
        <w:gridCol w:w="1800"/>
      </w:tblGrid>
      <w:tr>
        <w:trPr>
          <w:cantSplit/>
        </w:trPr>
        <w:tc>
          <w:tcPr>
            <w:tcW w:type="dxa" w:w="12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Item</w:t>
            </w:r>
          </w:p>
        </w:tc>
        <w:tc>
          <w:tcPr>
            <w:tcW w:type="dxa" w:w="73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Open item or N/A reason</w:t>
            </w:r>
          </w:p>
        </w:tc>
        <w:tc>
          <w:tcPr>
            <w:tcW w:type="dxa" w:w="26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Disposition (closed, on limitations list, N/A)</w:t>
            </w:r>
          </w:p>
        </w:tc>
        <w:tc>
          <w:tcPr>
            <w:tcW w:type="dxa" w:w="180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Owner</w:t>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Height w:val="400" w:hRule="atLeast"/>
        </w:trPr>
        <w:tc>
          <w:tcPr>
            <w:tcW w:type="dxa" w:w="12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73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6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180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p>
      <w:pPr>
        <w:pStyle w:val="Heading2"/>
        <w:keepNext/>
        <w:spacing w:after="100" w:before="240"/>
      </w:pPr>
      <w:r>
        <w:rPr>
          <w:rFonts w:ascii="Arial" w:cs="Arial" w:eastAsia="Arial" w:hAnsi="Arial"/>
        </w:rPr>
        <w:t xml:space="preserve">Sign-off</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3240"/>
        <w:gridCol w:w="4320"/>
        <w:gridCol w:w="2160"/>
      </w:tblGrid>
      <w:tr>
        <w:trPr>
          <w:cantSplit/>
        </w:trPr>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Role</w:t>
            </w:r>
          </w:p>
        </w:tc>
        <w:tc>
          <w:tcPr>
            <w:tcW w:type="dxa" w:w="324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Function</w:t>
            </w:r>
          </w:p>
        </w:tc>
        <w:tc>
          <w:tcPr>
            <w:tcW w:type="dxa" w:w="432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Name and signature</w:t>
            </w:r>
          </w:p>
        </w:tc>
        <w:tc>
          <w:tcPr>
            <w:tcW w:type="dxa" w:w="2160"/>
            <w:tcBorders>
              <w:top w:val="single" w:color="8A97A8" w:sz="4"/>
              <w:left w:val="single" w:color="8A97A8" w:sz="4"/>
              <w:bottom w:val="single" w:color="8A97A8" w:sz="4"/>
              <w:right w:val="single" w:color="8A97A8" w:sz="4"/>
            </w:tcBorders>
            <w:shd w:fill="1F3A5F" w:color="auto" w:val="clear"/>
            <w:tcMar>
              <w:top w:type="dxa" w:w="60"/>
              <w:left w:type="dxa" w:w="90"/>
              <w:bottom w:type="dxa" w:w="60"/>
              <w:right w:type="dxa" w:w="90"/>
            </w:tcMar>
            <w:vAlign w:val="top"/>
          </w:tcPr>
          <w:p>
            <w:pPr>
              <w:keepNext/>
              <w:spacing w:after="0" w:line="252"/>
            </w:pPr>
            <w:r>
              <w:rPr>
                <w:rFonts w:ascii="Arial" w:cs="Arial" w:eastAsia="Arial" w:hAnsi="Arial"/>
                <w:b/>
                <w:bCs/>
                <w:color w:val="FFFFFF"/>
                <w:sz w:val="17"/>
                <w:szCs w:val="17"/>
              </w:rPr>
              <w:t xml:space="preserve">Date</w:t>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Prepared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CM</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Technical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Systems Engineering</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Safety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System Safety</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b/>
                <w:bCs/>
                <w:sz w:val="17"/>
                <w:szCs w:val="17"/>
              </w:rPr>
              <w:t xml:space="preserve">Test review</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Test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spacing w:after="0" w:line="252"/>
            </w:pPr>
            <w:r>
              <w:rPr>
                <w:rFonts w:ascii="Arial" w:cs="Arial" w:eastAsia="Arial" w:hAnsi="Arial"/>
                <w:sz w:val="17"/>
                <w:szCs w:val="17"/>
              </w:rPr>
              <w:t xml:space="preserve"/>
            </w:r>
          </w:p>
        </w:tc>
      </w:tr>
      <w:tr>
        <w:trPr>
          <w:cantSplit/>
        </w:trPr>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b/>
                <w:bCs/>
                <w:sz w:val="17"/>
                <w:szCs w:val="17"/>
              </w:rPr>
              <w:t xml:space="preserve">Approved</w:t>
            </w:r>
          </w:p>
        </w:tc>
        <w:tc>
          <w:tcPr>
            <w:tcW w:type="dxa" w:w="324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Program Management</w:t>
            </w:r>
          </w:p>
        </w:tc>
        <w:tc>
          <w:tcPr>
            <w:tcW w:type="dxa" w:w="432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c>
          <w:tcPr>
            <w:tcW w:type="dxa" w:w="2160"/>
            <w:tcBorders>
              <w:top w:val="single" w:color="8A97A8" w:sz="4"/>
              <w:left w:val="single" w:color="8A97A8" w:sz="4"/>
              <w:bottom w:val="single" w:color="8A97A8" w:sz="4"/>
              <w:right w:val="single" w:color="8A97A8" w:sz="4"/>
            </w:tcBorders>
            <w:tcMar>
              <w:top w:type="dxa" w:w="60"/>
              <w:left w:type="dxa" w:w="90"/>
              <w:bottom w:type="dxa" w:w="60"/>
              <w:right w:type="dxa" w:w="90"/>
            </w:tcMar>
            <w:vAlign w:val="top"/>
          </w:tcPr>
          <w:p>
            <w:pPr>
              <w:keepNext w:val="false"/>
              <w:spacing w:after="0" w:line="252"/>
            </w:pPr>
            <w:r>
              <w:rPr>
                <w:rFonts w:ascii="Arial" w:cs="Arial" w:eastAsia="Arial" w:hAnsi="Arial"/>
                <w:sz w:val="17"/>
                <w:szCs w:val="17"/>
              </w:rPr>
              <w:t xml:space="preserve"/>
            </w:r>
          </w:p>
        </w:tc>
      </w:tr>
    </w:tbl>
    <w:sectPr>
      <w:headerReference w:type="default" r:id="rId23"/>
      <w:footerReference w:type="default" r:id="rId24"/>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505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4"/>
      </w:pBdr>
    </w:pPr>
    <w:r>
      <w:rPr>
        <w:rFonts w:ascii="Arial" w:cs="Arial" w:eastAsia="Arial" w:hAnsi="Arial"/>
        <w:color w:val="44505F"/>
        <w:sz w:val="16"/>
        <w:szCs w:val="16"/>
      </w:rPr>
      <w:t xml:space="preserve">Flight Test Configuration Readiness Checklists</w:t>
    </w:r>
    <w:r>
      <w:rPr>
        <w:rFonts w:ascii="Arial" w:cs="Arial" w:eastAsia="Arial" w:hAnsi="Arial"/>
        <w:color w:val="8A97A8"/>
        <w:sz w:val="16"/>
        <w:szCs w:val="16"/>
      </w:rPr>
      <w:t xml:space="preserve">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3A5F"/>
      <w:sz w:val="44"/>
      <w:szCs w:val="44"/>
    </w:rPr>
  </w:style>
  <w:style w:type="paragraph" w:styleId="Heading1">
    <w:name w:val="Heading 1"/>
    <w:basedOn w:val="Normal"/>
    <w:next w:val="Normal"/>
    <w:qFormat/>
    <w:pPr>
      <w:spacing w:after="120" w:before="0"/>
      <w:outlineLvl w:val="0"/>
    </w:pPr>
    <w:rPr>
      <w:rFonts w:ascii="Arial" w:cs="Arial" w:eastAsia="Arial" w:hAnsi="Arial"/>
      <w:b/>
      <w:bCs/>
      <w:color w:val="1F3A5F"/>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image" Target="media/ffe01714b661550022ecb86476c297ee2d9b5abd.png"/><Relationship Id="rId26" Type="http://schemas.openxmlformats.org/officeDocument/2006/relationships/image" Target="media/500ecac5abd09c02dedfcca119546a25fffe23d1.png"/><Relationship Id="rId27" Type="http://schemas.openxmlformats.org/officeDocument/2006/relationships/image" Target="media/efb05687568cef97b15267539a48065bf430174b.png"/><Relationship Id="rId28" Type="http://schemas.openxmlformats.org/officeDocument/2006/relationships/image" Target="media/fabf2493a8746ab2e97d2d2bb2216550bef7db12.png"/><Relationship Id="rId29" Type="http://schemas.openxmlformats.org/officeDocument/2006/relationships/image" Target="media/e8d26b22aa22bc21c5340130df90e2a4dcf5e69e.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 Test Configuration Readiness Checklists</dc:title>
  <dc:creator>Configuration Management</dc:creator>
  <cp:lastModifiedBy>Un-named</cp:lastModifiedBy>
  <cp:revision>1</cp:revision>
  <dcterms:created xsi:type="dcterms:W3CDTF">2026-10-12T16:23:09.068Z</dcterms:created>
  <dcterms:modified xsi:type="dcterms:W3CDTF">2026-10-12T16:23:09.068Z</dcterms:modified>
</cp:coreProperties>
</file>

<file path=docProps/custom.xml><?xml version="1.0" encoding="utf-8"?>
<Properties xmlns="http://schemas.openxmlformats.org/officeDocument/2006/custom-properties" xmlns:vt="http://schemas.openxmlformats.org/officeDocument/2006/docPropsVTypes"/>
</file>