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1F3864"/>
          <w:sz w:val="24"/>
          <w:szCs w:val="24"/>
        </w:rPr>
        <w:t xml:space="preserve">CONFIGURATION MANAGEMENT PROCESS</w:t>
      </w:r>
    </w:p>
    <w:p>
      <w:pPr>
        <w:spacing w:after="200"/>
        <w:jc w:val="center"/>
      </w:pPr>
      <w:r>
        <w:rPr>
          <w:rFonts w:ascii="Calibri" w:cs="Calibri" w:eastAsia="Calibri" w:hAnsi="Calibri"/>
          <w:b/>
          <w:bCs/>
          <w:sz w:val="52"/>
          <w:szCs w:val="52"/>
        </w:rPr>
        <w:t xml:space="preserve">Configuration Audit Process</w:t>
      </w:r>
    </w:p>
    <w:p>
      <w:pPr>
        <w:spacing w:after="200"/>
        <w:jc w:val="center"/>
      </w:pPr>
      <w:r>
        <w:rPr>
          <w:rFonts w:ascii="Calibri" w:cs="Calibri" w:eastAsia="Calibri" w:hAnsi="Calibri"/>
          <w:b/>
          <w:bCs/>
          <w:sz w:val="30"/>
          <w:szCs w:val="30"/>
        </w:rPr>
        <w:t xml:space="preserve">Functional Configuration Audit (FCA) and Physical Configuration Audit (PCA)</w:t>
      </w:r>
    </w:p>
    <w:p>
      <w:pPr>
        <w:spacing w:after="1200"/>
        <w:jc w:val="center"/>
      </w:pPr>
      <w:r>
        <w:rPr>
          <w:rFonts w:ascii="Calibri" w:cs="Calibri" w:eastAsia="Calibri" w:hAnsi="Calibri"/>
          <w:i/>
          <w:iCs/>
          <w:sz w:val="28"/>
          <w:szCs w:val="28"/>
        </w:rPr>
        <w:t xml:space="preserve">In Alignment with EIA-649-1A and GEIA-HB-649A</w:t>
      </w:r>
    </w:p>
    <w:p>
      <w:pPr>
        <w:spacing w:after="100"/>
        <w:jc w:val="center"/>
      </w:pPr>
      <w:r>
        <w:rPr>
          <w:rFonts w:ascii="Calibri" w:cs="Calibri" w:eastAsia="Calibri" w:hAnsi="Calibri"/>
          <w:sz w:val="22"/>
          <w:szCs w:val="22"/>
        </w:rPr>
        <w:t xml:space="preserve">Document No.: [XXX-CM-PROC-002]</w:t>
      </w:r>
    </w:p>
    <w:p>
      <w:pPr>
        <w:spacing w:after="100"/>
        <w:jc w:val="center"/>
      </w:pPr>
      <w:r>
        <w:rPr>
          <w:rFonts w:ascii="Calibri" w:cs="Calibri" w:eastAsia="Calibri" w:hAnsi="Calibri"/>
          <w:sz w:val="22"/>
          <w:szCs w:val="22"/>
        </w:rPr>
        <w:t xml:space="preserve">Revision: [Initial]        Date: [Date]</w:t>
      </w:r>
    </w:p>
    <w:p>
      <w:pPr>
        <w:spacing w:after="100"/>
        <w:jc w:val="center"/>
      </w:pPr>
      <w:r>
        <w:rPr>
          <w:rFonts w:ascii="Calibri" w:cs="Calibri" w:eastAsia="Calibri" w:hAnsi="Calibri"/>
          <w:sz w:val="22"/>
          <w:szCs w:val="22"/>
        </w:rPr>
        <w:t xml:space="preserve">Prepared by: Configuration Management        Approved by: [Approver]</w:t>
      </w:r>
    </w:p>
    <w:p>
      <w:r>
        <w:br w:type="page"/>
      </w:r>
    </w:p>
    <w:p>
      <w:pPr>
        <w:pStyle w:val="Heading1"/>
        <w:spacing w:after="16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Calibri" w:cs="Calibri" w:eastAsia="Calibri" w:hAnsi="Calibri"/>
        </w:rPr>
        <w:t xml:space="preserve">1. Purpose, Scope, and Applicability</w:t>
      </w:r>
    </w:p>
    <w:p>
      <w:pPr>
        <w:pStyle w:val="Heading2"/>
        <w:spacing w:after="120" w:before="260"/>
      </w:pPr>
      <w:r>
        <w:rPr>
          <w:rFonts w:ascii="Calibri" w:cs="Calibri" w:eastAsia="Calibri" w:hAnsi="Calibri"/>
        </w:rPr>
        <w:t xml:space="preserve">1.1 Purpose</w:t>
      </w:r>
    </w:p>
    <w:p>
      <w:pPr>
        <w:spacing w:after="120" w:line="276"/>
      </w:pPr>
      <w:r>
        <w:rPr>
          <w:rFonts w:ascii="Calibri" w:cs="Calibri" w:eastAsia="Calibri" w:hAnsi="Calibri"/>
          <w:sz w:val="22"/>
          <w:szCs w:val="22"/>
        </w:rPr>
        <w:t xml:space="preserve">This document instructs the Configuration Management (CM) team on how to plan, conduct, document, and close Functional Configuration Audits (FCAs) and Physical Configuration Audits (PCAs), in alignment with EIA-649-1A §3.5 and GEIA-HB-649A Section 10.</w:t>
      </w:r>
    </w:p>
    <w:p>
      <w:pPr>
        <w:pStyle w:val="Heading2"/>
        <w:spacing w:after="120" w:before="260"/>
      </w:pPr>
      <w:r>
        <w:rPr>
          <w:rFonts w:ascii="Calibri" w:cs="Calibri" w:eastAsia="Calibri" w:hAnsi="Calibri"/>
        </w:rPr>
        <w:t xml:space="preserve">1.2 Scope</w:t>
      </w:r>
    </w:p>
    <w:p>
      <w:pPr>
        <w:spacing w:after="120" w:line="276"/>
      </w:pPr>
      <w:r>
        <w:rPr>
          <w:rFonts w:ascii="Calibri" w:cs="Calibri" w:eastAsia="Calibri" w:hAnsi="Calibri"/>
          <w:sz w:val="22"/>
          <w:szCs w:val="22"/>
        </w:rPr>
        <w:t xml:space="preserve">This process covers common audit responsibilities, audit planning and preparation, FCA conduct, PCA conduct, findings and action item management, post-audit actions, certification, and status accounting of audit results. It applies to hardware CIs, computer software CIs (CSCIs), and firmware, at lower-tier (incremental) and system levels.</w:t>
      </w:r>
    </w:p>
    <w:p>
      <w:pPr>
        <w:pStyle w:val="Heading2"/>
        <w:spacing w:after="120" w:before="260"/>
      </w:pPr>
      <w:r>
        <w:rPr>
          <w:rFonts w:ascii="Calibri" w:cs="Calibri" w:eastAsia="Calibri" w:hAnsi="Calibri"/>
        </w:rPr>
        <w:t xml:space="preserve">1.3 Applicability</w:t>
      </w:r>
    </w:p>
    <w:p>
      <w:pPr>
        <w:spacing w:after="120" w:line="276"/>
      </w:pPr>
      <w:r>
        <w:rPr>
          <w:rFonts w:ascii="Calibri" w:cs="Calibri" w:eastAsia="Calibri" w:hAnsi="Calibri"/>
          <w:sz w:val="22"/>
          <w:szCs w:val="22"/>
        </w:rPr>
        <w:t xml:space="preserve">This process applies to all programs where the company acts as a prime contractor (Supplier) to a DoD Acquirer, including audits conducted at Supplier or sub-supplier facilities. Sub-supplier CIs audited under this process receive equivalent flowed-down requirements. Where a contract imposes differing requirements, the contract governs; deviations are documented in the program Configuration Management Plan (CMP). This process is tool-agnostic.</w:t>
      </w:r>
    </w:p>
    <w:p>
      <w:pPr>
        <w:spacing w:after="120" w:line="276"/>
      </w:pPr>
      <w:r>
        <w:rPr>
          <w:rFonts w:ascii="Calibri" w:cs="Calibri" w:eastAsia="Calibri" w:hAnsi="Calibri"/>
          <w:sz w:val="22"/>
          <w:szCs w:val="22"/>
        </w:rPr>
        <w:t xml:space="preserve">FCA and PCA may be conducted separately or combined into a single event when there is high confidence that all FCA requirements will be met alongside PCA requirements within the same timeline. A PCA shall not begin unless the corresponding FCA has been successfully completed or is being conducted concurrently.</w:t>
      </w:r>
    </w:p>
    <w:p>
      <w:pPr>
        <w:pStyle w:val="Heading1"/>
        <w:spacing w:after="160" w:before="320"/>
      </w:pPr>
      <w:r>
        <w:rPr>
          <w:rFonts w:ascii="Calibri" w:cs="Calibri" w:eastAsia="Calibri" w:hAnsi="Calibri"/>
        </w:rPr>
        <w:t xml:space="preserve">2. References</w:t>
      </w:r>
    </w:p>
    <w:p>
      <w:pPr>
        <w:pStyle w:val="Heading2"/>
        <w:spacing w:after="120" w:before="260"/>
      </w:pPr>
      <w:r>
        <w:rPr>
          <w:rFonts w:ascii="Calibri" w:cs="Calibri" w:eastAsia="Calibri" w:hAnsi="Calibri"/>
        </w:rPr>
        <w:t xml:space="preserve">2.1 Governing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EIA-649-1A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Requirements for Defense Contracts (§3.5, Configuration Verification and Audits)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GEIA-HB-649A</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Standard Implementation Guide (Section 10; Appendices N and P audit checklists)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ANSI/EIA-649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National Consensus Standard for Configuration Management</w:t>
            </w:r>
          </w:p>
        </w:tc>
      </w:tr>
    </w:tbl>
    <w:p>
      <w:pPr>
        <w:pStyle w:val="Heading2"/>
        <w:spacing w:after="120" w:before="260"/>
      </w:pPr>
      <w:r>
        <w:rPr>
          <w:rFonts w:ascii="Calibri" w:cs="Calibri" w:eastAsia="Calibri" w:hAnsi="Calibri"/>
        </w:rPr>
        <w:t xml:space="preserve">2.2 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Document</w:t>
            </w:r>
          </w:p>
        </w:tc>
        <w:tc>
          <w:tcPr>
            <w:tcW w:type="dxa" w:w="7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Title / Relevance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[XXX-CM-PROC-001]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Identification Process (companion process; defines the CIs and baselines audited under this process)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SM-0001</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Safety Management System (SMS) Standard. Verification of safety-critical requirements identified under the SMS receives priority attention in FCA requirement sampling (see 5.3.3).</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Register</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EIA-649-1A requirements obligated through the SMS pathway on all safety-significant product lines regardless of contract flow-down. Floor items in this process: F29–F31, F34, F42–F44 (see 5.0 note).</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CM Floor Operating Model</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How floor items are dispositioned (perform / documented equivalent control / risk acceptance) via the tailoring gate defined in [XXX-CM-PROC-003] §5.1.1.</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DI-SESS-81646</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Plan</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DI-ADMN-81249</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Conference Agenda</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DI-ADMN-81250</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Conference Minutes</w:t>
            </w:r>
          </w:p>
        </w:tc>
      </w:tr>
      <w:tr>
        <w:tc>
          <w:tcPr>
            <w:tcW w:type="dxa" w:w="2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DI-SESS-81022</w:t>
            </w:r>
          </w:p>
        </w:tc>
        <w:tc>
          <w:tcPr>
            <w:tcW w:type="dxa" w:w="7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Summary Report</w:t>
            </w:r>
          </w:p>
        </w:tc>
      </w:tr>
    </w:tbl>
    <w:p>
      <w:pPr>
        <w:spacing w:after="120" w:line="276"/>
        <w:rPr>
          <w:i/>
          <w:iCs/>
          <w:sz w:val="20"/>
          <w:szCs w:val="20"/>
        </w:rPr>
      </w:pPr>
      <w:r>
        <w:rPr>
          <w:rFonts w:ascii="Calibri" w:cs="Calibri" w:eastAsia="Calibri" w:hAnsi="Calibri"/>
          <w:i/>
          <w:iCs/>
          <w:sz w:val="20"/>
          <w:szCs w:val="20"/>
        </w:rPr>
        <w:t xml:space="preserve">Data Item Descriptions (DIDs) apply only where cited on contract via CDRL.</w:t>
      </w:r>
    </w:p>
    <w:p>
      <w:pPr>
        <w:pStyle w:val="Heading1"/>
        <w:spacing w:after="160" w:before="320"/>
      </w:pPr>
      <w:r>
        <w:rPr>
          <w:rFonts w:ascii="Calibri" w:cs="Calibri" w:eastAsia="Calibri" w:hAnsi="Calibri"/>
        </w:rPr>
        <w:t xml:space="preserve">3. Definitions and Acronyms</w:t>
      </w:r>
    </w:p>
    <w:p>
      <w:pPr>
        <w:pStyle w:val="Heading2"/>
        <w:spacing w:after="120" w:before="260"/>
      </w:pPr>
      <w:r>
        <w:rPr>
          <w:rFonts w:ascii="Calibri" w:cs="Calibri" w:eastAsia="Calibri" w:hAnsi="Calibri"/>
        </w:rPr>
        <w:t xml:space="preserve">3.1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Term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Definition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Functional Configuration Audit (FCA)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formal audit that verifies the CI’s and system’s tested performance against its approved functional and allocated configuration documentation; confirms specifications and interfaces are accurately and adequately defined; and confirms the Supplier’s change control system adequately controls processing and release of configuration documentation.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Physical Configuration Audit (PCA)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formal examination of the as-built (or as-coded) configuration of a validated CI against its product configuration documentation, verifying the documentation is a clear, complete, and accurate representation of the CI. Successful PCA completion is necessary to establish the product baseline (PBL); all subsequent changes are processed by formal engineering change action.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Verification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ongoing process, spanning CM, systems engineering, design, test, manufacturing, and quality, by which the design solution is verified: functionally through analyses, inspections, tests, and demonstrations, and physically by inspection and/or process control confirming as-built conformance to as-designed.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Action Item / Request for Action (RFA)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The documented record of a discrepancy found during audit proceedings, defining the issue, agreed closure plan, responsible person, and agreed suspense/closure date. RFA is the standard DoD format.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Incremental (Capstone) Audit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Audits conducted bottom-up on lower-level CIs, then subsystems, concluding with a final system-level audit confirming all FBL/ABL/PBL requirements are satisfied. Open action items from lower-level audits are carried into system-level minutes.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Delta Audit</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 follow-on audit of the portion of configuration and verification data that was open (e.g., testing not complete) at the original audit. Delta audit results are added to or supersede the original audit minutes.</w:t>
            </w:r>
          </w:p>
        </w:tc>
      </w:tr>
    </w:tbl>
    <w:p>
      <w:pPr>
        <w:pStyle w:val="Heading2"/>
        <w:spacing w:after="120" w:before="260"/>
      </w:pPr>
      <w:r>
        <w:rPr>
          <w:rFonts w:ascii="Calibri" w:cs="Calibri" w:eastAsia="Calibri" w:hAnsi="Calibri"/>
        </w:rPr>
        <w:t xml:space="preserve">3.2 Acronyms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Acronym</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ABL / FBL / PBL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Allocated / Functional / Product Baseline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ATP</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Acceptance Test Procedure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CDR / PDR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Critical / Preliminary Design Review</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CI / CSCI / HWCI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Item / Computer Software CI / Hardware CI</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COTS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Commercial Off-The-Shelf</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Status Accounting (Report)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ECP / SCN / NOR / RFV</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Engineering Change Proposal / Specification Change Notice / Notice of Revision / Request for Variance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FAI</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First Article Inspection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IDD / VDD / SVD</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Interface Design Document / Version Description Document / Software Version Description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IMS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Integrated Master Schedule</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OT&amp;E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Operational Test and Evaluation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PPSL</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Program Parts Selection List</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RFA</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Request for Action</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VCRM / RTM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Verification Cross Reference Matrix / Requirements Traceability Matrix</w:t>
            </w:r>
          </w:p>
        </w:tc>
      </w:tr>
    </w:tbl>
    <w:p>
      <w:pPr>
        <w:pStyle w:val="Heading1"/>
        <w:spacing w:after="160" w:before="320"/>
      </w:pPr>
      <w:r>
        <w:rPr>
          <w:rFonts w:ascii="Calibri" w:cs="Calibri" w:eastAsia="Calibri" w:hAnsi="Calibri"/>
        </w:rPr>
        <w:t xml:space="preserve">4. 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Role</w:t>
            </w:r>
          </w:p>
        </w:tc>
        <w:tc>
          <w:tcPr>
            <w:tcW w:type="dxa" w:w="67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Responsibilities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Management (CM)</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Owns this process. Prepares the audit plan and agenda, coordinates Acquirer approval, assembles and controls the audit data package, records minutes, documents each non-compliance as an RFA and tracks it to closure, prepares the Configuration Audit Summary Report, records results in CSA.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Co-Chair (Supplier)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Designated Supplier representative for each audit. Runs proceedings jointly with the Acquirer co-chair, conducts the opening briefing, summarizes side-meeting conclusions into official minutes, conducts management out-briefs.</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Systems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the RTM/VCRM, specifications, interface documentation, and analyses. Presents requirement-by-requirement verification evidence at FCA.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Design Engineering</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released drawings/models, parts lists, product specifications, and change records. Supports as-designed vs. as-built reconciliation at PCA.</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Test &amp; Evaluation</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test plans, procedures, and reports; accounts for tests not yet performed and the plan to accomplish them.</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Manufacturing / Quality Assurance</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Provides manufacturing instructions, process records, QA records, FAI results, and acceptance test data. QA witnesses the software build/installation check at software PCA. Confirms production processes match those used in development or that changes are documented.</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Sub-suppliers</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Participate in planning and conducting audits of their CIs; prepare audit plans identifying their requirements and responsibilities; personnel are prepared to discuss the technical detail of presented material.</w:t>
            </w:r>
          </w:p>
        </w:tc>
      </w:tr>
      <w:tr>
        <w:tc>
          <w:tcPr>
            <w:tcW w:type="dxa" w:w="26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Acquirer</w:t>
            </w:r>
          </w:p>
        </w:tc>
        <w:tc>
          <w:tcPr>
            <w:tcW w:type="dxa" w:w="67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Approves audit schedule, plan, and agenda. Co-chairs proceedings. Jointly selects the PCA unit. Dispositions audit results as approval, contingent approval, or disapproval. Establishes the PBL after successful PCA.</w:t>
            </w:r>
          </w:p>
        </w:tc>
      </w:tr>
    </w:tbl>
    <w:p>
      <w:pPr>
        <w:pStyle w:val="Heading1"/>
        <w:spacing w:after="160" w:before="320"/>
      </w:pPr>
      <w:r>
        <w:rPr>
          <w:rFonts w:ascii="Calibri" w:cs="Calibri" w:eastAsia="Calibri" w:hAnsi="Calibri"/>
        </w:rPr>
        <w:t xml:space="preserve">5. Process</w:t>
      </w:r>
    </w:p>
    <w:p>
      <w:pPr>
        <w:spacing w:after="120" w:line="276"/>
      </w:pPr>
      <w:r>
        <w:rPr>
          <w:rFonts w:ascii="Calibri" w:cs="Calibri" w:eastAsia="Calibri" w:hAnsi="Calibri"/>
          <w:sz w:val="22"/>
          <w:szCs w:val="22"/>
        </w:rPr>
        <w:t xml:space="preserve">Audits proceed bottom-up: lower-level CIs first, then subsystems, then the system-level audit that verifies achievement of system-level requirements. When audits are conducted in increments, a final (capstone) system-level audit confirms all FBL, ABL, and PBL requirements are satisfied. All entry and exit criteria shall be completed prior to audit closeout.</w:t>
      </w:r>
    </w:p>
    <w:p>
      <w:pPr>
        <w:spacing w:after="120" w:line="276"/>
        <w:rPr>
          <w:b w:val="false"/>
          <w:bCs w:val="false"/>
        </w:rPr>
      </w:pPr>
      <w:r>
        <w:rPr>
          <w:rFonts w:ascii="Calibri" w:cs="Calibri" w:eastAsia="Calibri" w:hAnsi="Calibri"/>
          <w:b w:val="false"/>
          <w:bCs w:val="false"/>
          <w:sz w:val="22"/>
          <w:szCs w:val="22"/>
        </w:rPr>
        <w:t xml:space="preserve">CM floor. The following requirements in this process are CM floor items per the CM Floor Register: conducting the FCA to verify performance against the approved FCD/ACD, documenting each FCA non-compliance to the Acquirer, and the requirements-to-test traceability matrix (F42–F44, barrier B16); and conducting the PCA to verify the PCD is consistent with the validated CI, PPSL confirmation and installed-parts verification, documenting each PCA non-compliance to the Acquirer, and identifying differences between the production unit and the FCA unit(s) (F29–F31, F34, barriers B9/B12). On safety-significant product lines these are performed regardless of contract flow-down; any proposal not to perform one is dispositioned through the CM floor gate ([XXX-CM-PROC-003] §5.1.1) and recorded in the program CM Floor Compliance Matrix — never tailored out silently.</w:t>
      </w:r>
    </w:p>
    <w:p>
      <w:pPr>
        <w:pStyle w:val="Heading2"/>
        <w:spacing w:after="120" w:before="260"/>
      </w:pPr>
      <w:r>
        <w:rPr>
          <w:rFonts w:ascii="Calibri" w:cs="Calibri" w:eastAsia="Calibri" w:hAnsi="Calibri"/>
        </w:rPr>
        <w:t xml:space="preserve">5.1 Common Requirements (Both FCA and PCA)</w:t>
      </w:r>
    </w:p>
    <w:p>
      <w:pPr>
        <w:pStyle w:val="ListParagraph"/>
        <w:numPr>
          <w:ilvl w:val="0"/>
          <w:numId w:val="2"/>
        </w:numPr>
        <w:spacing w:after="80" w:line="276"/>
      </w:pPr>
      <w:r>
        <w:rPr>
          <w:rFonts w:ascii="Calibri" w:cs="Calibri" w:eastAsia="Calibri" w:hAnsi="Calibri"/>
          <w:sz w:val="22"/>
          <w:szCs w:val="22"/>
        </w:rPr>
        <w:t xml:space="preserve">Conduct FCAs and PCAs for designated CIs, including the prime’s designated sub-tier level, and support/participate in audits of related CIs as identified by the Acquirer.</w:t>
      </w:r>
    </w:p>
    <w:p>
      <w:pPr>
        <w:pStyle w:val="ListParagraph"/>
        <w:numPr>
          <w:ilvl w:val="0"/>
          <w:numId w:val="2"/>
        </w:numPr>
        <w:spacing w:after="80" w:line="276"/>
      </w:pPr>
      <w:r>
        <w:rPr>
          <w:rFonts w:ascii="Calibri" w:cs="Calibri" w:eastAsia="Calibri" w:hAnsi="Calibri"/>
          <w:sz w:val="22"/>
          <w:szCs w:val="22"/>
        </w:rPr>
        <w:t xml:space="preserve">Establish the schedule, location, and agenda for each audit in consonance with the IMS and obtain Acquirer approval. Hold planning conferences sufficiently in advance (normally 30–60 days) for both parties to prepare.</w:t>
      </w:r>
    </w:p>
    <w:p>
      <w:pPr>
        <w:pStyle w:val="ListParagraph"/>
        <w:numPr>
          <w:ilvl w:val="0"/>
          <w:numId w:val="2"/>
        </w:numPr>
        <w:spacing w:after="80" w:line="276"/>
      </w:pPr>
      <w:r>
        <w:rPr>
          <w:rFonts w:ascii="Calibri" w:cs="Calibri" w:eastAsia="Calibri" w:hAnsi="Calibri"/>
          <w:sz w:val="22"/>
          <w:szCs w:val="22"/>
        </w:rPr>
        <w:t xml:space="preserve">Confirm each audit schedule is compatible with the availability of necessary information and contract articles (released engineering documentation, product specifications, quality records, manuals, drawings, reports, hardware, IDD and SVD for software).</w:t>
      </w:r>
    </w:p>
    <w:p>
      <w:pPr>
        <w:pStyle w:val="ListParagraph"/>
        <w:numPr>
          <w:ilvl w:val="0"/>
          <w:numId w:val="2"/>
        </w:numPr>
        <w:spacing w:after="80" w:line="276"/>
      </w:pPr>
      <w:r>
        <w:rPr>
          <w:rFonts w:ascii="Calibri" w:cs="Calibri" w:eastAsia="Calibri" w:hAnsi="Calibri"/>
          <w:sz w:val="22"/>
          <w:szCs w:val="22"/>
        </w:rPr>
        <w:t xml:space="preserve">Designate a Supplier representative (co-chair) for the audit.</w:t>
      </w:r>
    </w:p>
    <w:p>
      <w:pPr>
        <w:pStyle w:val="ListParagraph"/>
        <w:numPr>
          <w:ilvl w:val="0"/>
          <w:numId w:val="2"/>
        </w:numPr>
        <w:spacing w:after="80" w:line="276"/>
      </w:pPr>
      <w:r>
        <w:rPr>
          <w:rFonts w:ascii="Calibri" w:cs="Calibri" w:eastAsia="Calibri" w:hAnsi="Calibri"/>
          <w:sz w:val="22"/>
          <w:szCs w:val="22"/>
        </w:rPr>
        <w:t xml:space="preserve">Provide a current listing of all RFVs, SCNs, NORs, and ECPs against the CI, either requested or approved.</w:t>
      </w:r>
    </w:p>
    <w:p>
      <w:pPr>
        <w:pStyle w:val="ListParagraph"/>
        <w:numPr>
          <w:ilvl w:val="0"/>
          <w:numId w:val="2"/>
        </w:numPr>
        <w:spacing w:after="80" w:line="276"/>
      </w:pPr>
      <w:r>
        <w:rPr>
          <w:rFonts w:ascii="Calibri" w:cs="Calibri" w:eastAsia="Calibri" w:hAnsi="Calibri"/>
          <w:sz w:val="22"/>
          <w:szCs w:val="22"/>
        </w:rPr>
        <w:t xml:space="preserve">Ensure participating Supplier and sub-supplier personnel are prepared to discuss the technical detail of presented material.</w:t>
      </w:r>
    </w:p>
    <w:p>
      <w:pPr>
        <w:pStyle w:val="ListParagraph"/>
        <w:numPr>
          <w:ilvl w:val="0"/>
          <w:numId w:val="2"/>
        </w:numPr>
        <w:spacing w:after="80" w:line="276"/>
      </w:pPr>
      <w:r>
        <w:rPr>
          <w:rFonts w:ascii="Calibri" w:cs="Calibri" w:eastAsia="Calibri" w:hAnsi="Calibri"/>
          <w:sz w:val="22"/>
          <w:szCs w:val="22"/>
        </w:rPr>
        <w:t xml:space="preserve">Record significant questions and answers, action items, conclusions, and recommended courses of action in official minutes; summarize side meetings into the main meeting record. Make daily minutes available for joint review at the start of the next session; make overall audit minutes available to the Acquirer before the audit team departs.</w:t>
      </w:r>
    </w:p>
    <w:p>
      <w:pPr>
        <w:pStyle w:val="ListParagraph"/>
        <w:numPr>
          <w:ilvl w:val="0"/>
          <w:numId w:val="2"/>
        </w:numPr>
        <w:spacing w:after="80" w:line="276"/>
      </w:pPr>
      <w:r>
        <w:rPr>
          <w:rFonts w:ascii="Calibri" w:cs="Calibri" w:eastAsia="Calibri" w:hAnsi="Calibri"/>
          <w:sz w:val="22"/>
          <w:szCs w:val="22"/>
        </w:rPr>
        <w:t xml:space="preserve">Record all discrepancies and process each to closure or to an agreed residual task with responsible activity and suspense date.</w:t>
      </w:r>
    </w:p>
    <w:p>
      <w:pPr>
        <w:pStyle w:val="ListParagraph"/>
        <w:numPr>
          <w:ilvl w:val="0"/>
          <w:numId w:val="2"/>
        </w:numPr>
        <w:spacing w:after="80" w:line="276"/>
      </w:pPr>
      <w:r>
        <w:rPr>
          <w:rFonts w:ascii="Calibri" w:cs="Calibri" w:eastAsia="Calibri" w:hAnsi="Calibri"/>
          <w:sz w:val="22"/>
          <w:szCs w:val="22"/>
        </w:rPr>
        <w:t xml:space="preserve">Verify implementation of engineering changes and variance corrective actions to confirm consistency between the product and its product configuration information.</w:t>
      </w:r>
    </w:p>
    <w:p>
      <w:pPr>
        <w:pStyle w:val="Heading2"/>
        <w:spacing w:after="120" w:before="260"/>
      </w:pPr>
      <w:r>
        <w:rPr>
          <w:rFonts w:ascii="Calibri" w:cs="Calibri" w:eastAsia="Calibri" w:hAnsi="Calibri"/>
        </w:rPr>
        <w:t xml:space="preserve">5.2 Audit Planning and Preparation</w:t>
      </w:r>
    </w:p>
    <w:p>
      <w:pPr>
        <w:spacing w:after="120" w:line="276"/>
      </w:pPr>
      <w:r>
        <w:rPr>
          <w:rFonts w:ascii="Calibri" w:cs="Calibri" w:eastAsia="Calibri" w:hAnsi="Calibri"/>
          <w:sz w:val="22"/>
          <w:szCs w:val="22"/>
        </w:rPr>
        <w:t xml:space="preserve">CM prepares the audit plan (DI-SESS-81646 where contracted) and agenda (DI-ADMN-81249) covering: scope (contract, SOW, specifications), items to be audited (nomenclature, specification numbers, CI identifiers), location, dates, duration, co-chairs, audit team composition and functions, documentation to be reviewed, chronological schedule, and administrative/security requirements.</w:t>
      </w:r>
    </w:p>
    <w:p>
      <w:pPr>
        <w:spacing w:after="120" w:line="276"/>
      </w:pPr>
      <w:r>
        <w:rPr>
          <w:rFonts w:ascii="Calibri" w:cs="Calibri" w:eastAsia="Calibri" w:hAnsi="Calibri"/>
          <w:sz w:val="22"/>
          <w:szCs w:val="22"/>
        </w:rPr>
        <w:t xml:space="preserve">CM establishes procedures to identify, accumulate, and track availability of required audit artifacts before audit start, and provides them to the audit team. Data package contents are listed per audit type in Appendices A and B.</w:t>
      </w:r>
    </w:p>
    <w:p>
      <w:pPr>
        <w:spacing w:after="120" w:line="276"/>
      </w:pPr>
      <w:r>
        <w:rPr>
          <w:rFonts w:ascii="Calibri" w:cs="Calibri" w:eastAsia="Calibri" w:hAnsi="Calibri"/>
          <w:sz w:val="22"/>
          <w:szCs w:val="22"/>
        </w:rPr>
        <w:t xml:space="preserve">Contractor resources include the audit plan and agenda, conference facilities, all variances against the CI with status, minutes of prior audits, and personnel from engineering, manufacturing, and quality assurance.</w:t>
      </w:r>
    </w:p>
    <w:p>
      <w:pPr>
        <w:pStyle w:val="Heading2"/>
        <w:spacing w:after="120" w:before="260"/>
      </w:pPr>
      <w:r>
        <w:rPr>
          <w:rFonts w:ascii="Calibri" w:cs="Calibri" w:eastAsia="Calibri" w:hAnsi="Calibri"/>
        </w:rPr>
        <w:t xml:space="preserve">5.3 Functional Configuration Audit (FCA)</w:t>
      </w:r>
    </w:p>
    <w:p>
      <w:pPr>
        <w:pStyle w:val="Heading3"/>
        <w:spacing w:after="100" w:before="200"/>
      </w:pPr>
      <w:r>
        <w:rPr>
          <w:rFonts w:ascii="Calibri" w:cs="Calibri" w:eastAsia="Calibri" w:hAnsi="Calibri"/>
        </w:rPr>
        <w:t xml:space="preserve">5.3.1 Objective and Prerequisites</w:t>
      </w:r>
    </w:p>
    <w:p>
      <w:pPr>
        <w:spacing w:after="120" w:line="276"/>
      </w:pPr>
      <w:r>
        <w:rPr>
          <w:rFonts w:ascii="Calibri" w:cs="Calibri" w:eastAsia="Calibri" w:hAnsi="Calibri"/>
          <w:sz w:val="22"/>
          <w:szCs w:val="22"/>
        </w:rPr>
        <w:t xml:space="preserve">The FCA verifies the CI’s and system’s performance against its approved functional configuration documentation (FCD) and allocated configuration documentation (ACD), consistent with up-to-date product configuration documentation (PCD); ensures specifications and interfaces are accurately and adequately defined; and confirms the change control system is adequate. For CSCIs, the FCA ensures every requirement has a related test step and the test passes.</w:t>
      </w:r>
    </w:p>
    <w:p>
      <w:pPr>
        <w:pStyle w:val="ListParagraph"/>
        <w:numPr>
          <w:ilvl w:val="0"/>
          <w:numId w:val="3"/>
        </w:numPr>
        <w:spacing w:after="80" w:line="276"/>
      </w:pPr>
      <w:r>
        <w:rPr>
          <w:rFonts w:ascii="Calibri" w:cs="Calibri" w:eastAsia="Calibri" w:hAnsi="Calibri"/>
          <w:sz w:val="22"/>
          <w:szCs w:val="22"/>
        </w:rPr>
        <w:t xml:space="preserve">Prerequisite: prior Acquirer approval of the FBL and ABL for the CI or system involved.</w:t>
      </w:r>
    </w:p>
    <w:p>
      <w:pPr>
        <w:pStyle w:val="ListParagraph"/>
        <w:numPr>
          <w:ilvl w:val="0"/>
          <w:numId w:val="3"/>
        </w:numPr>
        <w:spacing w:after="80" w:line="276"/>
      </w:pPr>
      <w:r>
        <w:rPr>
          <w:rFonts w:ascii="Calibri" w:cs="Calibri" w:eastAsia="Calibri" w:hAnsi="Calibri"/>
          <w:sz w:val="22"/>
          <w:szCs w:val="22"/>
        </w:rPr>
        <w:t xml:space="preserve">Test data used shall be from verification of the configuration to be formally accepted or released for production (prototype/preproduction article; first production article if none). Where verification can only be completed after system integration and test, the final FCA uses those results.</w:t>
      </w:r>
    </w:p>
    <w:p>
      <w:pPr>
        <w:pStyle w:val="ListParagraph"/>
        <w:numPr>
          <w:ilvl w:val="0"/>
          <w:numId w:val="3"/>
        </w:numPr>
        <w:spacing w:after="80" w:line="276"/>
      </w:pPr>
      <w:r>
        <w:rPr>
          <w:rFonts w:ascii="Calibri" w:cs="Calibri" w:eastAsia="Calibri" w:hAnsi="Calibri"/>
          <w:sz w:val="22"/>
          <w:szCs w:val="22"/>
        </w:rPr>
        <w:t xml:space="preserve">Make the final draft CI product specification available to the Acquirer before the FCA, as contracted.</w:t>
      </w:r>
    </w:p>
    <w:p>
      <w:pPr>
        <w:pStyle w:val="Heading3"/>
        <w:spacing w:after="100" w:before="200"/>
      </w:pPr>
      <w:r>
        <w:rPr>
          <w:rFonts w:ascii="Calibri" w:cs="Calibri" w:eastAsia="Calibri" w:hAnsi="Calibri"/>
        </w:rPr>
        <w:t xml:space="preserve">5.3.2 Pre-Audit Submittals</w:t>
      </w:r>
    </w:p>
    <w:p>
      <w:pPr>
        <w:spacing w:after="120" w:line="276"/>
      </w:pPr>
      <w:r>
        <w:rPr>
          <w:rFonts w:ascii="Calibri" w:cs="Calibri" w:eastAsia="Calibri" w:hAnsi="Calibri"/>
          <w:sz w:val="22"/>
          <w:szCs w:val="22"/>
        </w:rPr>
        <w:t xml:space="preserve">Provide to the Acquirer prior to the audit date:</w:t>
      </w:r>
    </w:p>
    <w:p>
      <w:pPr>
        <w:pStyle w:val="ListParagraph"/>
        <w:numPr>
          <w:ilvl w:val="0"/>
          <w:numId w:val="3"/>
        </w:numPr>
        <w:spacing w:after="80" w:line="276"/>
      </w:pPr>
      <w:r>
        <w:rPr>
          <w:rFonts w:ascii="Calibri" w:cs="Calibri" w:eastAsia="Calibri" w:hAnsi="Calibri"/>
          <w:sz w:val="22"/>
          <w:szCs w:val="22"/>
        </w:rPr>
        <w:t xml:space="preserve">List of items to be audited, including documents, and the list of tasks to be accomplished at the FCA.</w:t>
      </w:r>
    </w:p>
    <w:p>
      <w:pPr>
        <w:pStyle w:val="ListParagraph"/>
        <w:numPr>
          <w:ilvl w:val="0"/>
          <w:numId w:val="3"/>
        </w:numPr>
        <w:spacing w:after="80" w:line="276"/>
      </w:pPr>
      <w:r>
        <w:rPr>
          <w:rFonts w:ascii="Calibri" w:cs="Calibri" w:eastAsia="Calibri" w:hAnsi="Calibri"/>
          <w:sz w:val="22"/>
          <w:szCs w:val="22"/>
        </w:rPr>
        <w:t xml:space="preserve">A traceability matrix for all requirements, cross-referencing test plans, procedures, test programs (including automated test equipment where applicable), and test reports (results of demonstrations, inspections, and analyses per requirement), identifying each known deficiency by deficiency report number. The matrix becomes part of the FCA minutes. (Floor ID F44)</w:t>
      </w:r>
    </w:p>
    <w:p>
      <w:pPr>
        <w:pStyle w:val="Heading3"/>
        <w:spacing w:after="100" w:before="200"/>
      </w:pPr>
      <w:r>
        <w:rPr>
          <w:rFonts w:ascii="Calibri" w:cs="Calibri" w:eastAsia="Calibri" w:hAnsi="Calibri"/>
        </w:rPr>
        <w:t xml:space="preserve">5.3.3 Conduct</w:t>
      </w:r>
    </w:p>
    <w:p>
      <w:pPr>
        <w:spacing w:after="120" w:line="276"/>
      </w:pPr>
      <w:r>
        <w:rPr>
          <w:rFonts w:ascii="Calibri" w:cs="Calibri" w:eastAsia="Calibri" w:hAnsi="Calibri"/>
          <w:sz w:val="22"/>
          <w:szCs w:val="22"/>
        </w:rPr>
        <w:t xml:space="preserve">Open with a design-team briefing per audited item: overview, test results and findings, requirements not met with proposed remedies, ECPs incorporated/tested/proposed, and the overall test effort including problem areas. Then audit systematically:</w:t>
      </w:r>
    </w:p>
    <w:p>
      <w:pPr>
        <w:pStyle w:val="ListParagraph"/>
        <w:numPr>
          <w:ilvl w:val="0"/>
          <w:numId w:val="3"/>
        </w:numPr>
        <w:spacing w:after="80" w:line="276"/>
      </w:pPr>
      <w:r>
        <w:rPr>
          <w:rFonts w:ascii="Calibri" w:cs="Calibri" w:eastAsia="Calibri" w:hAnsi="Calibri"/>
          <w:sz w:val="22"/>
          <w:szCs w:val="22"/>
        </w:rPr>
        <w:t xml:space="preserve">Verify the documentation flow for each requirement (or an agreed sampling): baseline requirement specification → test plan → test procedure → test report (or analysis/inspection/demonstration record). Interface requirements are verified as part of this flow.</w:t>
      </w:r>
    </w:p>
    <w:p>
      <w:pPr>
        <w:pStyle w:val="ListParagraph"/>
        <w:numPr>
          <w:ilvl w:val="0"/>
          <w:numId w:val="3"/>
        </w:numPr>
        <w:spacing w:after="80" w:line="276"/>
      </w:pPr>
      <w:r>
        <w:rPr>
          <w:rFonts w:ascii="Calibri" w:cs="Calibri" w:eastAsia="Calibri" w:hAnsi="Calibri"/>
          <w:sz w:val="22"/>
          <w:szCs w:val="22"/>
        </w:rPr>
        <w:t xml:space="preserve">Requirements sampling: where sampling is agreed, requirements verified against SMS (SM-0001) hazard controls and other safety-critical requirements are included in the sample, not sampled out.</w:t>
      </w:r>
    </w:p>
    <w:p>
      <w:pPr>
        <w:pStyle w:val="ListParagraph"/>
        <w:numPr>
          <w:ilvl w:val="0"/>
          <w:numId w:val="3"/>
        </w:numPr>
        <w:spacing w:after="80" w:line="276"/>
      </w:pPr>
      <w:r>
        <w:rPr>
          <w:rFonts w:ascii="Calibri" w:cs="Calibri" w:eastAsia="Calibri" w:hAnsi="Calibri"/>
          <w:sz w:val="22"/>
          <w:szCs w:val="22"/>
        </w:rPr>
        <w:t xml:space="preserve">Review the complete list of tests accomplished, tests without recorded detail data, tests not yet performed with the plan to accomplish each, and analyses/simulations for requirements not fully verifiable by test.</w:t>
      </w:r>
    </w:p>
    <w:p>
      <w:pPr>
        <w:pStyle w:val="ListParagraph"/>
        <w:numPr>
          <w:ilvl w:val="0"/>
          <w:numId w:val="3"/>
        </w:numPr>
        <w:spacing w:after="80" w:line="276"/>
      </w:pPr>
      <w:r>
        <w:rPr>
          <w:rFonts w:ascii="Calibri" w:cs="Calibri" w:eastAsia="Calibri" w:hAnsi="Calibri"/>
          <w:sz w:val="22"/>
          <w:szCs w:val="22"/>
        </w:rPr>
        <w:t xml:space="preserve">Review all approved ECPs and an account of ECPs incorporated and tested as well as proposed.</w:t>
      </w:r>
    </w:p>
    <w:p>
      <w:pPr>
        <w:pStyle w:val="ListParagraph"/>
        <w:numPr>
          <w:ilvl w:val="0"/>
          <w:numId w:val="3"/>
        </w:numPr>
        <w:spacing w:after="80" w:line="276"/>
      </w:pPr>
      <w:r>
        <w:rPr>
          <w:rFonts w:ascii="Calibri" w:cs="Calibri" w:eastAsia="Calibri" w:hAnsi="Calibri"/>
          <w:sz w:val="22"/>
          <w:szCs w:val="22"/>
        </w:rPr>
        <w:t xml:space="preserve">For CSCIs additionally: review database characteristics, storage allocation, timing and sequencing against requirements; all documents describing the software product (product specification, user manual, VDD) for format and completeness; developmental configuration change records; the listing of all developmental and non-developmental software versions in the library; and findings of internal CM and SQA audits.</w:t>
      </w:r>
    </w:p>
    <w:p>
      <w:pPr>
        <w:pStyle w:val="ListParagraph"/>
        <w:numPr>
          <w:ilvl w:val="0"/>
          <w:numId w:val="3"/>
        </w:numPr>
        <w:spacing w:after="80" w:line="276"/>
      </w:pPr>
      <w:r>
        <w:rPr>
          <w:rFonts w:ascii="Calibri" w:cs="Calibri" w:eastAsia="Calibri" w:hAnsi="Calibri"/>
          <w:sz w:val="22"/>
          <w:szCs w:val="22"/>
        </w:rPr>
        <w:t xml:space="preserve">Examine PDR/CDR minutes to confirm all findings are incorporated and action items closed.</w:t>
      </w:r>
    </w:p>
    <w:p>
      <w:pPr>
        <w:pStyle w:val="ListParagraph"/>
        <w:numPr>
          <w:ilvl w:val="0"/>
          <w:numId w:val="3"/>
        </w:numPr>
        <w:spacing w:after="80" w:line="276"/>
      </w:pPr>
      <w:r>
        <w:rPr>
          <w:rFonts w:ascii="Calibri" w:cs="Calibri" w:eastAsia="Calibri" w:hAnsi="Calibri"/>
          <w:sz w:val="22"/>
          <w:szCs w:val="22"/>
        </w:rPr>
        <w:t xml:space="preserve">Review lower-level audit minutes and open action items.</w:t>
      </w:r>
    </w:p>
    <w:p>
      <w:pPr>
        <w:spacing w:after="120" w:line="276"/>
      </w:pPr>
      <w:r>
        <w:rPr>
          <w:rFonts w:ascii="Calibri" w:cs="Calibri" w:eastAsia="Calibri" w:hAnsi="Calibri"/>
          <w:sz w:val="22"/>
          <w:szCs w:val="22"/>
        </w:rPr>
        <w:t xml:space="preserve">Partial completion may be acknowledged for CIs whose verification is contingent on integrated system testing; document open requirements as action items and close via delta FCA once outstanding testing passes. Delta audit results are added to or supersede the original minutes.</w:t>
      </w:r>
    </w:p>
    <w:p>
      <w:pPr>
        <w:pStyle w:val="Heading3"/>
        <w:spacing w:after="100" w:before="200"/>
      </w:pPr>
      <w:r>
        <w:rPr>
          <w:rFonts w:ascii="Calibri" w:cs="Calibri" w:eastAsia="Calibri" w:hAnsi="Calibri"/>
        </w:rPr>
        <w:t xml:space="preserve">5.3.4 Results</w:t>
      </w:r>
    </w:p>
    <w:p>
      <w:pPr>
        <w:spacing w:after="120" w:line="276"/>
      </w:pPr>
      <w:r>
        <w:rPr>
          <w:rFonts w:ascii="Calibri" w:cs="Calibri" w:eastAsia="Calibri" w:hAnsi="Calibri"/>
          <w:sz w:val="22"/>
          <w:szCs w:val="22"/>
        </w:rPr>
        <w:t xml:space="preserve">Document each non-compliance and provide it to the Acquirer for action. Deliver FCA minutes including the requirements traceability and test matrix. CIs failing quality requirements are analyzed for cause and corrected before re-verification.</w:t>
      </w:r>
    </w:p>
    <w:p>
      <w:pPr>
        <w:pStyle w:val="Heading2"/>
        <w:spacing w:after="120" w:before="260"/>
      </w:pPr>
      <w:r>
        <w:rPr>
          <w:rFonts w:ascii="Calibri" w:cs="Calibri" w:eastAsia="Calibri" w:hAnsi="Calibri"/>
        </w:rPr>
        <w:t xml:space="preserve">5.4 Physical Configuration Audit (PCA)</w:t>
      </w:r>
    </w:p>
    <w:p>
      <w:pPr>
        <w:pStyle w:val="Heading3"/>
        <w:spacing w:after="100" w:before="200"/>
      </w:pPr>
      <w:r>
        <w:rPr>
          <w:rFonts w:ascii="Calibri" w:cs="Calibri" w:eastAsia="Calibri" w:hAnsi="Calibri"/>
        </w:rPr>
        <w:t xml:space="preserve">5.4.1 Objective and Prerequisites</w:t>
      </w:r>
    </w:p>
    <w:p>
      <w:pPr>
        <w:spacing w:after="120" w:line="276"/>
      </w:pPr>
      <w:r>
        <w:rPr>
          <w:rFonts w:ascii="Calibri" w:cs="Calibri" w:eastAsia="Calibri" w:hAnsi="Calibri"/>
          <w:sz w:val="22"/>
          <w:szCs w:val="22"/>
        </w:rPr>
        <w:t xml:space="preserve">The PCA examines the as-built configuration of a validated CI against its design documentation plus approved changes after a successful CDR, verifying the PCD (CAD models, drawings, source code) accurately reflects the validated product, and establishing the final product baseline. The PCA also verifies that any elements redesigned after FCA completion still meet the performance specification, and confirms acceptance testing requirements in the documentation are adequate for production-unit acceptance.</w:t>
      </w:r>
    </w:p>
    <w:p>
      <w:pPr>
        <w:pStyle w:val="ListParagraph"/>
        <w:numPr>
          <w:ilvl w:val="0"/>
          <w:numId w:val="3"/>
        </w:numPr>
        <w:spacing w:after="80" w:line="276"/>
      </w:pPr>
      <w:r>
        <w:rPr>
          <w:rFonts w:ascii="Calibri" w:cs="Calibri" w:eastAsia="Calibri" w:hAnsi="Calibri"/>
          <w:sz w:val="22"/>
          <w:szCs w:val="22"/>
        </w:rPr>
        <w:t xml:space="preserve">Prerequisite: FCA successfully completed or conducted concurrently.</w:t>
      </w:r>
    </w:p>
    <w:p>
      <w:pPr>
        <w:pStyle w:val="ListParagraph"/>
        <w:numPr>
          <w:ilvl w:val="0"/>
          <w:numId w:val="3"/>
        </w:numPr>
        <w:spacing w:after="80" w:line="276"/>
      </w:pPr>
      <w:r>
        <w:rPr>
          <w:rFonts w:ascii="Calibri" w:cs="Calibri" w:eastAsia="Calibri" w:hAnsi="Calibri"/>
          <w:sz w:val="22"/>
          <w:szCs w:val="22"/>
        </w:rPr>
        <w:t xml:space="preserve">The audited unit is an early production-representative unit selected jointly by the Acquirer and the Supplier.</w:t>
      </w:r>
    </w:p>
    <w:p>
      <w:pPr>
        <w:pStyle w:val="Heading3"/>
        <w:spacing w:after="100" w:before="200"/>
      </w:pPr>
      <w:r>
        <w:rPr>
          <w:rFonts w:ascii="Calibri" w:cs="Calibri" w:eastAsia="Calibri" w:hAnsi="Calibri"/>
        </w:rPr>
        <w:t xml:space="preserve">5.4.2 Pre-Audit Submittals and Data</w:t>
      </w:r>
    </w:p>
    <w:p>
      <w:pPr>
        <w:spacing w:after="120" w:line="276"/>
      </w:pPr>
      <w:r>
        <w:rPr>
          <w:rFonts w:ascii="Calibri" w:cs="Calibri" w:eastAsia="Calibri" w:hAnsi="Calibri"/>
          <w:sz w:val="22"/>
          <w:szCs w:val="22"/>
        </w:rPr>
        <w:t xml:space="preserve">Provide item configuration data prior to and at the audit: CI specifications; a list of approved and outstanding changes against the CI; acceptance test procedures and data; engineering drawing index with revision letters; operation and support manuals; approved nomenclature and nameplates; VDDs and Interface Design Documents for software; FCA minutes per CI; QA program findings/status; the PPSL; identification of all changes made during test and required changes not completed; and manufacturing instructions/CAM data for parts identified by the Acquirer. See Appendix B.</w:t>
      </w:r>
    </w:p>
    <w:p>
      <w:pPr>
        <w:pStyle w:val="Heading3"/>
        <w:spacing w:after="100" w:before="200"/>
      </w:pPr>
      <w:r>
        <w:rPr>
          <w:rFonts w:ascii="Calibri" w:cs="Calibri" w:eastAsia="Calibri" w:hAnsi="Calibri"/>
        </w:rPr>
        <w:t xml:space="preserve">5.4.3 Conduct — Hardware</w:t>
      </w:r>
    </w:p>
    <w:p>
      <w:pPr>
        <w:pStyle w:val="ListParagraph"/>
        <w:numPr>
          <w:ilvl w:val="0"/>
          <w:numId w:val="3"/>
        </w:numPr>
        <w:spacing w:after="80" w:line="276"/>
      </w:pPr>
      <w:r>
        <w:rPr>
          <w:rFonts w:ascii="Calibri" w:cs="Calibri" w:eastAsia="Calibri" w:hAnsi="Calibri"/>
          <w:sz w:val="22"/>
          <w:szCs w:val="22"/>
        </w:rPr>
        <w:t xml:space="preserve">Verify item-to-documentation reconciliation: item → drawings → associated lists → parts list; effectivity and next assembly; accuracy of notes and references; referenced released documents.</w:t>
      </w:r>
    </w:p>
    <w:p>
      <w:pPr>
        <w:pStyle w:val="ListParagraph"/>
        <w:numPr>
          <w:ilvl w:val="0"/>
          <w:numId w:val="3"/>
        </w:numPr>
        <w:spacing w:after="80" w:line="276"/>
      </w:pPr>
      <w:r>
        <w:rPr>
          <w:rFonts w:ascii="Calibri" w:cs="Calibri" w:eastAsia="Calibri" w:hAnsi="Calibri"/>
          <w:sz w:val="22"/>
          <w:szCs w:val="22"/>
        </w:rPr>
        <w:t xml:space="preserve">Review a representative sample of drawings/3D model data and associated manufacturing instructions (per the approved audit plan) to confirm manufacturing instructions accurately reflect design details and incorporate authorized changes.</w:t>
      </w:r>
    </w:p>
    <w:p>
      <w:pPr>
        <w:pStyle w:val="ListParagraph"/>
        <w:numPr>
          <w:ilvl w:val="0"/>
          <w:numId w:val="3"/>
        </w:numPr>
        <w:spacing w:after="80" w:line="276"/>
      </w:pPr>
      <w:r>
        <w:rPr>
          <w:rFonts w:ascii="Calibri" w:cs="Calibri" w:eastAsia="Calibri" w:hAnsi="Calibri"/>
          <w:sz w:val="22"/>
          <w:szCs w:val="22"/>
        </w:rPr>
        <w:t xml:space="preserve">Confirm compatibility with the PPSL and examine the CI to ensure proper parts are actually installed. (Floor ID F30)</w:t>
      </w:r>
    </w:p>
    <w:p>
      <w:pPr>
        <w:pStyle w:val="ListParagraph"/>
        <w:numPr>
          <w:ilvl w:val="0"/>
          <w:numId w:val="3"/>
        </w:numPr>
        <w:spacing w:after="80" w:line="276"/>
      </w:pPr>
      <w:r>
        <w:rPr>
          <w:rFonts w:ascii="Calibri" w:cs="Calibri" w:eastAsia="Calibri" w:hAnsi="Calibri"/>
          <w:sz w:val="22"/>
          <w:szCs w:val="22"/>
        </w:rPr>
        <w:t xml:space="preserve">Verify approved changes are incorporated (via CSA reports and selective product data review; the audit validates the reconciliation process, not every change individually). Reconcile and correct any deltas between as-designed and as-built data.</w:t>
      </w:r>
    </w:p>
    <w:p>
      <w:pPr>
        <w:pStyle w:val="ListParagraph"/>
        <w:numPr>
          <w:ilvl w:val="0"/>
          <w:numId w:val="3"/>
        </w:numPr>
        <w:spacing w:after="80" w:line="276"/>
      </w:pPr>
      <w:r>
        <w:rPr>
          <w:rFonts w:ascii="Calibri" w:cs="Calibri" w:eastAsia="Calibri" w:hAnsi="Calibri"/>
          <w:sz w:val="22"/>
          <w:szCs w:val="22"/>
        </w:rPr>
        <w:t xml:space="preserve">Identify differences between the PCA unit and the unit(s) used for FCA; certify or demonstrate these differences do not degrade functional characteristics. (Floor ID F34)</w:t>
      </w:r>
    </w:p>
    <w:p>
      <w:pPr>
        <w:pStyle w:val="ListParagraph"/>
        <w:numPr>
          <w:ilvl w:val="0"/>
          <w:numId w:val="3"/>
        </w:numPr>
        <w:spacing w:after="80" w:line="276"/>
      </w:pPr>
      <w:r>
        <w:rPr>
          <w:rFonts w:ascii="Calibri" w:cs="Calibri" w:eastAsia="Calibri" w:hAnsi="Calibri"/>
          <w:sz w:val="22"/>
          <w:szCs w:val="22"/>
        </w:rPr>
        <w:t xml:space="preserve">Review completed shortage lists and undocumented design changes; confirm no unapproved changes exist in the technical documentation and all approved changes are incorporated in the hardware.</w:t>
      </w:r>
    </w:p>
    <w:p>
      <w:pPr>
        <w:pStyle w:val="Heading3"/>
        <w:spacing w:after="100" w:before="200"/>
      </w:pPr>
      <w:r>
        <w:rPr>
          <w:rFonts w:ascii="Calibri" w:cs="Calibri" w:eastAsia="Calibri" w:hAnsi="Calibri"/>
        </w:rPr>
        <w:t xml:space="preserve">5.4.4 Conduct — Software</w:t>
      </w:r>
    </w:p>
    <w:p>
      <w:pPr>
        <w:pStyle w:val="ListParagraph"/>
        <w:numPr>
          <w:ilvl w:val="0"/>
          <w:numId w:val="3"/>
        </w:numPr>
        <w:spacing w:after="80" w:line="276"/>
      </w:pPr>
      <w:r>
        <w:rPr>
          <w:rFonts w:ascii="Calibri" w:cs="Calibri" w:eastAsia="Calibri" w:hAnsi="Calibri"/>
          <w:sz w:val="22"/>
          <w:szCs w:val="22"/>
        </w:rPr>
        <w:t xml:space="preserve">Examine the as-coded software against its design/deliverable documentation: compare source code listings to released configuration documentation; verify the VDD including compiler, compiler version, and settings.</w:t>
      </w:r>
    </w:p>
    <w:p>
      <w:pPr>
        <w:pStyle w:val="ListParagraph"/>
        <w:numPr>
          <w:ilvl w:val="0"/>
          <w:numId w:val="3"/>
        </w:numPr>
        <w:spacing w:after="80" w:line="276"/>
      </w:pPr>
      <w:r>
        <w:rPr>
          <w:rFonts w:ascii="Calibri" w:cs="Calibri" w:eastAsia="Calibri" w:hAnsi="Calibri"/>
          <w:sz w:val="22"/>
          <w:szCs w:val="22"/>
        </w:rPr>
        <w:t xml:space="preserve">Produce the software build during the PCA, verify it installs on the target device/computer, and verify it against the SVD, witnessed by QA (or the entity designated by the Acquirer), including confirmation that all software updates listed on problem reports for the build are applied.</w:t>
      </w:r>
    </w:p>
    <w:p>
      <w:pPr>
        <w:pStyle w:val="ListParagraph"/>
        <w:numPr>
          <w:ilvl w:val="0"/>
          <w:numId w:val="3"/>
        </w:numPr>
        <w:spacing w:after="80" w:line="276"/>
      </w:pPr>
      <w:r>
        <w:rPr>
          <w:rFonts w:ascii="Calibri" w:cs="Calibri" w:eastAsia="Calibri" w:hAnsi="Calibri"/>
          <w:sz w:val="22"/>
          <w:szCs w:val="22"/>
        </w:rPr>
        <w:t xml:space="preserve">For COTS software: verify correct documentation supporting the versions actually delivered on the media, and adequacy of identification and marking of all deliverable media per contract or best commercial practice.</w:t>
      </w:r>
    </w:p>
    <w:p>
      <w:pPr>
        <w:pStyle w:val="Heading3"/>
        <w:spacing w:after="100" w:before="200"/>
      </w:pPr>
      <w:r>
        <w:rPr>
          <w:rFonts w:ascii="Calibri" w:cs="Calibri" w:eastAsia="Calibri" w:hAnsi="Calibri"/>
        </w:rPr>
        <w:t xml:space="preserve">5.4.5 Results and Product Baseline</w:t>
      </w:r>
    </w:p>
    <w:p>
      <w:pPr>
        <w:spacing w:after="120" w:line="276"/>
      </w:pPr>
      <w:r>
        <w:rPr>
          <w:rFonts w:ascii="Calibri" w:cs="Calibri" w:eastAsia="Calibri" w:hAnsi="Calibri"/>
          <w:sz w:val="22"/>
          <w:szCs w:val="22"/>
        </w:rPr>
        <w:t xml:space="preserve">Document each non-compliance and provide it to the Acquirer. If any inspections, tests, or audits must be re-accomplished, invite the Acquirer or designated representative to witness. When PCAs are incremental, conduct a final system-level PCA to confirm the system PBL is correct. Upon successful PCA completion and product specification approval, the Acquirer establishes the PBL; all subsequent changes are processed by formal engineering change action.</w:t>
      </w:r>
    </w:p>
    <w:p>
      <w:pPr>
        <w:pStyle w:val="Heading2"/>
        <w:spacing w:after="120" w:before="260"/>
      </w:pPr>
      <w:r>
        <w:rPr>
          <w:rFonts w:ascii="Calibri" w:cs="Calibri" w:eastAsia="Calibri" w:hAnsi="Calibri"/>
        </w:rPr>
        <w:t xml:space="preserve">5.5 Findings and Action Item Management</w:t>
      </w:r>
    </w:p>
    <w:p>
      <w:pPr>
        <w:spacing w:after="120" w:line="276"/>
      </w:pPr>
      <w:r>
        <w:rPr>
          <w:rFonts w:ascii="Calibri" w:cs="Calibri" w:eastAsia="Calibri" w:hAnsi="Calibri"/>
          <w:sz w:val="22"/>
          <w:szCs w:val="22"/>
        </w:rPr>
        <w:t xml:space="preserve">Record every discrepancy as an action item (RFA format where contracted) or in the body of the minutes. Each action item defines the issue, agreed closure plan, responsible person, and suspense/closure date. Classify findings:</w:t>
      </w:r>
    </w:p>
    <w:p>
      <w:pPr>
        <w:pStyle w:val="ListParagraph"/>
        <w:numPr>
          <w:ilvl w:val="0"/>
          <w:numId w:val="3"/>
        </w:numPr>
        <w:spacing w:after="80" w:line="276"/>
      </w:pPr>
      <w:r>
        <w:rPr>
          <w:rFonts w:ascii="Calibri" w:cs="Calibri" w:eastAsia="Calibri" w:hAnsi="Calibri"/>
          <w:sz w:val="22"/>
          <w:szCs w:val="22"/>
        </w:rPr>
        <w:t xml:space="preserve">Major: production definition documentation or design data incorrect/incomplete; systematic breakdown of process control; clear non-adherence to workmanship standards; hardware/software not included in the build process; non-adherence to specification/ICD/SOW requirements; FAI data missing or incomplete.</w:t>
      </w:r>
    </w:p>
    <w:p>
      <w:pPr>
        <w:pStyle w:val="ListParagraph"/>
        <w:numPr>
          <w:ilvl w:val="0"/>
          <w:numId w:val="3"/>
        </w:numPr>
        <w:spacing w:after="80" w:line="276"/>
      </w:pPr>
      <w:r>
        <w:rPr>
          <w:rFonts w:ascii="Calibri" w:cs="Calibri" w:eastAsia="Calibri" w:hAnsi="Calibri"/>
          <w:sz w:val="22"/>
          <w:szCs w:val="22"/>
        </w:rPr>
        <w:t xml:space="preserve">Minor: non-systematic (e.g., typographical) errors in production definition documentation, process control records, or workmanship standards documentation.</w:t>
      </w:r>
    </w:p>
    <w:p>
      <w:pPr>
        <w:spacing w:after="120" w:line="276"/>
      </w:pPr>
      <w:r>
        <w:rPr>
          <w:rFonts w:ascii="Calibri" w:cs="Calibri" w:eastAsia="Calibri" w:hAnsi="Calibri"/>
          <w:sz w:val="22"/>
          <w:szCs w:val="22"/>
        </w:rPr>
        <w:t xml:space="preserve">Minutes content includes: identification of the audited item; decisions and proceedings notes; attendees; action items; complete list of documents with revision level at audit; complete list of specification requirements audited; and identification of documentation and physical products examined (name, specification number, product identifiers, serial numbers, drawing/part numbers, CAGE codes).</w:t>
      </w:r>
    </w:p>
    <w:p>
      <w:pPr>
        <w:pStyle w:val="Heading2"/>
        <w:spacing w:after="120" w:before="260"/>
      </w:pPr>
      <w:r>
        <w:rPr>
          <w:rFonts w:ascii="Calibri" w:cs="Calibri" w:eastAsia="Calibri" w:hAnsi="Calibri"/>
        </w:rPr>
        <w:t xml:space="preserve">5.6 Post-Audit Actions and Certification</w:t>
      </w:r>
    </w:p>
    <w:p>
      <w:pPr>
        <w:pStyle w:val="ListParagraph"/>
        <w:numPr>
          <w:ilvl w:val="0"/>
          <w:numId w:val="4"/>
        </w:numPr>
        <w:spacing w:after="80" w:line="276"/>
      </w:pPr>
      <w:r>
        <w:rPr>
          <w:rFonts w:ascii="Calibri" w:cs="Calibri" w:eastAsia="Calibri" w:hAnsi="Calibri"/>
          <w:sz w:val="22"/>
          <w:szCs w:val="22"/>
        </w:rPr>
        <w:t xml:space="preserve">Complete post-audit actions as assigned/directed.</w:t>
      </w:r>
    </w:p>
    <w:p>
      <w:pPr>
        <w:pStyle w:val="ListParagraph"/>
        <w:numPr>
          <w:ilvl w:val="0"/>
          <w:numId w:val="4"/>
        </w:numPr>
        <w:spacing w:after="80" w:line="276"/>
      </w:pPr>
      <w:r>
        <w:rPr>
          <w:rFonts w:ascii="Calibri" w:cs="Calibri" w:eastAsia="Calibri" w:hAnsi="Calibri"/>
          <w:sz w:val="22"/>
          <w:szCs w:val="22"/>
        </w:rPr>
        <w:t xml:space="preserve">Publish and deliver finalized minutes to the Acquirer no later than 60 days from audit completion or per contract (DI-ADMN-81250 where cited).</w:t>
      </w:r>
    </w:p>
    <w:p>
      <w:pPr>
        <w:pStyle w:val="ListParagraph"/>
        <w:numPr>
          <w:ilvl w:val="0"/>
          <w:numId w:val="4"/>
        </w:numPr>
        <w:spacing w:after="80" w:line="276"/>
      </w:pPr>
      <w:r>
        <w:rPr>
          <w:rFonts w:ascii="Calibri" w:cs="Calibri" w:eastAsia="Calibri" w:hAnsi="Calibri"/>
          <w:sz w:val="22"/>
          <w:szCs w:val="22"/>
        </w:rPr>
        <w:t xml:space="preserve">Track all RFAs/action items to closure; deliver corrective action documentation to the Acquirer for review.</w:t>
      </w:r>
    </w:p>
    <w:p>
      <w:pPr>
        <w:pStyle w:val="ListParagraph"/>
        <w:numPr>
          <w:ilvl w:val="0"/>
          <w:numId w:val="4"/>
        </w:numPr>
        <w:spacing w:after="80" w:line="276"/>
      </w:pPr>
      <w:r>
        <w:rPr>
          <w:rFonts w:ascii="Calibri" w:cs="Calibri" w:eastAsia="Calibri" w:hAnsi="Calibri"/>
          <w:sz w:val="22"/>
          <w:szCs w:val="22"/>
        </w:rPr>
        <w:t xml:space="preserve">Prepare the Configuration Audit Summary Report reflecting all action items and discrepancy information from the audit checklist package; issue the detailed final report after Acquirer verification of completed action items (DI-SESS-81022 where cited).</w:t>
      </w:r>
    </w:p>
    <w:p>
      <w:pPr>
        <w:pStyle w:val="ListParagraph"/>
        <w:numPr>
          <w:ilvl w:val="0"/>
          <w:numId w:val="4"/>
        </w:numPr>
        <w:spacing w:after="80" w:line="276"/>
      </w:pPr>
      <w:r>
        <w:rPr>
          <w:rFonts w:ascii="Calibri" w:cs="Calibri" w:eastAsia="Calibri" w:hAnsi="Calibri"/>
          <w:sz w:val="22"/>
          <w:szCs w:val="22"/>
        </w:rPr>
        <w:t xml:space="preserve">Complete audit certification: joint certification signatures (Supplier audit lead and PM, Acquirer representatives), with audit results recorded as Complete/Successful (no open worksheets) or Conditional (resolutions agreed, tasks not yet complete). The Acquirer dispositions each audit as Approval (all RFAs satisfactorily completed), Contingent Approval (pending action item completion), or Disapproval (seriously inadequate).</w:t>
      </w:r>
    </w:p>
    <w:p>
      <w:pPr>
        <w:pStyle w:val="ListParagraph"/>
        <w:numPr>
          <w:ilvl w:val="0"/>
          <w:numId w:val="4"/>
        </w:numPr>
        <w:spacing w:after="80" w:line="276"/>
      </w:pPr>
      <w:r>
        <w:rPr>
          <w:rFonts w:ascii="Calibri" w:cs="Calibri" w:eastAsia="Calibri" w:hAnsi="Calibri"/>
          <w:sz w:val="22"/>
          <w:szCs w:val="22"/>
        </w:rPr>
        <w:t xml:space="preserve">Record scheduled and actual audit dates, accomplishments, and results in the CSA system for each CI audited.</w:t>
      </w:r>
    </w:p>
    <w:p>
      <w:pPr>
        <w:pStyle w:val="Heading1"/>
        <w:spacing w:after="160" w:before="320"/>
      </w:pPr>
      <w:r>
        <w:rPr>
          <w:rFonts w:ascii="Calibri" w:cs="Calibri" w:eastAsia="Calibri" w:hAnsi="Calibri"/>
        </w:rPr>
        <w:t xml:space="preserve">6. Records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Record / Output</w:t>
            </w:r>
          </w:p>
        </w:tc>
        <w:tc>
          <w:tcPr>
            <w:tcW w:type="dxa" w:w="61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Content and Retention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Plan and Agenda</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5.2; Acquirer-approved. Retained per program records schedule.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Data Package Index</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Inventory of artifacts assembled per Appendix A/B with document numbers and revisions at time of audit.</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Minutes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Per 5.5, including the requirements traceability/test matrix (FCA). Delivered within 60 days of completion.</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RFA / Action Item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Each finding with classification, closure plan, responsible party, suspense, and closure evidence.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Configuration Audit Summary Report</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Consolidated action item and discrepancy information; final report after verified closure.</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Certification Forms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Joint FCA/PCA certifications and PM baseline certifications (FBL for FCA; PBL for PCA).</w:t>
            </w:r>
          </w:p>
        </w:tc>
      </w:tr>
      <w:tr>
        <w:tc>
          <w:tcPr>
            <w:tcW w:type="dxa" w:w="32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CSA Records</w:t>
            </w:r>
          </w:p>
        </w:tc>
        <w:tc>
          <w:tcPr>
            <w:tcW w:type="dxa" w:w="61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Scheduled/actual audit dates and results per CI; PBL establishment entries.</w:t>
            </w:r>
          </w:p>
        </w:tc>
      </w:tr>
    </w:tbl>
    <w:p>
      <w:r>
        <w:br w:type="page"/>
      </w:r>
    </w:p>
    <w:p>
      <w:pPr>
        <w:pStyle w:val="Heading1"/>
        <w:spacing w:after="160" w:before="320"/>
      </w:pPr>
      <w:r>
        <w:rPr>
          <w:rFonts w:ascii="Calibri" w:cs="Calibri" w:eastAsia="Calibri" w:hAnsi="Calibri"/>
        </w:rPr>
        <w:t xml:space="preserve">Appendix A — FCA Data and Readiness Checklist</w:t>
      </w:r>
    </w:p>
    <w:p>
      <w:pPr>
        <w:spacing w:after="120" w:line="276"/>
      </w:pPr>
      <w:r>
        <w:rPr>
          <w:rFonts w:ascii="Calibri" w:cs="Calibri" w:eastAsia="Calibri" w:hAnsi="Calibri"/>
          <w:sz w:val="22"/>
          <w:szCs w:val="22"/>
        </w:rPr>
        <w:t xml:space="preserve">CI/CSCI: ____________________  Spec No./Rev: ____________________  Audit date: ____________  Co-chairs: ____________________</w:t>
      </w:r>
    </w:p>
    <w:p>
      <w:pPr>
        <w:spacing w:after="120" w:line="276"/>
        <w:rPr>
          <w:b/>
          <w:bCs/>
        </w:rPr>
      </w:pPr>
      <w:r>
        <w:rPr>
          <w:rFonts w:ascii="Calibri" w:cs="Calibri" w:eastAsia="Calibri" w:hAnsi="Calibri"/>
          <w:b/>
          <w:bCs/>
          <w:sz w:val="22"/>
          <w:szCs w:val="22"/>
        </w:rPr>
        <w:t xml:space="preserve">Entry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FBL and ABL approved by the Acquirer for the CI/system involved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plan and agenda Acquirer-approved; facilities and audit team confirmed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Final draft CI product specification provided to the Acquirer</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Pre-audit submittals delivered: item/task lists, requirements traceability matrix with test cross-references and deficiency report numbers</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Data package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Specifications (requirements, development, performance, interface)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Requirements Traceability Matrix and Verification Cross Reference Matrix</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Test plans, procedures, reports/results; analyses; demonstration reports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Complete lists: tests accomplished (with/without recorded data), tests not yet performed with accomplishment plan, analyses/simulations for non-testable requirements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Variances (RFVs) relative to the FCA unit(s); current listing of all RFVs, SCNs, NORs, ECPs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Total list of changes incorporated and/or approved; account of ECPs incorporated, tested, and proposed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Supplier/sub-supplier SOW and purchase order; minutes of previous sub-system audits; applicable QA records; CSA records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CSCI only: database/storage/timing/sequencing data; software product documents (product spec, user manual, VDD); developmental configuration change records; software library version listing; internal CM/SQA audit findings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PDR/CDR minutes with action item status</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Exit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Each requirement (or agreed sample, safety-critical requirements included) reconciled: specification → test plan → procedure → report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discrepancies documented as action items with closure plans, owners, suspenses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Minutes complete, including the traceability/test matrix; management out-brief conducted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Open verification contingent on system-level test documented; delta FCA planned where required</w:t>
            </w:r>
          </w:p>
        </w:tc>
      </w:tr>
    </w:tbl>
    <w:p>
      <w:r>
        <w:br w:type="page"/>
      </w:r>
    </w:p>
    <w:p>
      <w:pPr>
        <w:pStyle w:val="Heading1"/>
        <w:spacing w:after="160" w:before="320"/>
      </w:pPr>
      <w:r>
        <w:rPr>
          <w:rFonts w:ascii="Calibri" w:cs="Calibri" w:eastAsia="Calibri" w:hAnsi="Calibri"/>
        </w:rPr>
        <w:t xml:space="preserve">Appendix B — PCA Data and Readiness Checklist</w:t>
      </w:r>
    </w:p>
    <w:p>
      <w:pPr>
        <w:spacing w:after="120" w:line="276"/>
      </w:pPr>
      <w:r>
        <w:rPr>
          <w:rFonts w:ascii="Calibri" w:cs="Calibri" w:eastAsia="Calibri" w:hAnsi="Calibri"/>
          <w:sz w:val="22"/>
          <w:szCs w:val="22"/>
        </w:rPr>
        <w:t xml:space="preserve">CI/CSCI: ____________________  Part No./Rev: ____________________  Serial No.: ____________  Audit date: ____________</w:t>
      </w:r>
    </w:p>
    <w:p>
      <w:pPr>
        <w:spacing w:after="120" w:line="276"/>
        <w:rPr>
          <w:b/>
          <w:bCs/>
        </w:rPr>
      </w:pPr>
      <w:r>
        <w:rPr>
          <w:rFonts w:ascii="Calibri" w:cs="Calibri" w:eastAsia="Calibri" w:hAnsi="Calibri"/>
          <w:b/>
          <w:bCs/>
          <w:sz w:val="22"/>
          <w:szCs w:val="22"/>
        </w:rPr>
        <w:t xml:space="preserve">Entry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FCA successfully completed (or concurrent); FCA minutes available per CI</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Audit unit jointly selected; item(s) and detail parts isolated; specific serial numbers identified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Unencumbered access to inspection, fabrication, production, assembly, and test facilities; tools, inspection equipment, and test software available</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Final draft CI detail (product) specification available</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Data package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Drawings/3D model data, parts lists, associated lists; engineering drawing index with revisions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Work instructions / installation procedures / manufacturing instruction sheets / CAM data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Production acceptance test procedures and associated test data</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Product specifications; operation and support manuals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List of approved and outstanding changes; identification of changes made during test and required changes not completed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Variances relative to the PCA unit(s); shortage lists; undocumented design changes review</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PPSL; approved nomenclature and nameplates; QA records and program findings; CSA records; prior sub-system audit minutes</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Software only: source code; software description document; VDD with compiler, version, and settings; SVD; Interface Design Document; deliverable media marking</w:t>
            </w:r>
          </w:p>
        </w:tc>
      </w:tr>
    </w:tbl>
    <w:p>
      <w:pPr>
        <w:spacing w:after="120" w:line="276"/>
      </w:pPr>
      <w:r>
        <w:rPr>
          <w:rFonts w:ascii="Calibri" w:cs="Calibri" w:eastAsia="Calibri" w:hAnsi="Calibri"/>
          <w:sz w:val="22"/>
          <w:szCs w:val="22"/>
        </w:rPr>
        <w:t xml:space="preserve"/>
      </w:r>
    </w:p>
    <w:p>
      <w:pPr>
        <w:spacing w:after="120" w:line="276"/>
        <w:rPr>
          <w:b/>
          <w:bCs/>
        </w:rPr>
      </w:pPr>
      <w:r>
        <w:rPr>
          <w:rFonts w:ascii="Calibri" w:cs="Calibri" w:eastAsia="Calibri" w:hAnsi="Calibri"/>
          <w:b/>
          <w:bCs/>
          <w:sz w:val="22"/>
          <w:szCs w:val="22"/>
        </w:rPr>
        <w:t xml:space="preserve">Exit criteria</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00"/>
        <w:gridCol w:w="8260"/>
      </w:tblGrid>
      <w:tr>
        <w:trPr>
          <w:tblHeader/>
        </w:trPr>
        <w:tc>
          <w:tcPr>
            <w:tcW w:type="dxa" w:w="90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w:t>
            </w:r>
          </w:p>
        </w:tc>
        <w:tc>
          <w:tcPr>
            <w:tcW w:type="dxa" w:w="8260"/>
            <w:shd w:fill="1F3864"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Hardware reconciliation complete: item → drawings → associated lists → parts list; effectivity/next assembly; notes and references valid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Representative drawing/manufacturing-instruction sample reviewed per approved audit plan; authorized changes reflected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Parts installed match the PPSL; no unapproved changes in documentation; approved changes incorporated in product</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Software build produced, installed, and verified against the SVD, witnessed by QA; problem-report updates confirmed applied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Differences between the PCA unit and FCA unit(s) identified and certified as non-degrading</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All discrepancies documented as action items; minutes complete; out-brief conducted</w:t>
            </w:r>
          </w:p>
        </w:tc>
      </w:tr>
      <w:tr>
        <w:tc>
          <w:tcPr>
            <w:tcW w:type="dxa" w:w="90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
            </w:r>
          </w:p>
        </w:tc>
        <w:tc>
          <w:tcPr>
            <w:tcW w:type="dxa" w:w="8260"/>
            <w:tcMar>
              <w:top w:type="dxa" w:w="60"/>
              <w:left w:type="dxa" w:w="100"/>
              <w:bottom w:type="dxa" w:w="60"/>
              <w:right w:type="dxa" w:w="100"/>
            </w:tcMar>
          </w:tcPr>
          <w:p>
            <w:pPr>
              <w:spacing w:after="0" w:line="252"/>
            </w:pPr>
            <w:r>
              <w:rPr>
                <w:rFonts w:ascii="Calibri" w:cs="Calibri" w:eastAsia="Calibri" w:hAnsi="Calibri"/>
                <w:b w:val="false"/>
                <w:bCs w:val="false"/>
                <w:sz w:val="20"/>
                <w:szCs w:val="20"/>
              </w:rPr>
              <w:t xml:space="preserve">Certification package prepared; PBL establishment recorded in CSA upon Acquirer approval</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Configuration Audit Process (FCA/PCA) — [XXX-CM-PROC-002] — Page </w:t>
    </w: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60"/>
    </w:pPr>
    <w:rPr>
      <w:rFonts w:ascii="Calibri" w:cs="Calibri" w:eastAsia="Calibri" w:hAnsi="Calibri"/>
      <w:b/>
      <w:bCs/>
      <w:color w:val="1F3864"/>
      <w:sz w:val="26"/>
      <w:szCs w:val="26"/>
    </w:rPr>
  </w:style>
  <w:style w:type="paragraph" w:styleId="Heading3">
    <w:name w:val="Heading 3"/>
    <w:basedOn w:val="Normal"/>
    <w:next w:val="Normal"/>
    <w:qFormat/>
    <w:pPr>
      <w:spacing w:after="100" w:before="200"/>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2026-07-12T01:19:39.461Z</dcterms:created>
  <dcterms:modified xsi:type="dcterms:W3CDTF">2026-07-12T01:19:39.461Z</dcterms:modified>
</cp:coreProperties>
</file>

<file path=docProps/custom.xml><?xml version="1.0" encoding="utf-8"?>
<Properties xmlns="http://schemas.openxmlformats.org/officeDocument/2006/custom-properties" xmlns:vt="http://schemas.openxmlformats.org/officeDocument/2006/docPropsVTypes"/>
</file>