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CONFIGURATION MANAGEMENT PROCESS</w:t>
      </w:r>
    </w:p>
    <w:p>
      <w:pPr>
        <w:pStyle w:val="BodyText"/>
      </w:pPr>
      <w:r>
        <w:rPr>
          <w:bCs/>
          <w:b/>
        </w:rPr>
        <w:t xml:space="preserve">Configuration Item (CI) Identification Process</w:t>
      </w:r>
    </w:p>
    <w:p>
      <w:pPr>
        <w:pStyle w:val="BodyText"/>
      </w:pPr>
      <w:r>
        <w:rPr>
          <w:iCs/>
          <w:i/>
        </w:rPr>
        <w:t xml:space="preserve">In Alignment with EIA-649-1A and GEIA-HB-649A</w:t>
      </w:r>
    </w:p>
    <w:p>
      <w:pPr>
        <w:pStyle w:val="BodyText"/>
      </w:pPr>
      <w:r>
        <w:t xml:space="preserve">Document No.: [assigned]</w:t>
      </w:r>
    </w:p>
    <w:p>
      <w:pPr>
        <w:pStyle w:val="BodyText"/>
      </w:pPr>
      <w:r>
        <w:t xml:space="preserve">Revision: [Initial] Date: [Date]</w:t>
      </w:r>
    </w:p>
    <w:p>
      <w:pPr>
        <w:pStyle w:val="BodyText"/>
      </w:pPr>
      <w:r>
        <w:t xml:space="preserve">Prepared by: Configuration Management Approved by: [Approver]</w:t>
      </w:r>
    </w:p>
    <w:bookmarkStart w:id="20" w:name="table-of-contents"/>
    <w:p>
      <w:pPr>
        <w:pStyle w:val="Heading1"/>
      </w:pPr>
      <w:r>
        <w:t xml:space="preserve">Table of Contents</w:t>
      </w:r>
    </w:p>
    <w:p>
      <w:r>
        <w:fldChar w:fldCharType="begin"/>
        <w:instrText xml:space="preserve"> TOC \o "1-3" \h \z \u </w:instrText>
        <w:fldChar w:fldCharType="separate"/>
        <w:t>Right-click and choose Update Field to build the table of contents.</w:t>
        <w:fldChar w:fldCharType="end"/>
      </w:r>
    </w:p>
    <w:bookmarkEnd w:id="20"/>
    <w:bookmarkStart w:id="24" w:name="purpose-scope-and-applicability"/>
    <w:p>
      <w:pPr>
        <w:pStyle w:val="Heading1"/>
      </w:pPr>
      <w:r>
        <w:t xml:space="preserve">1. Purpose, Scope, and Applicability</w:t>
      </w:r>
    </w:p>
    <w:bookmarkStart w:id="21" w:name="purpose"/>
    <w:p>
      <w:pPr>
        <w:pStyle w:val="Heading2"/>
      </w:pPr>
      <w:r>
        <w:t xml:space="preserve">1.1 Purpose</w:t>
      </w:r>
    </w:p>
    <w:p>
      <w:pPr>
        <w:pStyle w:val="FirstParagraph"/>
      </w:pPr>
      <w:r>
        <w:t xml:space="preserve">This document instructs the Configuration Management (CM) team on how to perform the selection and identification of Configuration Items (CIs). It aligns with EIA-649-1A, Configuration Management Requirements for Defense Contracts, and GEIA-HB-649A, Configuration Management Standard Implementation Guide.</w:t>
      </w:r>
    </w:p>
    <w:bookmarkEnd w:id="21"/>
    <w:bookmarkStart w:id="22" w:name="scope"/>
    <w:p>
      <w:pPr>
        <w:pStyle w:val="Heading2"/>
      </w:pPr>
      <w:r>
        <w:t xml:space="preserve">1.2 Scope</w:t>
      </w:r>
    </w:p>
    <w:p>
      <w:pPr>
        <w:pStyle w:val="FirstParagraph"/>
      </w:pPr>
      <w:r>
        <w:t xml:space="preserve">This process covers the full configuration identification function: candidate CI identification, application of CI selection criteria, establishment of the CI structure and hierarchy, interface identification, Acquirer review and concurrence, assignment of identifiers, determination of configuration documentation, establishment of configuration baselines, and ongoing maintenance of the configuration identification.</w:t>
      </w:r>
    </w:p>
    <w:p>
      <w:pPr>
        <w:pStyle w:val="BodyText"/>
      </w:pPr>
      <w:r>
        <w:t xml:space="preserve">It applies to hardware, software, firmware, and associated configuration documentation.</w:t>
      </w:r>
    </w:p>
    <w:bookmarkEnd w:id="22"/>
    <w:bookmarkStart w:id="23" w:name="applicability"/>
    <w:p>
      <w:pPr>
        <w:pStyle w:val="Heading2"/>
      </w:pPr>
      <w:r>
        <w:t xml:space="preserve">1.3 Applicability</w:t>
      </w:r>
    </w:p>
    <w:p>
      <w:pPr>
        <w:pStyle w:val="FirstParagraph"/>
      </w:pPr>
      <w:r>
        <w:t xml:space="preserve">This process applies to all programs where the company acts as a prime contractor (Supplier) to a Department of Defense (DoD) Acquirer. Where a contract imposes requirements that differ from this process, the contract governs; deviations are documented in the program Configuration Management Plan (CMP).</w:t>
      </w:r>
    </w:p>
    <w:p>
      <w:pPr>
        <w:pStyle w:val="BodyText"/>
      </w:pPr>
      <w:r>
        <w:t xml:space="preserve">This process is tool-agnostic. It defines what must be accomplished; program CMPs define the specific tools (PLM, MBSE, CSA systems) used to accomplish it.</w:t>
      </w:r>
    </w:p>
    <w:bookmarkEnd w:id="23"/>
    <w:bookmarkEnd w:id="24"/>
    <w:bookmarkStart w:id="27" w:name="references"/>
    <w:p>
      <w:pPr>
        <w:pStyle w:val="Heading1"/>
      </w:pPr>
      <w:r>
        <w:t xml:space="preserve">2. References</w:t>
      </w:r>
    </w:p>
    <w:bookmarkStart w:id="25" w:name="governing-documents"/>
    <w:p>
      <w:pPr>
        <w:pStyle w:val="Heading2"/>
      </w:pPr>
      <w:r>
        <w:t xml:space="preserve">2.1 Governing Documents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Document</w:t>
            </w:r>
          </w:p>
        </w:tc>
        <w:tc>
          <w:tcPr/>
          <w:p>
            <w:pPr>
              <w:pStyle w:val="Compact"/>
              <w:jc w:val="left"/>
            </w:pPr>
            <w:r>
              <w:rPr>
                <w:bCs/>
                <w:b/>
              </w:rPr>
              <w:t xml:space="preserve">Title</w:t>
            </w:r>
          </w:p>
        </w:tc>
      </w:tr>
      <w:tr>
        <w:tc>
          <w:tcPr/>
          <w:p>
            <w:pPr>
              <w:pStyle w:val="Compact"/>
              <w:jc w:val="left"/>
            </w:pPr>
            <w:r>
              <w:t xml:space="preserve">EIA-649-1A</w:t>
            </w:r>
          </w:p>
        </w:tc>
        <w:tc>
          <w:tcPr/>
          <w:p>
            <w:pPr>
              <w:pStyle w:val="Compact"/>
              <w:jc w:val="left"/>
            </w:pPr>
            <w:r>
              <w:t xml:space="preserve">Configuration Management Requirements for Defense Contracts</w:t>
            </w:r>
          </w:p>
        </w:tc>
      </w:tr>
      <w:tr>
        <w:tc>
          <w:tcPr/>
          <w:p>
            <w:pPr>
              <w:pStyle w:val="Compact"/>
              <w:jc w:val="left"/>
            </w:pPr>
            <w:r>
              <w:t xml:space="preserve">GEIA-HB-649A</w:t>
            </w:r>
          </w:p>
        </w:tc>
        <w:tc>
          <w:tcPr/>
          <w:p>
            <w:pPr>
              <w:pStyle w:val="Compact"/>
              <w:jc w:val="left"/>
            </w:pPr>
            <w:r>
              <w:t xml:space="preserve">Configuration Management Standard Implementation Guide</w:t>
            </w:r>
          </w:p>
        </w:tc>
      </w:tr>
      <w:tr>
        <w:tc>
          <w:tcPr/>
          <w:p>
            <w:pPr>
              <w:pStyle w:val="Compact"/>
              <w:jc w:val="left"/>
            </w:pPr>
            <w:r>
              <w:t xml:space="preserve">ANSI/EIA-649</w:t>
            </w:r>
          </w:p>
        </w:tc>
        <w:tc>
          <w:tcPr/>
          <w:p>
            <w:pPr>
              <w:pStyle w:val="Compact"/>
              <w:jc w:val="left"/>
            </w:pPr>
            <w:r>
              <w:t xml:space="preserve">National Consensus Standard for Configuration Management (parent principles standard)</w:t>
            </w:r>
          </w:p>
        </w:tc>
      </w:tr>
    </w:tbl>
    <w:bookmarkEnd w:id="25"/>
    <w:bookmarkStart w:id="26" w:name="related-documents"/>
    <w:p>
      <w:pPr>
        <w:pStyle w:val="Heading2"/>
      </w:pPr>
      <w:r>
        <w:t xml:space="preserve">2.2 Related Documents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Document</w:t>
            </w:r>
          </w:p>
        </w:tc>
        <w:tc>
          <w:tcPr/>
          <w:p>
            <w:pPr>
              <w:pStyle w:val="Compact"/>
              <w:jc w:val="left"/>
            </w:pPr>
            <w:r>
              <w:rPr>
                <w:bCs/>
                <w:b/>
              </w:rPr>
              <w:t xml:space="preserve">Title / Relevance</w:t>
            </w:r>
          </w:p>
        </w:tc>
      </w:tr>
      <w:tr>
        <w:tc>
          <w:tcPr/>
          <w:p>
            <w:pPr>
              <w:pStyle w:val="Compact"/>
              <w:jc w:val="left"/>
            </w:pPr>
            <w:r>
              <w:t xml:space="preserve">SM-0001</w:t>
            </w:r>
          </w:p>
        </w:tc>
        <w:tc>
          <w:tcPr/>
          <w:p>
            <w:pPr>
              <w:pStyle w:val="Compact"/>
              <w:jc w:val="left"/>
            </w:pPr>
            <w:r>
              <w:t xml:space="preserve">Safety Management System (SMS) Standard. Hazard analyses and safety-critical item identifications produced under the SMS are inputs to CI candidate identification and to the selection criteria screen.</w:t>
            </w:r>
          </w:p>
        </w:tc>
      </w:tr>
      <w:tr>
        <w:tc>
          <w:tcPr/>
          <w:p>
            <w:pPr>
              <w:pStyle w:val="Compact"/>
              <w:jc w:val="left"/>
            </w:pPr>
            <w:r>
              <w:t xml:space="preserve">Register of Safety-Mandatory CM Requirements</w:t>
            </w:r>
          </w:p>
        </w:tc>
        <w:tc>
          <w:tcPr/>
          <w:p>
            <w:pPr>
              <w:pStyle w:val="Compact"/>
              <w:jc w:val="left"/>
            </w:pPr>
            <w:r>
              <w:t xml:space="preserve">The EIA-649-1A requirements obligated through the safety management system on all safety-significant product lines regardless of contract flow-down. Requirements from that register performed by this process: identify as a CI any item whose failure could cause serious injury, loss of life, or loss of primary system capability; identify internal and external interface requirements; incorporate interface information into the configuration documentation; maintain configuration control of baselined interface requirements; and provide a representative to the Acquirer’s interface control working group where one exists.</w:t>
            </w:r>
          </w:p>
        </w:tc>
      </w:tr>
      <w:tr>
        <w:tc>
          <w:tcPr/>
          <w:p>
            <w:pPr>
              <w:pStyle w:val="Compact"/>
              <w:jc w:val="left"/>
            </w:pPr>
            <w:r>
              <w:t xml:space="preserve">Safety-Mandatory Requirement Operating Model</w:t>
            </w:r>
          </w:p>
        </w:tc>
        <w:tc>
          <w:tcPr/>
          <w:p>
            <w:pPr>
              <w:pStyle w:val="Compact"/>
              <w:jc w:val="left"/>
            </w:pPr>
            <w:r>
              <w:t xml:space="preserve">How safety-mandatory requirements are dispositioned. A requirement is performed, replaced with an independently validated equivalent control, or formally risk-accepted. The route is the safety disposition gate defined in the CM planning and management process.</w:t>
            </w:r>
          </w:p>
        </w:tc>
      </w:tr>
      <w:tr>
        <w:tc>
          <w:tcPr/>
          <w:p>
            <w:pPr>
              <w:pStyle w:val="Compact"/>
              <w:jc w:val="left"/>
            </w:pPr>
            <w:r>
              <w:t xml:space="preserve">[assigned]</w:t>
            </w:r>
          </w:p>
        </w:tc>
        <w:tc>
          <w:tcPr/>
          <w:p>
            <w:pPr>
              <w:pStyle w:val="Compact"/>
              <w:jc w:val="left"/>
            </w:pPr>
            <w:r>
              <w:t xml:space="preserve">Configuration Audit Process (FCA and PCA). Companion process. Audits the CIs and baselines identified under this process, and runs the audit designation assessment.</w:t>
            </w:r>
          </w:p>
        </w:tc>
      </w:tr>
      <w:tr>
        <w:tc>
          <w:tcPr/>
          <w:p>
            <w:pPr>
              <w:pStyle w:val="Compact"/>
              <w:jc w:val="left"/>
            </w:pPr>
            <w:r>
              <w:t xml:space="preserve">[assigned]</w:t>
            </w:r>
          </w:p>
        </w:tc>
        <w:tc>
          <w:tcPr/>
          <w:p>
            <w:pPr>
              <w:pStyle w:val="Compact"/>
              <w:jc w:val="left"/>
            </w:pPr>
            <w:r>
              <w:t xml:space="preserve">Sub-Supplier CM Requirements Flowdown and Effectiveness Process. Companion process. Single normative source for the supplier work types and their audit roles.</w:t>
            </w:r>
          </w:p>
        </w:tc>
      </w:tr>
      <w:tr>
        <w:tc>
          <w:tcPr/>
          <w:p>
            <w:pPr>
              <w:pStyle w:val="Compact"/>
              <w:jc w:val="left"/>
            </w:pPr>
            <w:r>
              <w:t xml:space="preserve">MIL-STD-130</w:t>
            </w:r>
          </w:p>
        </w:tc>
        <w:tc>
          <w:tcPr/>
          <w:p>
            <w:pPr>
              <w:pStyle w:val="Compact"/>
              <w:jc w:val="left"/>
            </w:pPr>
            <w:r>
              <w:t xml:space="preserve">Identification Marking of U.S. Military Property (Item Unique Identification, IUID)</w:t>
            </w:r>
          </w:p>
        </w:tc>
      </w:tr>
      <w:tr>
        <w:tc>
          <w:tcPr/>
          <w:p>
            <w:pPr>
              <w:pStyle w:val="Compact"/>
              <w:jc w:val="left"/>
            </w:pPr>
            <w:r>
              <w:t xml:space="preserve">DoDI 8320.04, November 29, 2024</w:t>
            </w:r>
          </w:p>
        </w:tc>
        <w:tc>
          <w:tcPr/>
          <w:p>
            <w:pPr>
              <w:pStyle w:val="Compact"/>
              <w:jc w:val="left"/>
            </w:pPr>
            <w:r>
              <w:t xml:space="preserve">DoD Serially Managed Items of Tangible Personal Property and Item Unique Identification 2.0 Standards. Paragraph 3.2.b(2) identifies critical safety items as DoD serially managed, which is what brings item unique identification to them. Reissues and cancels the 2015 standards instruction.</w:t>
            </w:r>
          </w:p>
        </w:tc>
      </w:tr>
      <w:tr>
        <w:tc>
          <w:tcPr/>
          <w:p>
            <w:pPr>
              <w:pStyle w:val="Compact"/>
              <w:jc w:val="left"/>
            </w:pPr>
            <w:r>
              <w:t xml:space="preserve">DFARS 211.274-2 and 252.211-7003</w:t>
            </w:r>
          </w:p>
        </w:tc>
        <w:tc>
          <w:tcPr/>
          <w:p>
            <w:pPr>
              <w:pStyle w:val="Compact"/>
              <w:jc w:val="left"/>
            </w:pPr>
            <w:r>
              <w:t xml:space="preserve">Policy for item unique identification, and the Item Unique Identification and Valuation clause. The contractor obligation arrives through the clause in the contract.</w:t>
            </w:r>
          </w:p>
        </w:tc>
      </w:tr>
      <w:tr>
        <w:tc>
          <w:tcPr/>
          <w:p>
            <w:pPr>
              <w:pStyle w:val="Compact"/>
              <w:jc w:val="left"/>
            </w:pPr>
            <w:r>
              <w:t xml:space="preserve">DFARS 209.270</w:t>
            </w:r>
          </w:p>
        </w:tc>
        <w:tc>
          <w:tcPr/>
          <w:p>
            <w:pPr>
              <w:pStyle w:val="Compact"/>
              <w:jc w:val="left"/>
            </w:pPr>
            <w:r>
              <w:t xml:space="preserve">Aviation and ship critical safety items. Establishes the designation, source approval, and qualification requirements.</w:t>
            </w:r>
          </w:p>
        </w:tc>
      </w:tr>
      <w:tr>
        <w:tc>
          <w:tcPr/>
          <w:p>
            <w:pPr>
              <w:pStyle w:val="Compact"/>
              <w:jc w:val="left"/>
            </w:pPr>
            <w:r>
              <w:t xml:space="preserve">MIL-STD-882E</w:t>
            </w:r>
          </w:p>
        </w:tc>
        <w:tc>
          <w:tcPr/>
          <w:p>
            <w:pPr>
              <w:pStyle w:val="Compact"/>
              <w:jc w:val="left"/>
            </w:pPr>
            <w:r>
              <w:t xml:space="preserve">Department of Defense Standard Practice, System Safety. Defines the safety-critical item and safety-critical function terms carried in the definitions section. Its safety-critical item term is independent of the critical safety item term in the critical safety item statutes.</w:t>
            </w:r>
          </w:p>
        </w:tc>
      </w:tr>
      <w:tr>
        <w:tc>
          <w:tcPr/>
          <w:p>
            <w:pPr>
              <w:pStyle w:val="Compact"/>
              <w:jc w:val="left"/>
            </w:pPr>
            <w:r>
              <w:t xml:space="preserve">DoDM 4140.01 Volume 11</w:t>
            </w:r>
          </w:p>
        </w:tc>
        <w:tc>
          <w:tcPr/>
          <w:p>
            <w:pPr>
              <w:pStyle w:val="Compact"/>
              <w:jc w:val="left"/>
            </w:pPr>
            <w:r>
              <w:t xml:space="preserve">DoD Supply Chain Materiel Management Procedures: Inventory Accountability and Special Management and Handling. Carries the DoD aviation critical safety item procedures.</w:t>
            </w:r>
          </w:p>
        </w:tc>
      </w:tr>
      <w:tr>
        <w:tc>
          <w:tcPr/>
          <w:p>
            <w:pPr>
              <w:pStyle w:val="Compact"/>
              <w:jc w:val="left"/>
            </w:pPr>
            <w:r>
              <w:t xml:space="preserve">MIL-STD-1530D w/Change 1</w:t>
            </w:r>
          </w:p>
        </w:tc>
        <w:tc>
          <w:tcPr/>
          <w:p>
            <w:pPr>
              <w:pStyle w:val="Compact"/>
              <w:jc w:val="left"/>
            </w:pPr>
            <w:r>
              <w:t xml:space="preserve">Aircraft Structural Integrity Program (ASIP). Source of the fracture critical part and fracture critical traceable part categories in the criticality designations appendix.</w:t>
            </w:r>
          </w:p>
        </w:tc>
      </w:tr>
      <w:tr>
        <w:tc>
          <w:tcPr/>
          <w:p>
            <w:pPr>
              <w:pStyle w:val="Compact"/>
              <w:jc w:val="left"/>
            </w:pPr>
            <w:r>
              <w:t xml:space="preserve">MIL-HDBK-1783B w/Change 2</w:t>
            </w:r>
          </w:p>
        </w:tc>
        <w:tc>
          <w:tcPr/>
          <w:p>
            <w:pPr>
              <w:pStyle w:val="Compact"/>
              <w:jc w:val="left"/>
            </w:pPr>
            <w:r>
              <w:t xml:space="preserve">Engine Structural Integrity Program (ENSIP). Guidance only, and it cannot be cited as a requirement. It supersedes the cancelled engine structural integrity standard, which is why the fracture critical component designation usually rests on contract language.</w:t>
            </w:r>
          </w:p>
        </w:tc>
      </w:tr>
      <w:tr>
        <w:tc>
          <w:tcPr/>
          <w:p>
            <w:pPr>
              <w:pStyle w:val="Compact"/>
              <w:jc w:val="left"/>
            </w:pPr>
            <w:r>
              <w:t xml:space="preserve">AS9100D</w:t>
            </w:r>
          </w:p>
        </w:tc>
        <w:tc>
          <w:tcPr/>
          <w:p>
            <w:pPr>
              <w:pStyle w:val="Compact"/>
              <w:jc w:val="left"/>
            </w:pPr>
            <w:r>
              <w:t xml:space="preserve">Quality Management Systems, Requirements for Aviation, Space and Defense Organizations. Identification and traceability requirements. Quality system traceability reaches the next higher assembly; the cascade to the end item in the identifier assignment section is company direction rather than a requirement of this standard.</w:t>
            </w:r>
          </w:p>
        </w:tc>
      </w:tr>
      <w:tr>
        <w:tc>
          <w:tcPr/>
          <w:p>
            <w:pPr>
              <w:pStyle w:val="Compact"/>
              <w:jc w:val="left"/>
            </w:pPr>
            <w:r>
              <w:t xml:space="preserve">14 CFR 45.15(c)</w:t>
            </w:r>
          </w:p>
        </w:tc>
        <w:tc>
          <w:tcPr/>
          <w:p>
            <w:pPr>
              <w:pStyle w:val="Compact"/>
              <w:jc w:val="left"/>
            </w:pPr>
            <w:r>
              <w:t xml:space="preserve">Marking of critical parts. Requires a unique serial number, or equivalent, on a part carrying a replacement time, inspection interval, or related procedure in the airworthiness limitations section. The practical trigger for most civil serialization.</w:t>
            </w:r>
          </w:p>
        </w:tc>
      </w:tr>
      <w:tr>
        <w:tc>
          <w:tcPr/>
          <w:p>
            <w:pPr>
              <w:pStyle w:val="Compact"/>
              <w:jc w:val="left"/>
            </w:pPr>
            <w:r>
              <w:t xml:space="preserve">14 CFR 43.10</w:t>
            </w:r>
          </w:p>
        </w:tc>
        <w:tc>
          <w:tcPr/>
          <w:p>
            <w:pPr>
              <w:pStyle w:val="Compact"/>
              <w:jc w:val="left"/>
            </w:pPr>
            <w:r>
              <w:t xml:space="preserve">Disposition of life-limited aircraft parts. Defines the life-limited part and its life status.</w:t>
            </w:r>
          </w:p>
        </w:tc>
      </w:tr>
      <w:tr>
        <w:tc>
          <w:tcPr/>
          <w:p>
            <w:pPr>
              <w:pStyle w:val="Compact"/>
              <w:jc w:val="left"/>
            </w:pPr>
            <w:r>
              <w:t xml:space="preserve">14 CFR 25.571</w:t>
            </w:r>
          </w:p>
        </w:tc>
        <w:tc>
          <w:tcPr/>
          <w:p>
            <w:pPr>
              <w:pStyle w:val="Compact"/>
              <w:jc w:val="left"/>
            </w:pPr>
            <w:r>
              <w:t xml:space="preserve">Damage tolerance and fatigue evaluation of structure. Source of the two principal structural element evaluation paths.</w:t>
            </w:r>
          </w:p>
        </w:tc>
      </w:tr>
      <w:tr>
        <w:tc>
          <w:tcPr/>
          <w:p>
            <w:pPr>
              <w:pStyle w:val="Compact"/>
              <w:jc w:val="left"/>
            </w:pPr>
            <w:r>
              <w:t xml:space="preserve">14 CFR 27.602 and 29.602</w:t>
            </w:r>
          </w:p>
        </w:tc>
        <w:tc>
          <w:tcPr/>
          <w:p>
            <w:pPr>
              <w:pStyle w:val="Compact"/>
              <w:jc w:val="left"/>
            </w:pPr>
            <w:r>
              <w:t xml:space="preserve">Rotorcraft critical parts. Defines the part by the critical characteristics that must be controlled.</w:t>
            </w:r>
          </w:p>
        </w:tc>
      </w:tr>
      <w:tr>
        <w:tc>
          <w:tcPr/>
          <w:p>
            <w:pPr>
              <w:pStyle w:val="Compact"/>
              <w:jc w:val="left"/>
            </w:pPr>
            <w:r>
              <w:t xml:space="preserve">14 CFR 25.613 and AC 25.613-1</w:t>
            </w:r>
          </w:p>
        </w:tc>
        <w:tc>
          <w:tcPr/>
          <w:p>
            <w:pPr>
              <w:pStyle w:val="Compact"/>
              <w:jc w:val="left"/>
            </w:pPr>
            <w:r>
              <w:t xml:space="preserve">Material strength properties and material design values. Basis for the premium selection material designation, where a specimen of each individual item is tested before use, and for the alternative approved material design values recording driver. The two are different obligations under the same rule.</w:t>
            </w:r>
          </w:p>
        </w:tc>
      </w:tr>
      <w:tr>
        <w:tc>
          <w:tcPr/>
          <w:p>
            <w:pPr>
              <w:pStyle w:val="Compact"/>
              <w:jc w:val="left"/>
            </w:pPr>
            <w:r>
              <w:t xml:space="preserve">14 CFR 25.621 and AC 25.621-1</w:t>
            </w:r>
          </w:p>
        </w:tc>
        <w:tc>
          <w:tcPr/>
          <w:p>
            <w:pPr>
              <w:pStyle w:val="Compact"/>
              <w:jc w:val="left"/>
            </w:pPr>
            <w:r>
              <w:t xml:space="preserve">Casting factors. Basis for the casting inspection and casting factor recording driver.</w:t>
            </w:r>
          </w:p>
        </w:tc>
      </w:tr>
      <w:tr>
        <w:tc>
          <w:tcPr/>
          <w:p>
            <w:pPr>
              <w:pStyle w:val="Compact"/>
              <w:jc w:val="left"/>
            </w:pPr>
            <w:r>
              <w:t xml:space="preserve">ATA iSpec 2200 / S1000D</w:t>
            </w:r>
          </w:p>
        </w:tc>
        <w:tc>
          <w:tcPr/>
          <w:p>
            <w:pPr>
              <w:pStyle w:val="Compact"/>
              <w:jc w:val="left"/>
            </w:pPr>
            <w:r>
              <w:t xml:space="preserve">Industry decomposition and data schemes referenced for MBSE-aligned CI structuring (see candidate identification and the MBSE alignment appendix)</w:t>
            </w:r>
          </w:p>
        </w:tc>
      </w:tr>
      <w:tr>
        <w:tc>
          <w:tcPr/>
          <w:p>
            <w:pPr>
              <w:pStyle w:val="Compact"/>
              <w:jc w:val="left"/>
            </w:pPr>
            <w:r>
              <w:t xml:space="preserve">DI-SESS-81254</w:t>
            </w:r>
          </w:p>
        </w:tc>
        <w:tc>
          <w:tcPr/>
          <w:p>
            <w:pPr>
              <w:pStyle w:val="Compact"/>
              <w:jc w:val="left"/>
            </w:pPr>
            <w:r>
              <w:t xml:space="preserve">Request for Nomenclature</w:t>
            </w:r>
          </w:p>
        </w:tc>
      </w:tr>
      <w:tr>
        <w:tc>
          <w:tcPr/>
          <w:p>
            <w:pPr>
              <w:pStyle w:val="Compact"/>
              <w:jc w:val="left"/>
            </w:pPr>
            <w:r>
              <w:t xml:space="preserve">DI-SESS-81248</w:t>
            </w:r>
          </w:p>
        </w:tc>
        <w:tc>
          <w:tcPr/>
          <w:p>
            <w:pPr>
              <w:pStyle w:val="Compact"/>
              <w:jc w:val="left"/>
            </w:pPr>
            <w:r>
              <w:t xml:space="preserve">Interface Control Document (ICD)</w:t>
            </w:r>
          </w:p>
        </w:tc>
      </w:tr>
      <w:tr>
        <w:tc>
          <w:tcPr/>
          <w:p>
            <w:pPr>
              <w:pStyle w:val="Compact"/>
              <w:jc w:val="left"/>
            </w:pPr>
            <w:r>
              <w:t xml:space="preserve">DI-SESS-82007</w:t>
            </w:r>
          </w:p>
        </w:tc>
        <w:tc>
          <w:tcPr/>
          <w:p>
            <w:pPr>
              <w:pStyle w:val="Compact"/>
              <w:jc w:val="left"/>
            </w:pPr>
            <w:r>
              <w:t xml:space="preserve">Configuration Item Documentation Recommendation</w:t>
            </w:r>
          </w:p>
        </w:tc>
      </w:tr>
      <w:tr>
        <w:tc>
          <w:tcPr/>
          <w:p>
            <w:pPr>
              <w:pStyle w:val="Compact"/>
              <w:jc w:val="left"/>
            </w:pPr>
            <w:r>
              <w:t xml:space="preserve">DI-SESS-81121</w:t>
            </w:r>
          </w:p>
        </w:tc>
        <w:tc>
          <w:tcPr/>
          <w:p>
            <w:pPr>
              <w:pStyle w:val="Compact"/>
              <w:jc w:val="left"/>
            </w:pPr>
            <w:r>
              <w:t xml:space="preserve">Baseline Description Document</w:t>
            </w:r>
          </w:p>
        </w:tc>
      </w:tr>
      <w:tr>
        <w:tc>
          <w:tcPr/>
          <w:p>
            <w:pPr>
              <w:pStyle w:val="Compact"/>
              <w:jc w:val="left"/>
            </w:pPr>
            <w:r>
              <w:t xml:space="preserve">DI-SESS-81011</w:t>
            </w:r>
          </w:p>
        </w:tc>
        <w:tc>
          <w:tcPr/>
          <w:p>
            <w:pPr>
              <w:pStyle w:val="Compact"/>
              <w:jc w:val="left"/>
            </w:pPr>
            <w:r>
              <w:t xml:space="preserve">Drawing/Model Number Assignment Report</w:t>
            </w:r>
          </w:p>
        </w:tc>
      </w:tr>
    </w:tbl>
    <w:p>
      <w:pPr>
        <w:pStyle w:val="BodyText"/>
      </w:pPr>
      <w:r>
        <w:rPr>
          <w:iCs/>
          <w:i/>
        </w:rPr>
        <w:t xml:space="preserve">Referenced by plain name. Every document above is referred to in the body of this process by the plain name in the Title column, not by its number. Record the corresponding company document number once, in the Document column, and every reference in this process then resolves. Parts of this process are referred to the same way, by what they are rather than by where they sit. Data Item Descriptions (DIDs) apply only where cited on contract via CDRL.</w:t>
      </w:r>
    </w:p>
    <w:bookmarkEnd w:id="26"/>
    <w:bookmarkEnd w:id="27"/>
    <w:bookmarkStart w:id="30" w:name="definitions-and-acronyms"/>
    <w:p>
      <w:pPr>
        <w:pStyle w:val="Heading1"/>
      </w:pPr>
      <w:r>
        <w:t xml:space="preserve">3. Definitions and Acronyms</w:t>
      </w:r>
    </w:p>
    <w:bookmarkStart w:id="28" w:name="definitions"/>
    <w:p>
      <w:pPr>
        <w:pStyle w:val="Heading2"/>
      </w:pPr>
      <w:r>
        <w:t xml:space="preserve">3.1 Definitions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Definition</w:t>
            </w:r>
          </w:p>
        </w:tc>
      </w:tr>
      <w:tr>
        <w:tc>
          <w:tcPr/>
          <w:p>
            <w:pPr>
              <w:pStyle w:val="Compact"/>
              <w:jc w:val="left"/>
            </w:pPr>
            <w:r>
              <w:t xml:space="preserve">Configuration Item (CI)</w:t>
            </w:r>
          </w:p>
        </w:tc>
        <w:tc>
          <w:tcPr/>
          <w:p>
            <w:pPr>
              <w:pStyle w:val="Compact"/>
              <w:jc w:val="left"/>
            </w:pPr>
            <w:r>
              <w:t xml:space="preserve">Any hardware, software, firmware, or aggregation thereof that satisfies a system end-use function and is designated for separate configuration management. Designation includes establishing the CI’s requirements and verifying that its configuration meets those requirements and that its configuration documentation accurately describes its configuration.</w:t>
            </w:r>
          </w:p>
        </w:tc>
      </w:tr>
      <w:tr>
        <w:tc>
          <w:tcPr/>
          <w:p>
            <w:pPr>
              <w:pStyle w:val="Compact"/>
              <w:jc w:val="left"/>
            </w:pPr>
            <w:r>
              <w:t xml:space="preserve">Configuration Identification</w:t>
            </w:r>
          </w:p>
        </w:tc>
        <w:tc>
          <w:tcPr/>
          <w:p>
            <w:pPr>
              <w:pStyle w:val="Compact"/>
              <w:jc w:val="left"/>
            </w:pPr>
            <w:r>
              <w:t xml:space="preserve">The CM function that selects CIs, organizes the system into a hierarchical structure, determines the configuration documentation required for the system and its components, issues identifiers, releases CIs and their documentation, and establishes configuration baselines.</w:t>
            </w:r>
          </w:p>
        </w:tc>
      </w:tr>
      <w:tr>
        <w:tc>
          <w:tcPr/>
          <w:p>
            <w:pPr>
              <w:pStyle w:val="Compact"/>
              <w:jc w:val="left"/>
            </w:pPr>
            <w:r>
              <w:t xml:space="preserve">Configuration Documentation</w:t>
            </w:r>
          </w:p>
        </w:tc>
        <w:tc>
          <w:tcPr/>
          <w:p>
            <w:pPr>
              <w:pStyle w:val="Compact"/>
              <w:jc w:val="left"/>
            </w:pPr>
            <w:r>
              <w:t xml:space="preserve">Technical documentation whose primary purpose is to identify and define a product’s performance, functional, and physical attributes (e.g., specifications, drawings, models). Comprises functional, allocated, and product configuration documentation.</w:t>
            </w:r>
          </w:p>
        </w:tc>
      </w:tr>
      <w:tr>
        <w:tc>
          <w:tcPr/>
          <w:p>
            <w:pPr>
              <w:pStyle w:val="Compact"/>
              <w:jc w:val="left"/>
            </w:pPr>
            <w:r>
              <w:t xml:space="preserve">Configuration Baseline</w:t>
            </w:r>
          </w:p>
        </w:tc>
        <w:tc>
          <w:tcPr/>
          <w:p>
            <w:pPr>
              <w:pStyle w:val="Compact"/>
              <w:jc w:val="left"/>
            </w:pPr>
            <w:r>
              <w:t xml:space="preserve">An agreed-to definition of the attributes of a product at a point in time, identifying a known configuration to which changes are addressed. Baseline types are functional (FBL), allocated (ABL), and product (PBL).</w:t>
            </w:r>
          </w:p>
        </w:tc>
      </w:tr>
      <w:tr>
        <w:tc>
          <w:tcPr/>
          <w:p>
            <w:pPr>
              <w:pStyle w:val="Compact"/>
              <w:jc w:val="left"/>
            </w:pPr>
            <w:r>
              <w:t xml:space="preserve">Part or Identifying Number (PIN)</w:t>
            </w:r>
          </w:p>
        </w:tc>
        <w:tc>
          <w:tcPr/>
          <w:p>
            <w:pPr>
              <w:pStyle w:val="Compact"/>
              <w:jc w:val="left"/>
            </w:pPr>
            <w:r>
              <w:t xml:space="preserve">The identifier that, combined with the design activity CAGE code, uniquely identifies an item and its configuration. The PIN changes when a modification creates a non-interchangeable condition.</w:t>
            </w:r>
          </w:p>
        </w:tc>
      </w:tr>
      <w:tr>
        <w:tc>
          <w:tcPr/>
          <w:p>
            <w:pPr>
              <w:pStyle w:val="Compact"/>
              <w:jc w:val="left"/>
            </w:pPr>
            <w:r>
              <w:t xml:space="preserve">Product Unit Identifier</w:t>
            </w:r>
          </w:p>
        </w:tc>
        <w:tc>
          <w:tcPr/>
          <w:p>
            <w:pPr>
              <w:pStyle w:val="Compact"/>
              <w:jc w:val="left"/>
            </w:pPr>
            <w:r>
              <w:t xml:space="preserve">A serial, lot, or batch number that distinguishes one unit (or group of units) of a product from another. Unit identifiers are never revised or re-used once assigned, even when the PIN changes.</w:t>
            </w:r>
          </w:p>
        </w:tc>
      </w:tr>
      <w:tr>
        <w:tc>
          <w:tcPr/>
          <w:p>
            <w:pPr>
              <w:pStyle w:val="Compact"/>
              <w:jc w:val="left"/>
            </w:pPr>
            <w:r>
              <w:t xml:space="preserve">Product Structure</w:t>
            </w:r>
          </w:p>
        </w:tc>
        <w:tc>
          <w:tcPr/>
          <w:p>
            <w:pPr>
              <w:pStyle w:val="Compact"/>
              <w:jc w:val="left"/>
            </w:pPr>
            <w:r>
              <w:t xml:space="preserve">The hierarchical organization of a product and its components used to organize product configuration information over the lifecycle.</w:t>
            </w:r>
          </w:p>
        </w:tc>
      </w:tr>
      <w:tr>
        <w:tc>
          <w:tcPr/>
          <w:p>
            <w:pPr>
              <w:pStyle w:val="Compact"/>
              <w:jc w:val="left"/>
            </w:pPr>
            <w:r>
              <w:t xml:space="preserve">Safety-Critical Item (SCI)</w:t>
            </w:r>
          </w:p>
        </w:tc>
        <w:tc>
          <w:tcPr/>
          <w:p>
            <w:pPr>
              <w:pStyle w:val="Compact"/>
              <w:jc w:val="left"/>
            </w:pPr>
            <w:r>
              <w:t xml:space="preserve">A hardware or software item that has been determined through analysis to potentially contribute to a hazard with Catastrophic or Critical mishap potential, or that may be implemented to mitigate a hazard with Catastrophic or Critical mishap potential. The term is defined in the system safety standard.</w:t>
            </w:r>
          </w:p>
        </w:tc>
      </w:tr>
      <w:tr>
        <w:tc>
          <w:tcPr/>
          <w:p>
            <w:pPr>
              <w:pStyle w:val="Compact"/>
              <w:jc w:val="left"/>
            </w:pPr>
            <w:r>
              <w:t xml:space="preserve">Safety-Critical Function (SCF)</w:t>
            </w:r>
          </w:p>
        </w:tc>
        <w:tc>
          <w:tcPr/>
          <w:p>
            <w:pPr>
              <w:pStyle w:val="Compact"/>
              <w:jc w:val="left"/>
            </w:pPr>
            <w:r>
              <w:t xml:space="preserve">A function whose failure or malfunction could result in a catastrophic or critical mishap. The term is defined in the system safety standard. </w:t>
            </w:r>
            <w:r>
              <w:rPr>
                <w:bCs/>
                <w:b/>
              </w:rPr>
              <w:t xml:space="preserve">[VERIFY THE VERBATIM WORDING AGAINST THE CURRENT ISSUE OF THE SYSTEM SAFETY STANDARD BEFORE RELEASE.]</w:t>
            </w:r>
          </w:p>
        </w:tc>
      </w:tr>
    </w:tbl>
    <w:p>
      <w:pPr>
        <w:pStyle w:val="BodyText"/>
      </w:pPr>
      <w:r>
        <w:rPr>
          <w:bCs/>
          <w:b/>
          <w:iCs/>
          <w:i/>
        </w:rPr>
        <w:t xml:space="preserve">The safety-critical item is not the critical safety item.</w:t>
      </w:r>
      <w:r>
        <w:rPr>
          <w:iCs/>
          <w:i/>
        </w:rPr>
        <w:t xml:space="preserve"> The system safety standard states that its own safety-critical item term is independent of the critical safety item term in the governing public laws. The two terms carry different authority, a different object, and a different obligation. See the criticality designations appendix.</w:t>
      </w:r>
    </w:p>
    <w:bookmarkEnd w:id="28"/>
    <w:bookmarkStart w:id="29" w:name="acronyms"/>
    <w:p>
      <w:pPr>
        <w:pStyle w:val="Heading2"/>
      </w:pPr>
      <w:r>
        <w:t xml:space="preserve">3.2 Acronyms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Acronym</w:t>
            </w:r>
          </w:p>
        </w:tc>
        <w:tc>
          <w:tcPr/>
          <w:p>
            <w:pPr>
              <w:pStyle w:val="Compact"/>
              <w:jc w:val="left"/>
            </w:pPr>
            <w:r>
              <w:rPr>
                <w:bCs/>
                <w:b/>
              </w:rPr>
              <w:t xml:space="preserve">Meaning</w:t>
            </w:r>
          </w:p>
        </w:tc>
      </w:tr>
      <w:tr>
        <w:tc>
          <w:tcPr/>
          <w:p>
            <w:pPr>
              <w:pStyle w:val="Compact"/>
              <w:jc w:val="left"/>
            </w:pPr>
            <w:r>
              <w:t xml:space="preserve">ABL / FBL / PBL</w:t>
            </w:r>
          </w:p>
        </w:tc>
        <w:tc>
          <w:tcPr/>
          <w:p>
            <w:pPr>
              <w:pStyle w:val="Compact"/>
              <w:jc w:val="left"/>
            </w:pPr>
            <w:r>
              <w:t xml:space="preserve">Allocated / Functional / Product Baseline</w:t>
            </w:r>
          </w:p>
        </w:tc>
      </w:tr>
      <w:tr>
        <w:tc>
          <w:tcPr/>
          <w:p>
            <w:pPr>
              <w:pStyle w:val="Compact"/>
              <w:jc w:val="left"/>
            </w:pPr>
            <w:r>
              <w:t xml:space="preserve">CAGE</w:t>
            </w:r>
          </w:p>
        </w:tc>
        <w:tc>
          <w:tcPr/>
          <w:p>
            <w:pPr>
              <w:pStyle w:val="Compact"/>
              <w:jc w:val="left"/>
            </w:pPr>
            <w:r>
              <w:t xml:space="preserve">Commercial and Government Entity (code)</w:t>
            </w:r>
          </w:p>
        </w:tc>
      </w:tr>
      <w:tr>
        <w:tc>
          <w:tcPr/>
          <w:p>
            <w:pPr>
              <w:pStyle w:val="Compact"/>
              <w:jc w:val="left"/>
            </w:pPr>
            <w:r>
              <w:t xml:space="preserve">CDRL</w:t>
            </w:r>
          </w:p>
        </w:tc>
        <w:tc>
          <w:tcPr/>
          <w:p>
            <w:pPr>
              <w:pStyle w:val="Compact"/>
              <w:jc w:val="left"/>
            </w:pPr>
            <w:r>
              <w:t xml:space="preserve">Contract Data Requirements List</w:t>
            </w:r>
          </w:p>
        </w:tc>
      </w:tr>
      <w:tr>
        <w:tc>
          <w:tcPr/>
          <w:p>
            <w:pPr>
              <w:pStyle w:val="Compact"/>
              <w:jc w:val="left"/>
            </w:pPr>
            <w:r>
              <w:t xml:space="preserve">CI / CSCI</w:t>
            </w:r>
          </w:p>
        </w:tc>
        <w:tc>
          <w:tcPr/>
          <w:p>
            <w:pPr>
              <w:pStyle w:val="Compact"/>
              <w:jc w:val="left"/>
            </w:pPr>
            <w:r>
              <w:t xml:space="preserve">Configuration Item / Computer Software Configuration Item</w:t>
            </w:r>
          </w:p>
        </w:tc>
      </w:tr>
      <w:tr>
        <w:tc>
          <w:tcPr/>
          <w:p>
            <w:pPr>
              <w:pStyle w:val="Compact"/>
              <w:jc w:val="left"/>
            </w:pPr>
            <w:r>
              <w:t xml:space="preserve">CMP</w:t>
            </w:r>
          </w:p>
        </w:tc>
        <w:tc>
          <w:tcPr/>
          <w:p>
            <w:pPr>
              <w:pStyle w:val="Compact"/>
              <w:jc w:val="left"/>
            </w:pPr>
            <w:r>
              <w:t xml:space="preserve">Configuration Management Plan</w:t>
            </w:r>
          </w:p>
        </w:tc>
      </w:tr>
      <w:tr>
        <w:tc>
          <w:tcPr/>
          <w:p>
            <w:pPr>
              <w:pStyle w:val="Compact"/>
              <w:jc w:val="left"/>
            </w:pPr>
            <w:r>
              <w:t xml:space="preserve">CSA</w:t>
            </w:r>
          </w:p>
        </w:tc>
        <w:tc>
          <w:tcPr/>
          <w:p>
            <w:pPr>
              <w:pStyle w:val="Compact"/>
              <w:jc w:val="left"/>
            </w:pPr>
            <w:r>
              <w:t xml:space="preserve">Configuration Status Accounting</w:t>
            </w:r>
          </w:p>
        </w:tc>
      </w:tr>
      <w:tr>
        <w:tc>
          <w:tcPr/>
          <w:p>
            <w:pPr>
              <w:pStyle w:val="Compact"/>
              <w:jc w:val="left"/>
            </w:pPr>
            <w:r>
              <w:t xml:space="preserve">DID</w:t>
            </w:r>
          </w:p>
        </w:tc>
        <w:tc>
          <w:tcPr/>
          <w:p>
            <w:pPr>
              <w:pStyle w:val="Compact"/>
              <w:jc w:val="left"/>
            </w:pPr>
            <w:r>
              <w:t xml:space="preserve">Data Item Description</w:t>
            </w:r>
          </w:p>
        </w:tc>
      </w:tr>
      <w:tr>
        <w:tc>
          <w:tcPr/>
          <w:p>
            <w:pPr>
              <w:pStyle w:val="Compact"/>
              <w:jc w:val="left"/>
            </w:pPr>
            <w:r>
              <w:t xml:space="preserve">ICD</w:t>
            </w:r>
          </w:p>
        </w:tc>
        <w:tc>
          <w:tcPr/>
          <w:p>
            <w:pPr>
              <w:pStyle w:val="Compact"/>
              <w:jc w:val="left"/>
            </w:pPr>
            <w:r>
              <w:t xml:space="preserve">Interface Control Document</w:t>
            </w:r>
          </w:p>
        </w:tc>
      </w:tr>
      <w:tr>
        <w:tc>
          <w:tcPr/>
          <w:p>
            <w:pPr>
              <w:pStyle w:val="Compact"/>
              <w:jc w:val="left"/>
            </w:pPr>
            <w:r>
              <w:t xml:space="preserve">IUID / UII</w:t>
            </w:r>
          </w:p>
        </w:tc>
        <w:tc>
          <w:tcPr/>
          <w:p>
            <w:pPr>
              <w:pStyle w:val="Compact"/>
              <w:jc w:val="left"/>
            </w:pPr>
            <w:r>
              <w:t xml:space="preserve">Item Unique Identification / Unique Item Identifier</w:t>
            </w:r>
          </w:p>
        </w:tc>
      </w:tr>
      <w:tr>
        <w:tc>
          <w:tcPr/>
          <w:p>
            <w:pPr>
              <w:pStyle w:val="Compact"/>
              <w:jc w:val="left"/>
            </w:pPr>
            <w:r>
              <w:t xml:space="preserve">MBSE</w:t>
            </w:r>
          </w:p>
        </w:tc>
        <w:tc>
          <w:tcPr/>
          <w:p>
            <w:pPr>
              <w:pStyle w:val="Compact"/>
              <w:jc w:val="left"/>
            </w:pPr>
            <w:r>
              <w:t xml:space="preserve">Model-Based Systems Engineering</w:t>
            </w:r>
          </w:p>
        </w:tc>
      </w:tr>
      <w:tr>
        <w:tc>
          <w:tcPr/>
          <w:p>
            <w:pPr>
              <w:pStyle w:val="Compact"/>
              <w:jc w:val="left"/>
            </w:pPr>
            <w:r>
              <w:t xml:space="preserve">PIN</w:t>
            </w:r>
          </w:p>
        </w:tc>
        <w:tc>
          <w:tcPr/>
          <w:p>
            <w:pPr>
              <w:pStyle w:val="Compact"/>
              <w:jc w:val="left"/>
            </w:pPr>
            <w:r>
              <w:t xml:space="preserve">Part or Identifying Number</w:t>
            </w:r>
          </w:p>
        </w:tc>
      </w:tr>
      <w:tr>
        <w:tc>
          <w:tcPr/>
          <w:p>
            <w:pPr>
              <w:pStyle w:val="Compact"/>
              <w:jc w:val="left"/>
            </w:pPr>
            <w:r>
              <w:t xml:space="preserve">PLM</w:t>
            </w:r>
          </w:p>
        </w:tc>
        <w:tc>
          <w:tcPr/>
          <w:p>
            <w:pPr>
              <w:pStyle w:val="Compact"/>
              <w:jc w:val="left"/>
            </w:pPr>
            <w:r>
              <w:t xml:space="preserve">Product Lifecycle Management</w:t>
            </w:r>
          </w:p>
        </w:tc>
      </w:tr>
      <w:tr>
        <w:tc>
          <w:tcPr/>
          <w:p>
            <w:pPr>
              <w:pStyle w:val="Compact"/>
              <w:jc w:val="left"/>
            </w:pPr>
            <w:r>
              <w:t xml:space="preserve">SCI / SCF</w:t>
            </w:r>
          </w:p>
        </w:tc>
        <w:tc>
          <w:tcPr/>
          <w:p>
            <w:pPr>
              <w:pStyle w:val="Compact"/>
              <w:jc w:val="left"/>
            </w:pPr>
            <w:r>
              <w:t xml:space="preserve">Safety-Critical Item / Safety-Critical Function</w:t>
            </w:r>
          </w:p>
        </w:tc>
      </w:tr>
      <w:tr>
        <w:tc>
          <w:tcPr/>
          <w:p>
            <w:pPr>
              <w:pStyle w:val="Compact"/>
              <w:jc w:val="left"/>
            </w:pPr>
            <w:r>
              <w:t xml:space="preserve">SMS</w:t>
            </w:r>
          </w:p>
        </w:tc>
        <w:tc>
          <w:tcPr/>
          <w:p>
            <w:pPr>
              <w:pStyle w:val="Compact"/>
              <w:jc w:val="left"/>
            </w:pPr>
            <w:r>
              <w:t xml:space="preserve">Safety Management System</w:t>
            </w:r>
          </w:p>
        </w:tc>
      </w:tr>
      <w:tr>
        <w:tc>
          <w:tcPr/>
          <w:p>
            <w:pPr>
              <w:pStyle w:val="Compact"/>
              <w:jc w:val="left"/>
            </w:pPr>
            <w:r>
              <w:t xml:space="preserve">SNS</w:t>
            </w:r>
          </w:p>
        </w:tc>
        <w:tc>
          <w:tcPr/>
          <w:p>
            <w:pPr>
              <w:pStyle w:val="Compact"/>
              <w:jc w:val="left"/>
            </w:pPr>
            <w:r>
              <w:t xml:space="preserve">Standard Numbering System (S1000D)</w:t>
            </w:r>
          </w:p>
        </w:tc>
      </w:tr>
      <w:tr>
        <w:tc>
          <w:tcPr/>
          <w:p>
            <w:pPr>
              <w:pStyle w:val="Compact"/>
              <w:jc w:val="left"/>
            </w:pPr>
            <w:r>
              <w:t xml:space="preserve">SysML / UAF</w:t>
            </w:r>
          </w:p>
        </w:tc>
        <w:tc>
          <w:tcPr/>
          <w:p>
            <w:pPr>
              <w:pStyle w:val="Compact"/>
              <w:jc w:val="left"/>
            </w:pPr>
            <w:r>
              <w:t xml:space="preserve">Systems Modeling Language / Unified Architecture Framework</w:t>
            </w:r>
          </w:p>
        </w:tc>
      </w:tr>
      <w:tr>
        <w:tc>
          <w:tcPr/>
          <w:p>
            <w:pPr>
              <w:pStyle w:val="Compact"/>
              <w:jc w:val="left"/>
            </w:pPr>
            <w:r>
              <w:t xml:space="preserve">WBS</w:t>
            </w:r>
          </w:p>
        </w:tc>
        <w:tc>
          <w:tcPr/>
          <w:p>
            <w:pPr>
              <w:pStyle w:val="Compact"/>
              <w:jc w:val="left"/>
            </w:pPr>
            <w:r>
              <w:t xml:space="preserve">Work Breakdown Structure</w:t>
            </w:r>
          </w:p>
        </w:tc>
      </w:tr>
    </w:tbl>
    <w:bookmarkEnd w:id="29"/>
    <w:bookmarkEnd w:id="30"/>
    <w:bookmarkStart w:id="31" w:name="roles-and-responsibilities"/>
    <w:p>
      <w:pPr>
        <w:pStyle w:val="Heading1"/>
      </w:pPr>
      <w:r>
        <w:t xml:space="preserve">4. Roles and Responsibilities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Role</w:t>
            </w:r>
          </w:p>
        </w:tc>
        <w:tc>
          <w:tcPr/>
          <w:p>
            <w:pPr>
              <w:pStyle w:val="Compact"/>
              <w:jc w:val="left"/>
            </w:pPr>
            <w:r>
              <w:rPr>
                <w:bCs/>
                <w:b/>
              </w:rPr>
              <w:t xml:space="preserve">Responsibilities</w:t>
            </w:r>
          </w:p>
        </w:tc>
      </w:tr>
      <w:tr>
        <w:tc>
          <w:tcPr/>
          <w:p>
            <w:pPr>
              <w:pStyle w:val="Compact"/>
              <w:jc w:val="left"/>
            </w:pPr>
            <w:r>
              <w:t xml:space="preserve">Configuration Management (CM)</w:t>
            </w:r>
          </w:p>
        </w:tc>
        <w:tc>
          <w:tcPr/>
          <w:p>
            <w:pPr>
              <w:pStyle w:val="Compact"/>
              <w:jc w:val="left"/>
            </w:pPr>
            <w:r>
              <w:t xml:space="preserve">Owns this process. Nominates the candidate CIs by reading the source material, applies the selection criteria screen, and makes the selection determination. Creates and owns the CI structure and hierarchy. Owns the boundary set, maintains the interface register, and verifies interface coverage. Maintains the CI index and the selection rationale records, assigns and controls identifiers per program conventions, determines and releases the configuration documentation, establishes and records the baselines, and coordinates Acquirer concurrence submittals. Monitors the re-evaluation triggers and re-runs identification. CM does not re-perform another function’s domain analysis. CM reads that analysis, applies the criteria to it, and asks where the basis is unclear.</w:t>
            </w:r>
          </w:p>
        </w:tc>
      </w:tr>
      <w:tr>
        <w:tc>
          <w:tcPr/>
          <w:p>
            <w:pPr>
              <w:pStyle w:val="Compact"/>
              <w:jc w:val="left"/>
            </w:pPr>
            <w:r>
              <w:t xml:space="preserve">Systems Engineering</w:t>
            </w:r>
          </w:p>
        </w:tc>
        <w:tc>
          <w:tcPr/>
          <w:p>
            <w:pPr>
              <w:pStyle w:val="Compact"/>
              <w:jc w:val="left"/>
            </w:pPr>
            <w:r>
              <w:t xml:space="preserve">Maintains the system architecture, product structure, and MBSE decomposition, and answers CM’s questions on decomposition and function. Confirms the CI structure does not misrepresent the decomposition. Concurs on the end-use function gate and where the determination rests on specification or interface considerations. Performs interface requirement identification, which is mandatory for safety, and signs no-interface determinations. Allocates requirements to CIs. Notifies CM of design and architecture change.</w:t>
            </w:r>
          </w:p>
        </w:tc>
      </w:tr>
      <w:tr>
        <w:tc>
          <w:tcPr/>
          <w:p>
            <w:pPr>
              <w:pStyle w:val="Compact"/>
              <w:jc w:val="left"/>
            </w:pPr>
            <w:r>
              <w:t xml:space="preserve">Design Engineering</w:t>
            </w:r>
          </w:p>
        </w:tc>
        <w:tc>
          <w:tcPr/>
          <w:p>
            <w:pPr>
              <w:pStyle w:val="Compact"/>
              <w:jc w:val="left"/>
            </w:pPr>
            <w:r>
              <w:t xml:space="preserve">Produces configuration documentation (specifications, drawings, models) and answers CM’s questions on design considerations that bear on the screen. Assigns PINs per design activity conventions.</w:t>
            </w:r>
          </w:p>
        </w:tc>
      </w:tr>
      <w:tr>
        <w:tc>
          <w:tcPr/>
          <w:p>
            <w:pPr>
              <w:pStyle w:val="Compact"/>
              <w:jc w:val="left"/>
            </w:pPr>
            <w:r>
              <w:t xml:space="preserve">Logistics / Product Support</w:t>
            </w:r>
          </w:p>
        </w:tc>
        <w:tc>
          <w:tcPr/>
          <w:p>
            <w:pPr>
              <w:pStyle w:val="Compact"/>
              <w:jc w:val="left"/>
            </w:pPr>
            <w:r>
              <w:t xml:space="preserve">Answers on provisioning, technical manuals, support and test equipment, and maintenance planning, and identifies the items that carry those obligations. Concurs on the logistics elements criterion. Confirms CI selection supports the supportability strategy. Notifies CM of supportability strategy change.</w:t>
            </w:r>
          </w:p>
        </w:tc>
      </w:tr>
      <w:tr>
        <w:tc>
          <w:tcPr/>
          <w:p>
            <w:pPr>
              <w:pStyle w:val="Compact"/>
              <w:jc w:val="left"/>
            </w:pPr>
            <w:r>
              <w:t xml:space="preserve">System Safety</w:t>
            </w:r>
          </w:p>
        </w:tc>
        <w:tc>
          <w:tcPr/>
          <w:p>
            <w:pPr>
              <w:pStyle w:val="Compact"/>
              <w:jc w:val="left"/>
            </w:pPr>
            <w:r>
              <w:t xml:space="preserve">Maintains the hazard analyses and the safety-critical item identifications, and answers on safety consequence. Concurs on the rationale where criterion (b) was answered yes and the item is not designated as a CI. Confirms hazard risk controls are captured in the baselined documentation. Notifies CM of hazard analysis revision.</w:t>
            </w:r>
          </w:p>
        </w:tc>
      </w:tr>
      <w:tr>
        <w:tc>
          <w:tcPr/>
          <w:p>
            <w:pPr>
              <w:pStyle w:val="Compact"/>
              <w:jc w:val="left"/>
            </w:pPr>
            <w:r>
              <w:t xml:space="preserve">RM&amp;SH</w:t>
            </w:r>
          </w:p>
        </w:tc>
        <w:tc>
          <w:tcPr/>
          <w:p>
            <w:pPr>
              <w:pStyle w:val="Compact"/>
              <w:jc w:val="left"/>
            </w:pPr>
            <w:r>
              <w:t xml:space="preserve">Maintains the failure modes and criticality analyses and answers on failure consequence, single point and common mode failures, and life limits. Concurs where the determination rests on failure modes and effects or criticality analysis, single point or common mode failure identification, or a maintainability or health-monitoring driven limit. Supplies the reliability and maintainability basis for life limits and inspection intervals. Notifies CM where a criticality analysis or life limit changes.</w:t>
            </w:r>
          </w:p>
        </w:tc>
      </w:tr>
      <w:tr>
        <w:tc>
          <w:tcPr/>
          <w:p>
            <w:pPr>
              <w:pStyle w:val="Compact"/>
              <w:jc w:val="left"/>
            </w:pPr>
            <w:r>
              <w:t xml:space="preserve">Human Factors</w:t>
            </w:r>
          </w:p>
        </w:tc>
        <w:tc>
          <w:tcPr/>
          <w:p>
            <w:pPr>
              <w:pStyle w:val="Compact"/>
              <w:jc w:val="left"/>
            </w:pPr>
            <w:r>
              <w:t xml:space="preserve">Answers where operation or maintenance carries human error consequence. Advises where the consequence pathway runs through operator or maintainer action. Identifies human system interfaces at CI boundaries.</w:t>
            </w:r>
          </w:p>
        </w:tc>
      </w:tr>
      <w:tr>
        <w:tc>
          <w:tcPr/>
          <w:p>
            <w:pPr>
              <w:pStyle w:val="Compact"/>
              <w:jc w:val="left"/>
            </w:pPr>
            <w:r>
              <w:t xml:space="preserve">Supplier Requirements Engineering</w:t>
            </w:r>
          </w:p>
        </w:tc>
        <w:tc>
          <w:tcPr/>
          <w:p>
            <w:pPr>
              <w:pStyle w:val="Compact"/>
              <w:jc w:val="left"/>
            </w:pPr>
            <w:r>
              <w:t xml:space="preserve">Confirms the level at which each item is procured, which sets where the customer-facing CI sits for supplier-designed items. Confirms which supplier holds the boundary under contract. Flows the safety-critical, life-limited, and special-handling designations and the marking requirements to suppliers, and confirms which of the three authorship cases applies. Notifies CM of source and sub-tier supplier change.</w:t>
            </w:r>
          </w:p>
        </w:tc>
      </w:tr>
      <w:tr>
        <w:tc>
          <w:tcPr/>
          <w:p>
            <w:pPr>
              <w:pStyle w:val="Compact"/>
              <w:jc w:val="left"/>
            </w:pPr>
            <w:r>
              <w:t xml:space="preserve">Equipment Managers and Responsible Engineers</w:t>
            </w:r>
          </w:p>
        </w:tc>
        <w:tc>
          <w:tcPr/>
          <w:p>
            <w:pPr>
              <w:pStyle w:val="Compact"/>
              <w:jc w:val="left"/>
            </w:pPr>
            <w:r>
              <w:t xml:space="preserve">Answer on what is procured and at what level. Supply the engineering basis and configuration documentation from their suppliers for their items. Confirm the CI structure matches how their equipment is specified and changed. Confirm the documentation set is sufficient to define and reprocure their items.</w:t>
            </w:r>
          </w:p>
        </w:tc>
      </w:tr>
      <w:tr>
        <w:tc>
          <w:tcPr/>
          <w:p>
            <w:pPr>
              <w:pStyle w:val="Compact"/>
              <w:jc w:val="left"/>
            </w:pPr>
            <w:r>
              <w:t xml:space="preserve">Program Management</w:t>
            </w:r>
          </w:p>
        </w:tc>
        <w:tc>
          <w:tcPr/>
          <w:p>
            <w:pPr>
              <w:pStyle w:val="Compact"/>
              <w:jc w:val="left"/>
            </w:pPr>
            <w:r>
              <w:t xml:space="preserve">Approves the proposed CI list for submittal. Resolves cost/schedule trades in CI selection level.</w:t>
            </w:r>
          </w:p>
        </w:tc>
      </w:tr>
      <w:tr>
        <w:tc>
          <w:tcPr/>
          <w:p>
            <w:pPr>
              <w:pStyle w:val="Compact"/>
              <w:jc w:val="left"/>
            </w:pPr>
            <w:r>
              <w:t xml:space="preserve">Acquirer</w:t>
            </w:r>
          </w:p>
        </w:tc>
        <w:tc>
          <w:tcPr/>
          <w:p>
            <w:pPr>
              <w:pStyle w:val="Compact"/>
              <w:jc w:val="left"/>
            </w:pPr>
            <w:r>
              <w:t xml:space="preserve">Reviews proposed CIs and provides selection concurrence. Holds final CI designation authority for Acquirer-controlled CIs. May designate items as CIs directly.</w:t>
            </w:r>
          </w:p>
        </w:tc>
      </w:tr>
    </w:tbl>
    <w:p>
      <w:pPr>
        <w:pStyle w:val="BodyText"/>
      </w:pPr>
      <w:r>
        <w:rPr>
          <w:iCs/>
          <w:i/>
        </w:rPr>
        <w:t xml:space="preserve">How to read this table. CM nominates, screens, decides, and owns the CI structure. The other functions maintain their own analyses and answer CM’s questions about them. Several of them concur that the technical basis is sound. Concurrence is not selection. The “who does what” paragraph at the head of each activity in Section 5 states the same division for that activity. Where this table and a “who does what” paragraph disagree, the paragraph governs and this table is corrected.</w:t>
      </w:r>
    </w:p>
    <w:bookmarkEnd w:id="31"/>
    <w:bookmarkStart w:id="48" w:name="process"/>
    <w:p>
      <w:pPr>
        <w:pStyle w:val="Heading1"/>
      </w:pPr>
      <w:r>
        <w:t xml:space="preserve">5. Process</w:t>
      </w:r>
    </w:p>
    <w:p>
      <w:pPr>
        <w:pStyle w:val="FirstParagraph"/>
      </w:pPr>
      <w:r>
        <w:t xml:space="preserve">The configuration identification process consists of the activities below. The process is iterative: CI selection begins early (typically before or at the system functional/requirements reviews) and is revisited as the design matures and at each baseline establishment.</w:t>
      </w:r>
    </w:p>
    <w:bookmarkStart w:id="32" w:name="overall-process-inputs"/>
    <w:p>
      <w:pPr>
        <w:pStyle w:val="Heading2"/>
      </w:pPr>
      <w:r>
        <w:t xml:space="preserve">5.1 Overall Process Inputs</w:t>
      </w:r>
    </w:p>
    <w:p>
      <w:pPr>
        <w:pStyle w:val="FirstParagraph"/>
      </w:pPr>
      <w:r>
        <w:t xml:space="preserve">The following are inputs to the process as a whole. Each subsequent section additionally identifies its specific inputs and outputs; an output of one section is typically an input to the next.</w:t>
      </w:r>
    </w:p>
    <w:p>
      <w:pPr>
        <w:numPr>
          <w:ilvl w:val="0"/>
          <w:numId w:val="1001"/>
        </w:numPr>
      </w:pPr>
      <w:r>
        <w:t xml:space="preserve">System architecture and product structure, including the MBSE model where one exists</w:t>
      </w:r>
    </w:p>
    <w:p>
      <w:pPr>
        <w:numPr>
          <w:ilvl w:val="0"/>
          <w:numId w:val="1001"/>
        </w:numPr>
      </w:pPr>
      <w:r>
        <w:t xml:space="preserve">Program Work Breakdown Structure (WBS) and contract line items</w:t>
      </w:r>
    </w:p>
    <w:p>
      <w:pPr>
        <w:numPr>
          <w:ilvl w:val="0"/>
          <w:numId w:val="1001"/>
        </w:numPr>
      </w:pPr>
      <w:r>
        <w:t xml:space="preserve">System, item, and interface specifications; interface definitions</w:t>
      </w:r>
    </w:p>
    <w:p>
      <w:pPr>
        <w:numPr>
          <w:ilvl w:val="0"/>
          <w:numId w:val="1001"/>
        </w:numPr>
      </w:pPr>
      <w:r>
        <w:t xml:space="preserve">Contract requirements, SOW, and CDRLs (including any Acquirer-directed CI designations)</w:t>
      </w:r>
    </w:p>
    <w:p>
      <w:pPr>
        <w:numPr>
          <w:ilvl w:val="0"/>
          <w:numId w:val="1001"/>
        </w:numPr>
      </w:pPr>
      <w:r>
        <w:t xml:space="preserve">Hazard analyses and safety-critical item lists</w:t>
      </w:r>
    </w:p>
    <w:p>
      <w:pPr>
        <w:numPr>
          <w:ilvl w:val="0"/>
          <w:numId w:val="1001"/>
        </w:numPr>
      </w:pPr>
      <w:r>
        <w:t xml:space="preserve">Supportability/logistics planning products (provisioning strategy, maintenance concept)</w:t>
      </w:r>
    </w:p>
    <w:p>
      <w:pPr>
        <w:numPr>
          <w:ilvl w:val="0"/>
          <w:numId w:val="1001"/>
        </w:numPr>
      </w:pPr>
      <w:r>
        <w:t xml:space="preserve">Program CMP</w:t>
      </w:r>
    </w:p>
    <w:bookmarkEnd w:id="32"/>
    <w:bookmarkStart w:id="34" w:name="candidate-ci-identification"/>
    <w:p>
      <w:pPr>
        <w:pStyle w:val="Heading2"/>
      </w:pPr>
      <w:r>
        <w:t xml:space="preserve">5.2 Candidate CI Identification</w:t>
      </w:r>
    </w:p>
    <w:p>
      <w:pPr>
        <w:pStyle w:val="FirstParagraph"/>
      </w:pPr>
      <w:r>
        <w:rPr>
          <w:bCs/>
          <w:b/>
        </w:rPr>
        <w:t xml:space="preserve">Inputs: </w:t>
      </w:r>
      <w:r>
        <w:t xml:space="preserve">Product structure/WBS; system architecture and MBSE model; contract, SOW, and CDRLs including Acquirer-directed designations; SMS hazard analyses and safety-critical item lists; supportability planning products.</w:t>
      </w:r>
    </w:p>
    <w:p>
      <w:pPr>
        <w:pStyle w:val="BodyText"/>
      </w:pPr>
      <w:r>
        <w:rPr>
          <w:bCs/>
          <w:b/>
        </w:rPr>
        <w:t xml:space="preserve">Outputs: </w:t>
      </w:r>
      <w:r>
        <w:t xml:space="preserve">Candidate CI list; decomposition basis for the CI structure (MBSE scheme per the alignment requirement, or engineering product structure).</w:t>
      </w:r>
    </w:p>
    <w:p>
      <w:pPr>
        <w:pStyle w:val="BodyText"/>
      </w:pPr>
      <w:r>
        <w:rPr>
          <w:bCs/>
          <w:b/>
        </w:rPr>
        <w:t xml:space="preserve">Who does what. CM nominates the candidates.</w:t>
      </w:r>
      <w:r>
        <w:t xml:space="preserve"> A CM engineer builds the candidate set by reading the source material, not by waiting to be handed a list. CM works through the system and item specifications, the MBSE architecture and its decomposition, the hazard analyses and safety-critical item lists, the failure modes and criticality analyses, the provisioning and support plans, and the procurement statements of work. CM asks the questions each source raises and records the answers. The supporting functions maintain and explain their own products. </w:t>
      </w:r>
      <w:r>
        <w:rPr>
          <w:bCs/>
          <w:b/>
        </w:rPr>
        <w:t xml:space="preserve">Systems Engineering</w:t>
      </w:r>
      <w:r>
        <w:t xml:space="preserve"> maintains the architecture and answers on decomposition and function. </w:t>
      </w:r>
      <w:r>
        <w:rPr>
          <w:bCs/>
          <w:b/>
        </w:rPr>
        <w:t xml:space="preserve">System Safety</w:t>
      </w:r>
      <w:r>
        <w:t xml:space="preserve"> and </w:t>
      </w:r>
      <w:r>
        <w:rPr>
          <w:bCs/>
          <w:b/>
        </w:rPr>
        <w:t xml:space="preserve">SMS</w:t>
      </w:r>
      <w:r>
        <w:t xml:space="preserve"> maintain the hazard analyses and answer on safety consequence. </w:t>
      </w:r>
      <w:r>
        <w:rPr>
          <w:bCs/>
          <w:b/>
        </w:rPr>
        <w:t xml:space="preserve">RM&amp;SH</w:t>
      </w:r>
      <w:r>
        <w:t xml:space="preserve"> maintains the failure modes and criticality analyses and answers on failure consequence, single point failures, and life limits. </w:t>
      </w:r>
      <w:r>
        <w:rPr>
          <w:bCs/>
          <w:b/>
        </w:rPr>
        <w:t xml:space="preserve">Human Factors</w:t>
      </w:r>
      <w:r>
        <w:t xml:space="preserve"> answers where operation or maintenance carries human error consequence. </w:t>
      </w:r>
      <w:r>
        <w:rPr>
          <w:bCs/>
          <w:b/>
        </w:rPr>
        <w:t xml:space="preserve">Logistics</w:t>
      </w:r>
      <w:r>
        <w:t xml:space="preserve"> answers on provisioning, technical manuals, and support equipment. </w:t>
      </w:r>
      <w:r>
        <w:rPr>
          <w:bCs/>
          <w:b/>
        </w:rPr>
        <w:t xml:space="preserve">Supplier Requirements Engineering, Equipment Managers, and Responsible Engineers</w:t>
      </w:r>
      <w:r>
        <w:t xml:space="preserve"> answer on what is procured and at what level. Those functions supply the data. </w:t>
      </w:r>
      <w:r>
        <w:rPr>
          <w:bCs/>
          <w:b/>
        </w:rPr>
        <w:t xml:space="preserve">CM decides what enters the candidate set.</w:t>
      </w:r>
    </w:p>
    <w:p>
      <w:pPr>
        <w:pStyle w:val="BodyText"/>
      </w:pPr>
      <w:r>
        <w:t xml:space="preserve">Identify candidate CIs by top-down decomposition of the system engineering architecture. Either the Acquirer or the Supplier may make initial top-level recommendations, but the Supplier is responsible for the comprehensive recommendation.</w:t>
      </w:r>
    </w:p>
    <w:p>
      <w:pPr>
        <w:pStyle w:val="BodyText"/>
      </w:pPr>
      <w:r>
        <w:t xml:space="preserve">The top tier of candidates normally corresponds to contract line items. Lower-level candidates are nominated via the selection criteria screen.</w:t>
      </w:r>
    </w:p>
    <w:p>
      <w:pPr>
        <w:pStyle w:val="BodyText"/>
      </w:pPr>
      <w:r>
        <w:t xml:space="preserve">Items flagged as safety-critical are included in the candidate set and screened against the selection criteria.</w:t>
      </w:r>
    </w:p>
    <w:bookmarkStart w:id="33" w:name="mbse-alignment-requirement"/>
    <w:p>
      <w:pPr>
        <w:pStyle w:val="Heading3"/>
      </w:pPr>
      <w:r>
        <w:t xml:space="preserve">5.2.1 MBSE Alignment Requirement</w:t>
      </w:r>
    </w:p>
    <w:p>
      <w:pPr>
        <w:pStyle w:val="FirstParagraph"/>
      </w:pPr>
      <w:r>
        <w:t xml:space="preserve">Where MBSE is used on the program, the CI structure (CI parent-child relationships) mirrors the decomposition method of the MBSE architecture. The preferred decomposition schemes are the ATA chapter scheme or the S1000D SNS, implemented using SysML or UAF conventions. Where the program MBSE model uses a different decomposition scheme, the CI structure mirrors that scheme. The CI hierarchy and the architecture model do not diverge. See the MBSE-to-CI structure alignment guidance of this process.</w:t>
      </w:r>
    </w:p>
    <w:p>
      <w:pPr>
        <w:pStyle w:val="BodyText"/>
      </w:pPr>
      <w:r>
        <w:t xml:space="preserve">Where no MBSE model exists, the CI structure may follow specification decomposition methods or certification decomposition methods. It does not follow the engineering bill of material. The bill of material is organized for building the product, and building it is not the only thing the CI structure has to serve.</w:t>
      </w:r>
    </w:p>
    <w:bookmarkEnd w:id="33"/>
    <w:bookmarkEnd w:id="34"/>
    <w:bookmarkStart w:id="36" w:name="application-of-ci-selection-criteria"/>
    <w:p>
      <w:pPr>
        <w:pStyle w:val="Heading2"/>
      </w:pPr>
      <w:r>
        <w:t xml:space="preserve">5.3 Application of CI Selection Criteria</w:t>
      </w:r>
    </w:p>
    <w:p>
      <w:pPr>
        <w:pStyle w:val="FirstParagraph"/>
      </w:pPr>
      <w:r>
        <w:rPr>
          <w:bCs/>
          <w:b/>
        </w:rPr>
        <w:t xml:space="preserve">Inputs: </w:t>
      </w:r>
      <w:r>
        <w:t xml:space="preserve">Candidate CI list; specifications; SMS safety-critical item lists; the CI selection criteria checklist; GEIA-HB-649A Appendix D supplemental criteria where applied.</w:t>
      </w:r>
    </w:p>
    <w:p>
      <w:pPr>
        <w:pStyle w:val="BodyText"/>
      </w:pPr>
      <w:r>
        <w:rPr>
          <w:bCs/>
          <w:b/>
        </w:rPr>
        <w:t xml:space="preserve">Outputs: </w:t>
      </w:r>
      <w:r>
        <w:t xml:space="preserve">Completed selection criteria assessments with documented rationale for every candidate; selected-CI determinations; System Safety concurrence records where applicable.</w:t>
      </w:r>
    </w:p>
    <w:p>
      <w:pPr>
        <w:pStyle w:val="BodyText"/>
      </w:pPr>
      <w:r>
        <w:rPr>
          <w:bCs/>
          <w:b/>
        </w:rPr>
        <w:t xml:space="preserve">Who does what. CM applies the screen and makes the selection determination.</w:t>
      </w:r>
      <w:r>
        <w:t xml:space="preserve"> CM records the determination and rationale for every candidate and owns the completed checklist. CM does not re-perform another function’s domain analysis. CM reads that analysis, applies the criteria to it, and asks where the basis is unclear. </w:t>
      </w:r>
      <w:r>
        <w:rPr>
          <w:bCs/>
          <w:b/>
        </w:rPr>
        <w:t xml:space="preserve">Systems Engineering</w:t>
      </w:r>
      <w:r>
        <w:t xml:space="preserve"> concurs on the end-use function gate and on the specification and interface criteria. </w:t>
      </w:r>
      <w:r>
        <w:rPr>
          <w:bCs/>
          <w:b/>
        </w:rPr>
        <w:t xml:space="preserve">System Safety</w:t>
      </w:r>
      <w:r>
        <w:t xml:space="preserve"> concurs on the rationale where criterion (b) was answered yes and the item is not designated as a CI. A yes on criterion (b) that leads to designation needs no concurrence, because designation is the outcome the criterion exists to produce. The concurrence is what makes a decision </w:t>
      </w:r>
      <w:r>
        <w:rPr>
          <w:iCs/>
          <w:i/>
        </w:rPr>
        <w:t xml:space="preserve">not</w:t>
      </w:r>
      <w:r>
        <w:t xml:space="preserve"> to designate a safety-critical item visible. </w:t>
      </w:r>
      <w:r>
        <w:rPr>
          <w:bCs/>
          <w:b/>
        </w:rPr>
        <w:t xml:space="preserve">RM&amp;SH</w:t>
      </w:r>
      <w:r>
        <w:t xml:space="preserve"> concurs where the determination rests on failure modes and effects or criticality analysis, single point or common mode failure identification, or a maintainability or health-monitoring driven limit. </w:t>
      </w:r>
      <w:r>
        <w:rPr>
          <w:bCs/>
          <w:b/>
        </w:rPr>
        <w:t xml:space="preserve">Human Factors</w:t>
      </w:r>
      <w:r>
        <w:t xml:space="preserve"> advises where the consequence pathway runs through operator or maintainer action. </w:t>
      </w:r>
      <w:r>
        <w:rPr>
          <w:bCs/>
          <w:b/>
        </w:rPr>
        <w:t xml:space="preserve">Logistics</w:t>
      </w:r>
      <w:r>
        <w:t xml:space="preserve"> concurs on the logistics elements criterion. </w:t>
      </w:r>
      <w:r>
        <w:rPr>
          <w:bCs/>
          <w:b/>
        </w:rPr>
        <w:t xml:space="preserve">Equipment Managers and Responsible Engineers</w:t>
      </w:r>
      <w:r>
        <w:t xml:space="preserve"> supply the engineering basis and configuration documentation from their suppliers for their items. </w:t>
      </w:r>
      <w:r>
        <w:rPr>
          <w:bCs/>
          <w:b/>
        </w:rPr>
        <w:t xml:space="preserve">CI selection is a CM decision.</w:t>
      </w:r>
      <w:r>
        <w:t xml:space="preserve"> The concurrences confirm that the technical basis is sound. They do not make the selection.</w:t>
      </w:r>
    </w:p>
    <w:p>
      <w:pPr>
        <w:pStyle w:val="BodyText"/>
      </w:pPr>
      <w:r>
        <w:t xml:space="preserve">Screen each candidate through three qualifying gates, then the criteria screen. All three gates must be passed before the criteria screen is run:</w:t>
      </w:r>
    </w:p>
    <w:p>
      <w:pPr>
        <w:numPr>
          <w:ilvl w:val="0"/>
          <w:numId w:val="1002"/>
        </w:numPr>
      </w:pPr>
      <w:r>
        <w:t xml:space="preserve">Item gate. Confirm the candidate is an item, rather than a function, task, failure mode, feature, or location. A candidate that is not an item cannot be designated as a CI. It is a signal that items worth screening sit nearby. Ask for the items that implement it and screen those.</w:t>
      </w:r>
    </w:p>
    <w:p>
      <w:pPr>
        <w:numPr>
          <w:ilvl w:val="0"/>
          <w:numId w:val="1002"/>
        </w:numPr>
      </w:pPr>
      <w:r>
        <w:t xml:space="preserve">End-use function gate. Confirm the item satisfies a system end-use function. Items with no end-use function (raw materials, bulk commodities, purely structural elements with no defined functional role) are not CIs and are controlled within their parent CI’s configuration documentation.</w:t>
      </w:r>
      <w:r>
        <w:t xml:space="preserve"> A structural component that carries flight, ground, or pressurization loads satisfies this gate. The gate excludes structure with no defined functional role. It does not exclude load-carrying structure.</w:t>
      </w:r>
    </w:p>
    <w:p>
      <w:pPr>
        <w:numPr>
          <w:ilvl w:val="0"/>
          <w:numId w:val="1002"/>
        </w:numPr>
      </w:pPr>
      <w:r>
        <w:t xml:space="preserve">Supplier-designed parent gate. Confirm the item is not a child of a commercial off-the-shelf, catalog, or vendor item procured inseparable from that parent. Where it is, screen the procured parent item instead. Do not decompose a supplier-designed item to run this screen. Record the parent and stop.</w:t>
      </w:r>
    </w:p>
    <w:p>
      <w:pPr>
        <w:numPr>
          <w:ilvl w:val="0"/>
          <w:numId w:val="1002"/>
        </w:numPr>
      </w:pPr>
      <w:r>
        <w:t xml:space="preserve">Criteria screen. Designate the item as a CI if it meets or impacts one or more of the EIA-649-1A §3.2.1 criteria listed in Table 5-1. The CI selection criteria checklist of this process provides the assessment; GEIA-HB-649A Appendix D provides an expanded criteria set that may be applied as supplemental screening at program discretion.</w:t>
      </w:r>
    </w:p>
    <w:p>
      <w:pPr>
        <w:pStyle w:val="FirstParagraph"/>
      </w:pPr>
      <w:r>
        <w:rPr>
          <w:bCs/>
          <w:b/>
        </w:rPr>
        <w:t xml:space="preserve">Table 5-1. CI Selection Criteria (EIA-649-1A §3.2.1(2))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Criterion</w:t>
            </w:r>
          </w:p>
        </w:tc>
        <w:tc>
          <w:tcPr/>
          <w:p>
            <w:pPr>
              <w:pStyle w:val="Compact"/>
              <w:jc w:val="left"/>
            </w:pPr>
            <w:r>
              <w:rPr>
                <w:bCs/>
                <w:b/>
              </w:rPr>
              <w:t xml:space="preserve">Description</w:t>
            </w:r>
          </w:p>
        </w:tc>
      </w:tr>
      <w:tr>
        <w:tc>
          <w:tcPr/>
          <w:p>
            <w:pPr>
              <w:pStyle w:val="Compact"/>
              <w:jc w:val="left"/>
            </w:pPr>
            <w:r>
              <w:t xml:space="preserve">(a)</w:t>
            </w:r>
          </w:p>
        </w:tc>
        <w:tc>
          <w:tcPr/>
          <w:p>
            <w:pPr>
              <w:pStyle w:val="Compact"/>
              <w:jc w:val="left"/>
            </w:pPr>
            <w:r>
              <w:t xml:space="preserve">Critical to the functioning of the system</w:t>
            </w:r>
          </w:p>
        </w:tc>
      </w:tr>
      <w:tr>
        <w:tc>
          <w:tcPr/>
          <w:p>
            <w:pPr>
              <w:pStyle w:val="Compact"/>
              <w:jc w:val="left"/>
            </w:pPr>
            <w:r>
              <w:t xml:space="preserve">(b)</w:t>
            </w:r>
          </w:p>
        </w:tc>
        <w:tc>
          <w:tcPr/>
          <w:p>
            <w:pPr>
              <w:pStyle w:val="Compact"/>
              <w:jc w:val="left"/>
            </w:pPr>
            <w:r>
              <w:t xml:space="preserve">Failure might result in serious injury, loss of life, or loss of primary system capability</w:t>
            </w:r>
          </w:p>
        </w:tc>
      </w:tr>
      <w:tr>
        <w:tc>
          <w:tcPr/>
          <w:p>
            <w:pPr>
              <w:pStyle w:val="Compact"/>
              <w:jc w:val="left"/>
            </w:pPr>
            <w:r>
              <w:t xml:space="preserve">(c)</w:t>
            </w:r>
          </w:p>
        </w:tc>
        <w:tc>
          <w:tcPr/>
          <w:p>
            <w:pPr>
              <w:pStyle w:val="Compact"/>
              <w:jc w:val="left"/>
            </w:pPr>
            <w:r>
              <w:t xml:space="preserve">Technology is complex, not well known, and critical to acquisition, operational, or supportability goals</w:t>
            </w:r>
          </w:p>
        </w:tc>
      </w:tr>
      <w:tr>
        <w:tc>
          <w:tcPr/>
          <w:p>
            <w:pPr>
              <w:pStyle w:val="Compact"/>
              <w:jc w:val="left"/>
            </w:pPr>
            <w:r>
              <w:t xml:space="preserve">(d)</w:t>
            </w:r>
          </w:p>
        </w:tc>
        <w:tc>
          <w:tcPr/>
          <w:p>
            <w:pPr>
              <w:pStyle w:val="Compact"/>
              <w:jc w:val="left"/>
            </w:pPr>
            <w:r>
              <w:t xml:space="preserve">The item is under control as designated by the Acquirer</w:t>
            </w:r>
          </w:p>
        </w:tc>
      </w:tr>
      <w:tr>
        <w:tc>
          <w:tcPr/>
          <w:p>
            <w:pPr>
              <w:pStyle w:val="Compact"/>
              <w:jc w:val="left"/>
            </w:pPr>
            <w:r>
              <w:t xml:space="preserve">(e)</w:t>
            </w:r>
          </w:p>
        </w:tc>
        <w:tc>
          <w:tcPr/>
          <w:p>
            <w:pPr>
              <w:pStyle w:val="Compact"/>
              <w:jc w:val="left"/>
            </w:pPr>
            <w:r>
              <w:t xml:space="preserve">Requires separate type designation, versions, or nomenclatures</w:t>
            </w:r>
          </w:p>
        </w:tc>
      </w:tr>
      <w:tr>
        <w:tc>
          <w:tcPr/>
          <w:p>
            <w:pPr>
              <w:pStyle w:val="Compact"/>
              <w:jc w:val="left"/>
            </w:pPr>
            <w:r>
              <w:t xml:space="preserve">(f)</w:t>
            </w:r>
          </w:p>
        </w:tc>
        <w:tc>
          <w:tcPr/>
          <w:p>
            <w:pPr>
              <w:pStyle w:val="Compact"/>
              <w:jc w:val="left"/>
            </w:pPr>
            <w:r>
              <w:t xml:space="preserve">Critical or high risk; failure would have significant financial impact</w:t>
            </w:r>
          </w:p>
        </w:tc>
      </w:tr>
      <w:tr>
        <w:tc>
          <w:tcPr/>
          <w:p>
            <w:pPr>
              <w:pStyle w:val="Compact"/>
              <w:jc w:val="left"/>
            </w:pPr>
            <w:r>
              <w:t xml:space="preserve">(g)</w:t>
            </w:r>
          </w:p>
        </w:tc>
        <w:tc>
          <w:tcPr/>
          <w:p>
            <w:pPr>
              <w:pStyle w:val="Compact"/>
              <w:jc w:val="left"/>
            </w:pPr>
            <w:r>
              <w:t xml:space="preserve">Requires dedicated logistics support elements (e.g.,APL/AEL/ACL provisioning lists, special test equipment, technical manuals, PMS MIP/MRC, danger/caution tag-out)</w:t>
            </w:r>
          </w:p>
        </w:tc>
      </w:tr>
    </w:tbl>
    <w:p>
      <w:pPr>
        <w:pStyle w:val="BodyText"/>
      </w:pPr>
      <w:r>
        <w:rPr>
          <w:bCs/>
          <w:b/>
        </w:rPr>
        <w:t xml:space="preserve">Additional rules:</w:t>
      </w:r>
    </w:p>
    <w:p>
      <w:pPr>
        <w:numPr>
          <w:ilvl w:val="0"/>
          <w:numId w:val="1003"/>
        </w:numPr>
      </w:pPr>
      <w:r>
        <w:t xml:space="preserve">Software: computer software is designated as CIs (CSCIs).</w:t>
      </w:r>
    </w:p>
    <w:p>
      <w:pPr>
        <w:numPr>
          <w:ilvl w:val="0"/>
          <w:numId w:val="1003"/>
        </w:numPr>
      </w:pPr>
      <w:r>
        <w:t xml:space="preserve">Safety linkage: any item identified as safety-critical is screened against criterion (b) and, where applicable, criterion (a). Such items will nearly always qualify. Consider both direct failure modes and cascading effects. System Safety concurrence is required if criterion (b) was answered yes and the item is not designated as a CI.</w:t>
      </w:r>
    </w:p>
    <w:p>
      <w:pPr>
        <w:numPr>
          <w:ilvl w:val="0"/>
          <w:numId w:val="1003"/>
        </w:numPr>
      </w:pPr>
      <w:r>
        <w:t xml:space="preserve">Mandatory for safety: criterion (b), that failure of the item might result in serious injury, loss of life, or loss of primary system capability, is mandatory for safety. It serves as a barrier against severe and catastrophic consequences. On safety-significant product lines it is performed regardless of contract flow-down.</w:t>
      </w:r>
    </w:p>
    <w:p>
      <w:pPr>
        <w:numPr>
          <w:ilvl w:val="0"/>
          <w:numId w:val="1003"/>
        </w:numPr>
      </w:pPr>
      <w:r>
        <w:t xml:space="preserve">Rationale: document the assessment result and rationale for every candidate, whether selected as a CI or not. Retain per the records and retention requirements of this process.</w:t>
      </w:r>
    </w:p>
    <w:p>
      <w:pPr>
        <w:numPr>
          <w:ilvl w:val="0"/>
          <w:numId w:val="1003"/>
        </w:numPr>
      </w:pPr>
      <w:r>
        <w:t xml:space="preserve">Level of selection: select CIs at the optimum level for both acquisition and support: the level at which items are specified, contracted, accepted, and at which logistics organizes and reports maintenance and modification actions. Avoid over-designation (unmanageable change traffic) and under-designation (loss of visibility and control).</w:t>
      </w:r>
    </w:p>
    <w:bookmarkStart w:id="35" w:name="same-ci-or-separate-cis"/>
    <w:p>
      <w:pPr>
        <w:pStyle w:val="Heading3"/>
      </w:pPr>
      <w:r>
        <w:t xml:space="preserve">5.3.1 Same CI or Separate CIs</w:t>
      </w:r>
    </w:p>
    <w:p>
      <w:pPr>
        <w:pStyle w:val="FirstParagraph"/>
      </w:pPr>
      <w:r>
        <w:t xml:space="preserve">The selection criteria screen decides whether an item is a CI. It does not decide how many CI identifiers a set of related items receives. That is a separate question and it is asked often.</w:t>
      </w:r>
    </w:p>
    <w:p>
      <w:pPr>
        <w:pStyle w:val="BodyText"/>
      </w:pPr>
      <w:r>
        <w:t xml:space="preserve">Two or more items carry different PINs and appear closely related. They may share one CI identifier with PIN variants, or they may be separate CIs. One PIN installed in more than one place raises the reverse question. Neither question is answered by the part numbers.</w:t>
      </w:r>
    </w:p>
    <w:p>
      <w:pPr>
        <w:pStyle w:val="BodyText"/>
      </w:pPr>
      <w:r>
        <w:rPr>
          <w:bCs/>
          <w:b/>
        </w:rPr>
        <w:t xml:space="preserve">The CI identifier follows function and the management need for separate configuration control. The PIN follows form, fit, and function.</w:t>
      </w:r>
      <w:r>
        <w:t xml:space="preserve"> The two identifiers are decoupled on purpose.</w:t>
      </w:r>
    </w:p>
    <w:p>
      <w:pPr>
        <w:pStyle w:val="BodyText"/>
      </w:pPr>
      <w:r>
        <w:t xml:space="preserve">Screen these cases through the same-CI decision aid in the appendices. It applies the same criteria used here and returns one of four verdicts: not CI candidates, parts rather than CIs, separate CIs, or one CI with multiple PIN variants. Record the verdict and the rationale on the CI selection criteria checklist with the rest of the screen.</w:t>
      </w:r>
    </w:p>
    <w:bookmarkEnd w:id="35"/>
    <w:bookmarkEnd w:id="36"/>
    <w:bookmarkStart w:id="38" w:name="ci-structure-and-hierarchy"/>
    <w:p>
      <w:pPr>
        <w:pStyle w:val="Heading2"/>
      </w:pPr>
      <w:r>
        <w:t xml:space="preserve">5.4 CI Structure and Hierarchy</w:t>
      </w:r>
    </w:p>
    <w:p>
      <w:pPr>
        <w:pStyle w:val="FirstParagraph"/>
      </w:pPr>
      <w:r>
        <w:rPr>
          <w:bCs/>
          <w:b/>
        </w:rPr>
        <w:t xml:space="preserve">Inputs: </w:t>
      </w:r>
      <w:r>
        <w:t xml:space="preserve">Selected-CI determinations; decomposition basis; contract identification of Acquirer-controlled levels.</w:t>
      </w:r>
    </w:p>
    <w:p>
      <w:pPr>
        <w:pStyle w:val="BodyText"/>
      </w:pPr>
      <w:r>
        <w:rPr>
          <w:bCs/>
          <w:b/>
        </w:rPr>
        <w:t xml:space="preserve">Outputs: </w:t>
      </w:r>
      <w:r>
        <w:t xml:space="preserve">CI hierarchy with parent/child relationships and owning design activity; Acquirer-controlled vs. Supplier-controlled distinctions per CI; initial CI index entries.</w:t>
      </w:r>
    </w:p>
    <w:p>
      <w:pPr>
        <w:pStyle w:val="BodyText"/>
      </w:pPr>
      <w:r>
        <w:rPr>
          <w:bCs/>
          <w:b/>
        </w:rPr>
        <w:t xml:space="preserve">Who does what. CM creates and owns the CI structure and hierarchy.</w:t>
      </w:r>
      <w:r>
        <w:t xml:space="preserve"> Systems Engineering decomposes the system architecture. CM builds the CI hierarchy to match that decomposition as closely as the selection criteria allow. The two are not always identical. The architecture decomposes function. The CI structure organizes what is separately specified, contracted, accepted, and supported. Where the two diverge, CM records why. CM assigns each CI its parent, its children, its owning design activity, and its control tier, and maintains the CI index. </w:t>
      </w:r>
      <w:r>
        <w:rPr>
          <w:bCs/>
          <w:b/>
        </w:rPr>
        <w:t xml:space="preserve">Systems Engineering</w:t>
      </w:r>
      <w:r>
        <w:t xml:space="preserve"> answers questions on the architecture and confirms the CI structure does not misrepresent the decomposition. </w:t>
      </w:r>
      <w:r>
        <w:rPr>
          <w:bCs/>
          <w:b/>
        </w:rPr>
        <w:t xml:space="preserve">Supplier Requirements Engineering</w:t>
      </w:r>
      <w:r>
        <w:t xml:space="preserve"> confirms the level at which each item is procured, which sets where the customer-facing CI sits for supplier-designed items. </w:t>
      </w:r>
      <w:r>
        <w:rPr>
          <w:bCs/>
          <w:b/>
        </w:rPr>
        <w:t xml:space="preserve">Equipment Managers and Responsible Engineers</w:t>
      </w:r>
      <w:r>
        <w:t xml:space="preserve"> confirm the structure matches how their equipment is specified and changed.</w:t>
      </w:r>
    </w:p>
    <w:p>
      <w:pPr>
        <w:pStyle w:val="BodyText"/>
      </w:pPr>
      <w:r>
        <w:t xml:space="preserve">Place each selected CI in the CI hierarchy, aligned per the MBSE alignment requirement. For each CI, record its parent, children, and owning design activity.</w:t>
      </w:r>
    </w:p>
    <w:p>
      <w:pPr>
        <w:pStyle w:val="BodyText"/>
      </w:pPr>
      <w:r>
        <w:t xml:space="preserve">Distinguish Acquirer-controlled CIs from lower-tier items subject to Supplier internal configuration management. Acquirer-controlled CIs are those the Acquirer specifies, baselines, and controls; below that level the Supplier determines items for internal CM and the documentation types to use. Subcontractor-developed items are CIs from the Supplier’s view and are flowed down with equivalent CM requirements.</w:t>
      </w:r>
    </w:p>
    <w:bookmarkStart w:id="37" w:name="Xa3fb89379b1f7486d766f52a4e01f03f82be057"/>
    <w:p>
      <w:pPr>
        <w:pStyle w:val="Heading3"/>
      </w:pPr>
      <w:r>
        <w:t xml:space="preserve">5.4.1 Supplier-Designed Items Are Not Decomposed</w:t>
      </w:r>
    </w:p>
    <w:p>
      <w:pPr>
        <w:pStyle w:val="FirstParagraph"/>
      </w:pPr>
      <w:r>
        <w:rPr>
          <w:bCs/>
          <w:b/>
        </w:rPr>
        <w:t xml:space="preserve">Do not decompose a supplier-designed item to identify customer-facing CIs.</w:t>
      </w:r>
      <w:r>
        <w:t xml:space="preserve"> Where the supplier holds the design and the company procures the item as a unit, the customer-facing CI is the item as procured. This applies to:</w:t>
      </w:r>
    </w:p>
    <w:p>
      <w:pPr>
        <w:numPr>
          <w:ilvl w:val="0"/>
          <w:numId w:val="1004"/>
        </w:numPr>
      </w:pPr>
      <w:r>
        <w:rPr>
          <w:bCs/>
          <w:b/>
        </w:rPr>
        <w:t xml:space="preserve">Vendor items, commercial off-the-shelf items, and catalog items.</w:t>
      </w:r>
      <w:r>
        <w:t xml:space="preserve"> The vendor holds the design. The company controls selection through a vendor item control drawing, not the internals. The procured item is the CI.</w:t>
      </w:r>
    </w:p>
    <w:p>
      <w:pPr>
        <w:numPr>
          <w:ilvl w:val="0"/>
          <w:numId w:val="1004"/>
        </w:numPr>
      </w:pPr>
      <w:r>
        <w:rPr>
          <w:bCs/>
          <w:b/>
        </w:rPr>
        <w:t xml:space="preserve">Major supplier-designed assemblies procured as a unit,</w:t>
      </w:r>
      <w:r>
        <w:t xml:space="preserve"> such as an engine supplied by an engine manufacturer. The supplier holds design authority, qualifies the item, and delivers it whole. The CI is the engine, not its modules, accessories, or piece parts.</w:t>
      </w:r>
    </w:p>
    <w:p>
      <w:pPr>
        <w:pStyle w:val="FirstParagraph"/>
      </w:pPr>
      <w:r>
        <w:t xml:space="preserve">The reason is that a CI carries obligations the company must be able to meet. Decomposing below the level at which the item is procured creates CIs whose configuration the company does not control, cannot baseline against its own documentation, and cannot audit. It also generates change traffic nobody is able to action, and an as-built structure the supplier does not recognize. Selecting at the procurement level keeps the CI at the level where specification, contracting, acceptance, and change all actually occur.</w:t>
      </w:r>
    </w:p>
    <w:p>
      <w:pPr>
        <w:pStyle w:val="BodyText"/>
      </w:pPr>
      <w:r>
        <w:rPr>
          <w:bCs/>
          <w:b/>
        </w:rPr>
        <w:t xml:space="preserve">Four things this rule does not do.</w:t>
      </w:r>
      <w:r>
        <w:t xml:space="preserve"> Not decomposing is not the same as not controlling:</w:t>
      </w:r>
    </w:p>
    <w:p>
      <w:pPr>
        <w:numPr>
          <w:ilvl w:val="0"/>
          <w:numId w:val="1005"/>
        </w:numPr>
      </w:pPr>
      <w:r>
        <w:rPr>
          <w:bCs/>
          <w:b/>
        </w:rPr>
        <w:t xml:space="preserve">Part attribute identification</w:t>
      </w:r>
      <w:r>
        <w:t xml:space="preserve">** still appl****ies ****inside the item.** Safety-critical, life-limited, and special handling attributes and identifiers attach to parts within a procured item regardless of whether those parts are CIs. Engine life-limited parts are the standard example: they are not customer-facing CIs, and they are individually serialized, life tracked, and traceable. Part attribute identification and CI selection are separate decisions.</w:t>
      </w:r>
    </w:p>
    <w:p>
      <w:pPr>
        <w:numPr>
          <w:ilvl w:val="0"/>
          <w:numId w:val="1005"/>
        </w:numPr>
      </w:pPr>
      <w:r>
        <w:rPr>
          <w:bCs/>
          <w:b/>
        </w:rPr>
        <w:t xml:space="preserve">The item can still be designated for audit.</w:t>
      </w:r>
      <w:r>
        <w:t xml:space="preserve"> A procured engine or vendor item CI may be designated for a configuration audit at the procurement level, and the supplier’s audit role follows from the type of work it performs.</w:t>
      </w:r>
    </w:p>
    <w:p>
      <w:pPr>
        <w:numPr>
          <w:ilvl w:val="0"/>
          <w:numId w:val="1005"/>
        </w:numPr>
      </w:pPr>
      <w:r>
        <w:rPr>
          <w:bCs/>
          <w:b/>
        </w:rPr>
        <w:t xml:space="preserve">Interfaces at the item boundary are still registered.</w:t>
      </w:r>
      <w:r>
        <w:t xml:space="preserve"> The boundary between the procured item and the rest of the system is an interface like any other and is recorded in the interface register.</w:t>
      </w:r>
    </w:p>
    <w:p>
      <w:pPr>
        <w:numPr>
          <w:ilvl w:val="0"/>
          <w:numId w:val="1005"/>
        </w:numPr>
      </w:pPr>
      <w:r>
        <w:rPr>
          <w:bCs/>
          <w:b/>
        </w:rPr>
        <w:t xml:space="preserve">The supplier still holds its own structure.</w:t>
      </w:r>
      <w:r>
        <w:t xml:space="preserve"> The supplier maintains CIs internally at whatever level its own design authority requires, and the sub-supplier CM flowdown process determines what it owes upward. Those are supplier relationship CIs, not customer-facing ones.</w:t>
      </w:r>
    </w:p>
    <w:p>
      <w:pPr>
        <w:pStyle w:val="FirstParagraph"/>
      </w:pPr>
      <w:r>
        <w:t xml:space="preserve">The company may later take on design authority for a supplier-designed item. Acquiring the data rights or initiating a company-controlled modification are the usual routes. Where that happens, re-run identification per the maintenance and iteration section. The rule follows design authority, not the item.</w:t>
      </w:r>
    </w:p>
    <w:bookmarkEnd w:id="37"/>
    <w:bookmarkEnd w:id="38"/>
    <w:bookmarkStart w:id="42" w:name="X56dda57a2f94b6549ad7a8f557ed356c8e20028"/>
    <w:p>
      <w:pPr>
        <w:pStyle w:val="Heading2"/>
      </w:pPr>
      <w:r>
        <w:t xml:space="preserve">5.5 Interface Identification Verification and Recording</w:t>
      </w:r>
    </w:p>
    <w:p>
      <w:pPr>
        <w:pStyle w:val="FirstParagraph"/>
      </w:pPr>
      <w:r>
        <w:rPr>
          <w:bCs/>
          <w:b/>
        </w:rPr>
        <w:t xml:space="preserve">Inputs: </w:t>
      </w:r>
      <w:r>
        <w:t xml:space="preserve">CI hierarchy; SE-identified interface requirements; MBSE interface elements where a model exists; ICWG designation where applicable.</w:t>
      </w:r>
    </w:p>
    <w:p>
      <w:pPr>
        <w:pStyle w:val="BodyText"/>
      </w:pPr>
      <w:r>
        <w:rPr>
          <w:bCs/>
          <w:b/>
        </w:rPr>
        <w:t xml:space="preserve">Outputs: </w:t>
      </w:r>
      <w:r>
        <w:t xml:space="preserve">Interface register; coverage verification records; SE-signed no-interface determinations.</w:t>
      </w:r>
    </w:p>
    <w:p>
      <w:pPr>
        <w:pStyle w:val="BodyText"/>
      </w:pPr>
      <w:r>
        <w:rPr>
          <w:bCs/>
          <w:b/>
        </w:rPr>
        <w:t xml:space="preserve">Who does what. CM owns the boundary set, because CM owns the CI structure.</w:t>
      </w:r>
      <w:r>
        <w:t xml:space="preserve"> The CI hierarchy determines which boundaries exist, so CM derives the boundary list, maintains the interface register, verifies that every boundary is covered, and controls the interface documentation once baselined. </w:t>
      </w:r>
      <w:r>
        <w:rPr>
          <w:bCs/>
          <w:b/>
        </w:rPr>
        <w:t xml:space="preserve">Systems Engineering identifies what crosses each boundary</w:t>
      </w:r>
      <w:r>
        <w:t xml:space="preserve"> and signs no-interface determinations. The split is deliberate. CM owns coverage. Systems Engineering owns content. </w:t>
      </w:r>
      <w:r>
        <w:rPr>
          <w:bCs/>
          <w:b/>
        </w:rPr>
        <w:t xml:space="preserve">Human Factors</w:t>
      </w:r>
      <w:r>
        <w:t xml:space="preserve"> identifies human system interfaces at CI boundaries. </w:t>
      </w:r>
      <w:r>
        <w:rPr>
          <w:bCs/>
          <w:b/>
        </w:rPr>
        <w:t xml:space="preserve">System Safety</w:t>
      </w:r>
      <w:r>
        <w:t xml:space="preserve"> identifies interfaces that carry a hazard risk control. </w:t>
      </w:r>
      <w:r>
        <w:rPr>
          <w:bCs/>
          <w:b/>
        </w:rPr>
        <w:t xml:space="preserve">Supplier Requirements Engineering</w:t>
      </w:r>
      <w:r>
        <w:t xml:space="preserve"> confirms which supplier holds the boundary under contract.</w:t>
      </w:r>
    </w:p>
    <w:p>
      <w:pPr>
        <w:pStyle w:val="BodyText"/>
      </w:pPr>
      <w:r>
        <w:t xml:space="preserve">Interface requirement content is a Systems Engineering responsibility. Systems Engineering identifies internal interface requirements (between CIs within the system) and external interface requirements (with other systems, facilities, and support equipment) per EIA-649-1A §3.2.5, which is mandatory for safety, using the architecture and, where MBSE is used, the model’s interface definitions (e.g., SysML ports, connectors, and interface blocks; UAF resource connectivity). CM does not derive interface requirements. CM derives the boundary set from the CI structure it owns, records the interface identification against each boundary, verifies coverage, and controls the interface products once baselined.</w:t>
      </w:r>
    </w:p>
    <w:bookmarkStart w:id="39" w:name="interface-register"/>
    <w:p>
      <w:pPr>
        <w:pStyle w:val="Heading3"/>
      </w:pPr>
      <w:r>
        <w:t xml:space="preserve">5.5.1 Interface Register</w:t>
      </w:r>
    </w:p>
    <w:p>
      <w:pPr>
        <w:pStyle w:val="FirstParagraph"/>
      </w:pPr>
      <w:r>
        <w:t xml:space="preserve">Maintain an interface register keyed to the CI structure. The CI hierarchy defines a finite set of boundaries: every pair of interfacing sibling CIs, every boundary between the system and external systems, and every boundary between Acquirer-controlled and Supplier-controlled levels. For each boundary, the register records: interface identifier; the interfacing CIs (or CI and external system); the defining documentation and revision (specification section, interface specification, or ICD number); the controlling baseline; and the control authority (CCB and/or ICWG). Where a boundary has no interface, the register records an explicit “no interface” determination signed by Systems Engineering. No boundary is left blank.</w:t>
      </w:r>
    </w:p>
    <w:bookmarkEnd w:id="39"/>
    <w:bookmarkStart w:id="40" w:name="coverage-verification"/>
    <w:p>
      <w:pPr>
        <w:pStyle w:val="Heading3"/>
      </w:pPr>
      <w:r>
        <w:t xml:space="preserve">5.5.2 Coverage Verification</w:t>
      </w:r>
    </w:p>
    <w:p>
      <w:pPr>
        <w:pStyle w:val="FirstParagraph"/>
      </w:pPr>
      <w:r>
        <w:t xml:space="preserve">Verify coverage, not technical content: confirm that every boundary derived from the CI structure appears in the register with either identified interface documentation or a signed no-interface determination. Technical adequacy of interface requirements is verified by Systems Engineering and the technical review process, not by CM. Perform the coverage check at CI-list submittal for Acquirer concurrence, at each technical review, and prior to each baseline establishment. Where MBSE is used, additionally confirm that every interface element in the model resolves to a register row and vice versa, per the MBSE-to-CI structure alignment guidance of this process.</w:t>
      </w:r>
    </w:p>
    <w:bookmarkEnd w:id="40"/>
    <w:bookmarkStart w:id="41" w:name="X8205058f9b8c755732fdc6980166d4c70f27869"/>
    <w:p>
      <w:pPr>
        <w:pStyle w:val="Heading3"/>
      </w:pPr>
      <w:r>
        <w:t xml:space="preserve">5.5.3 Control of Interface Documentation Products</w:t>
      </w:r>
    </w:p>
    <w:p>
      <w:pPr>
        <w:pStyle w:val="FirstParagraph"/>
      </w:pPr>
      <w:r>
        <w:t xml:space="preserve">Confirm that interface specifications and ICDs (DI-SESS-81248 where contracted) are assigned document identifiers, released through the engineering release system, and included in the configuration documentation determination. Where the Acquirer operates an Interface Control Working Group (ICWG), allocate a company CM representative to the ICWG. That is mandatory for safety, and it is conditional on such a group existing. Record ICWG-controlled interfaces as such in the register.</w:t>
      </w:r>
    </w:p>
    <w:p>
      <w:pPr>
        <w:pStyle w:val="BodyText"/>
      </w:pPr>
      <w:r>
        <w:t xml:space="preserve">Interface requirement identification is mandatory for safety on the company. On safety-significant product lines it is performed regardless of contract flow-down, or dispositioned through the safety disposition gate defined in the CM planning and management process. The interface register and the coverage verification records are CM’s evidence that it was performed, and are the artifacts the program safety-requirement disposition record references. Interface requirements flow into the configuration documentation and are controlled once baselined. Both of those are also mandatory for safety.</w:t>
      </w:r>
    </w:p>
    <w:bookmarkEnd w:id="41"/>
    <w:bookmarkEnd w:id="42"/>
    <w:bookmarkStart w:id="43" w:name="acquirer-review-and-concurrence"/>
    <w:p>
      <w:pPr>
        <w:pStyle w:val="Heading2"/>
      </w:pPr>
      <w:r>
        <w:t xml:space="preserve">5.6 Acquirer Review and Concurrence</w:t>
      </w:r>
    </w:p>
    <w:p>
      <w:pPr>
        <w:pStyle w:val="FirstParagraph"/>
      </w:pPr>
      <w:r>
        <w:rPr>
          <w:bCs/>
          <w:b/>
        </w:rPr>
        <w:t xml:space="preserve">Inputs: </w:t>
      </w:r>
      <w:r>
        <w:t xml:space="preserve">Selected-CI determinations and rationale; CI hierarchy; interface register coverage check results; applicable CDRLs.</w:t>
      </w:r>
    </w:p>
    <w:p>
      <w:pPr>
        <w:pStyle w:val="BodyText"/>
      </w:pPr>
      <w:r>
        <w:rPr>
          <w:bCs/>
          <w:b/>
        </w:rPr>
        <w:t xml:space="preserve">Outputs: </w:t>
      </w:r>
      <w:r>
        <w:t xml:space="preserve">Concurrence submittal (DI-SESS-82007, DI-SESS-81254 where cited); Acquirer concurrence or direction records; concurred CI list.</w:t>
      </w:r>
    </w:p>
    <w:p>
      <w:pPr>
        <w:pStyle w:val="BodyText"/>
      </w:pPr>
      <w:r>
        <w:rPr>
          <w:bCs/>
          <w:b/>
        </w:rPr>
        <w:t xml:space="preserve">Who does what.</w:t>
      </w:r>
      <w:r>
        <w:t xml:space="preserve"> </w:t>
      </w:r>
      <w:r>
        <w:rPr>
          <w:bCs/>
          <w:b/>
        </w:rPr>
        <w:t xml:space="preserve">CM</w:t>
      </w:r>
      <w:r>
        <w:t xml:space="preserve"> prepares and submits the CI list with rationale, defends the selection, and tracks Acquirer disposition. </w:t>
      </w:r>
      <w:r>
        <w:rPr>
          <w:bCs/>
          <w:b/>
        </w:rPr>
        <w:t xml:space="preserve">Systems Engineering</w:t>
      </w:r>
      <w:r>
        <w:t xml:space="preserve"> supports technical justification of the proposed set and levels. </w:t>
      </w:r>
      <w:r>
        <w:rPr>
          <w:bCs/>
          <w:b/>
        </w:rPr>
        <w:t xml:space="preserve">System Safety</w:t>
      </w:r>
      <w:r>
        <w:t xml:space="preserve"> and </w:t>
      </w:r>
      <w:r>
        <w:rPr>
          <w:bCs/>
          <w:b/>
        </w:rPr>
        <w:t xml:space="preserve">RM&amp;SH</w:t>
      </w:r>
      <w:r>
        <w:t xml:space="preserve"> support any safety-critical or criticality-based determination. </w:t>
      </w:r>
      <w:r>
        <w:rPr>
          <w:bCs/>
          <w:b/>
        </w:rPr>
        <w:t xml:space="preserve">Supplier Requirements Engineering</w:t>
      </w:r>
      <w:r>
        <w:t xml:space="preserve"> supports questions on procurement level. </w:t>
      </w:r>
      <w:r>
        <w:rPr>
          <w:bCs/>
          <w:b/>
        </w:rPr>
        <w:t xml:space="preserve">Systems Engineering</w:t>
      </w:r>
      <w:r>
        <w:t xml:space="preserve"> and the </w:t>
      </w:r>
      <w:r>
        <w:rPr>
          <w:bCs/>
          <w:b/>
        </w:rPr>
        <w:t xml:space="preserve">Responsible Engineer</w:t>
      </w:r>
      <w:r>
        <w:t xml:space="preserve"> answer the design authority question. Final selection authority for Acquirer-facing CIs rests with the Acquirer. Everything submitted for that decision is CM work.</w:t>
      </w:r>
    </w:p>
    <w:p>
      <w:pPr>
        <w:pStyle w:val="BodyText"/>
      </w:pPr>
      <w:r>
        <w:t xml:space="preserve">Submit the proposed CI list (candidates, selection results, and rationale) to the Acquirer for review and selection concurrence per EIA-649-1A §3.2.1(1). Where contracted, deliver via the applicable CDRLs (e.g., DI-SESS-82007 Configuration Item Documentation Recommendation; DI-SESS-81254 Request for Nomenclature).</w:t>
      </w:r>
    </w:p>
    <w:p>
      <w:pPr>
        <w:pStyle w:val="BodyText"/>
      </w:pPr>
      <w:r>
        <w:t xml:space="preserve">CI selection is iterative. Resubmit for concurrence when the design evolves, when new candidates emerge, or when previously designated CIs are proposed for de-designation. Final selection authority for Acquirer-facing CIs rests with the Acquirer.</w:t>
      </w:r>
    </w:p>
    <w:bookmarkEnd w:id="43"/>
    <w:bookmarkStart w:id="44" w:name="identifier-assignment"/>
    <w:p>
      <w:pPr>
        <w:pStyle w:val="Heading2"/>
      </w:pPr>
      <w:r>
        <w:t xml:space="preserve">5.7 Identifier Assignment</w:t>
      </w:r>
    </w:p>
    <w:p>
      <w:pPr>
        <w:pStyle w:val="FirstParagraph"/>
      </w:pPr>
      <w:r>
        <w:rPr>
          <w:bCs/>
          <w:b/>
        </w:rPr>
        <w:t xml:space="preserve">Inputs: </w:t>
      </w:r>
      <w:r>
        <w:t xml:space="preserve">Concurred CI list; design activity CAGE code; program numbering conventions; contract nomenclature and IUID requirements.</w:t>
      </w:r>
    </w:p>
    <w:p>
      <w:pPr>
        <w:pStyle w:val="BodyText"/>
      </w:pPr>
      <w:r>
        <w:rPr>
          <w:bCs/>
          <w:b/>
        </w:rPr>
        <w:t xml:space="preserve">Outputs: </w:t>
      </w:r>
      <w:r>
        <w:t xml:space="preserve">Assigned identifiers per CI and documentation (PINs, unit identifiers with their record structure, nomenclature, software/version identifiers, IUID, document identifiers); recorded safety-critical, life-limited and special handling attributes with their assigning authority; identifier register entries; CI index updates.</w:t>
      </w:r>
    </w:p>
    <w:p>
      <w:pPr>
        <w:pStyle w:val="BodyText"/>
      </w:pPr>
      <w:r>
        <w:rPr>
          <w:bCs/>
          <w:b/>
        </w:rPr>
        <w:t xml:space="preserve">Who does what.</w:t>
      </w:r>
      <w:r>
        <w:t xml:space="preserve"> </w:t>
      </w:r>
      <w:r>
        <w:rPr>
          <w:bCs/>
          <w:b/>
        </w:rPr>
        <w:t xml:space="preserve">CM</w:t>
      </w:r>
      <w:r>
        <w:t xml:space="preserve"> assigns and registers identifiers, reviews and verifies the product unit identifier record structure for each item, and maintains the identifier register and the CI index. </w:t>
      </w:r>
      <w:r>
        <w:rPr>
          <w:bCs/>
          <w:b/>
        </w:rPr>
        <w:t xml:space="preserve">RM&amp;SH</w:t>
      </w:r>
      <w:r>
        <w:t xml:space="preserve"> supplies the reliability and maintainability basis for life limits and inspection intervals. </w:t>
      </w:r>
      <w:r>
        <w:rPr>
          <w:bCs/>
          <w:b/>
        </w:rPr>
        <w:t xml:space="preserve">System Safety</w:t>
      </w:r>
      <w:r>
        <w:t xml:space="preserve"> concurs on safety-critical designations. </w:t>
      </w:r>
      <w:r>
        <w:rPr>
          <w:bCs/>
          <w:b/>
        </w:rPr>
        <w:t xml:space="preserve">Logistics</w:t>
      </w:r>
      <w:r>
        <w:t xml:space="preserve"> identifies unique identification triggers, provisioning implications, and marking driven by the maintenance program. </w:t>
      </w:r>
      <w:r>
        <w:rPr>
          <w:bCs/>
          <w:b/>
        </w:rPr>
        <w:t xml:space="preserve">Supplier Requirements Engineering</w:t>
      </w:r>
      <w:r>
        <w:t xml:space="preserve"> flows the safety-critical, life-limited, and special-handling designations and the marking requirements to suppliers, and confirms which of the three authorship cases applies.</w:t>
      </w:r>
    </w:p>
    <w:p>
      <w:pPr>
        <w:pStyle w:val="BodyText"/>
      </w:pPr>
      <w:r>
        <w:t xml:space="preserve">Assign identifiers to each CI, its component parts, and its configuration documentation:</w:t>
      </w:r>
    </w:p>
    <w:p>
      <w:pPr>
        <w:numPr>
          <w:ilvl w:val="0"/>
          <w:numId w:val="1006"/>
        </w:numPr>
      </w:pPr>
      <w:r>
        <w:t xml:space="preserve">Enterprise identifier: include the design activity CAGE code on all CIs, subordinate parts and assemblies, configuration documentation, software media, and products.</w:t>
      </w:r>
    </w:p>
    <w:p>
      <w:pPr>
        <w:numPr>
          <w:ilvl w:val="0"/>
          <w:numId w:val="1006"/>
        </w:numPr>
      </w:pPr>
      <w:r>
        <w:t xml:space="preserve">Part or Identifying Number (PIN): assign to all CIs, parts, assemblies, units, and sets. The PIN is the same as, or contains, the design document number. When a modification creates a non-interchangeable condition, change the PIN (e.g., new dash number).</w:t>
      </w:r>
    </w:p>
    <w:p>
      <w:pPr>
        <w:numPr>
          <w:ilvl w:val="0"/>
          <w:numId w:val="1006"/>
        </w:numPr>
      </w:pPr>
      <w:r>
        <w:t xml:space="preserve">CI identifier: differs from a PIN; assign to all CIs.</w:t>
      </w:r>
    </w:p>
    <w:p>
      <w:pPr>
        <w:numPr>
          <w:ilvl w:val="0"/>
          <w:numId w:val="1006"/>
        </w:numPr>
      </w:pPr>
      <w:r>
        <w:t xml:space="preserve">Review and verify the application of product unit identifiers associated with each CI and their child components:</w:t>
      </w:r>
    </w:p>
    <w:p>
      <w:pPr>
        <w:numPr>
          <w:ilvl w:val="0"/>
          <w:numId w:val="1006"/>
        </w:numPr>
      </w:pPr>
      <w:r>
        <w:rPr>
          <w:bCs/>
          <w:b/>
        </w:rPr>
        <w:t xml:space="preserve">Product unit identifiers: A product unit identifier is either a serial number or a lot or batch number. Both are unit identifiers. The product unit record-structure test below determines which form applies. It is not determined by hazard severity, by CI status, or by the presence of a criticality designation, and the independence fails in both directions. Going forward, a critical item does not automatically require a serial number: most critical items carry a product unit record, and the test determines which form; some carry none, where the hazard is mitigated by design rather than by a per-unit or per-lot control. Many CIs are correctly lot-controlled and carry no serial number, and an item of catastrophic hazard severity may be legitimately lot-controlled. Lot control is not a lesser form of control; it is the correct form where the approved basis for continued service is conformance to an approved source rather than the history of an individual article. Going backward, an item carrying a product unit identifier is not thereby critical and is not thereby a CI: item unique identification triggers on serially managed status, on mission essential or controlled inventory status, or on unit acquisition cost. For most items it does not examine criticality, so a low-consequence item over the cost threshold is serialized like any other. One designation runs the other way. Critical safety items are identified as DoD serially managed, so that designation does carry serialization with it. That inference runs from the designation to the serial number. It does not run from the serial number back to a hazard. The presence or absence of a product unit identifier is therefore still not evidence for or against criterion (b), and is not used in place of running it. Serial and lot numbers are unique, consecutive, and non-duplicating against a non-changing product-tracking base identifier. Once assigned they are never revised or re-used. A modified unit retains its original unit identifier even though the PIN changes, which preserves traceability to the original configuration.</w:t>
      </w:r>
    </w:p>
    <w:p>
      <w:pPr>
        <w:numPr>
          <w:ilvl w:val="0"/>
          <w:numId w:val="1006"/>
        </w:numPr>
      </w:pPr>
      <w:r>
        <w:rPr>
          <w:bCs/>
          <w:b/>
        </w:rPr>
        <w:t xml:space="preserve">Verify application of product unit identifiers by performing the product unit record-structure test:</w:t>
      </w:r>
      <w:r>
        <w:t xml:space="preserve"> verify which product unit identifier (serial, lot, batch) or combination of identifiers apply by asking what the approved basis for the item’s continued service depends on. Apply the test to the CI and to each component part; one CI may contain parts of more than one record structure.</w:t>
      </w:r>
    </w:p>
    <w:p>
      <w:pPr>
        <w:numPr>
          <w:ilvl w:val="0"/>
          <w:numId w:val="1006"/>
        </w:numPr>
      </w:pPr>
      <w:r>
        <w:rPr>
          <w:bCs/>
          <w:b/>
        </w:rPr>
        <w:t xml:space="preserve">Per-unit history required: serial number.</w:t>
      </w:r>
      <w:r>
        <w:t xml:space="preserve"> The approved basis depends on what happened to this individual unit: accumulated cycles or operating hours against an approved life limit, or inspection history. Remaining life is a per-unit quantity, so the unit must be individually identifiable.</w:t>
      </w:r>
    </w:p>
    <w:p>
      <w:pPr>
        <w:numPr>
          <w:ilvl w:val="0"/>
          <w:numId w:val="1006"/>
        </w:numPr>
      </w:pPr>
      <w:r>
        <w:rPr>
          <w:bCs/>
          <w:b/>
        </w:rPr>
        <w:t xml:space="preserve">Lot or batch acceptance sufficient: lot or batch number,</w:t>
      </w:r>
      <w:r>
        <w:t xml:space="preserve"> with a date code where a shelf-life, cure-date, or storage-age limit applies. The approved basis is only that the item was made correctly by an approved source. Serialization adds cost without adding assurance, and is a contract choice rather than a technical requirement.</w:t>
      </w:r>
    </w:p>
    <w:p>
      <w:pPr>
        <w:numPr>
          <w:ilvl w:val="0"/>
          <w:numId w:val="1006"/>
        </w:numPr>
      </w:pPr>
      <w:r>
        <w:rPr>
          <w:bCs/>
          <w:b/>
        </w:rPr>
        <w:t xml:space="preserve">Material and process traceability: lot or batch at heat level, in addition to whichever of the above applies.</w:t>
      </w:r>
      <w:r>
        <w:t xml:space="preserve"> This runs underneath the unit identifier rather than instead of it: a serialized fracture-critical part still requires its heat and lot chain.</w:t>
      </w:r>
    </w:p>
    <w:p>
      <w:pPr>
        <w:numPr>
          <w:ilvl w:val="0"/>
          <w:numId w:val="1006"/>
        </w:numPr>
      </w:pPr>
      <w:r>
        <w:rPr>
          <w:bCs/>
          <w:b/>
        </w:rPr>
        <w:t xml:space="preserve">Configuration identity only: no physical unit identifier.</w:t>
      </w:r>
      <w:r>
        <w:t xml:space="preserve"> Some software and complex electronic hardware carry identity on the loadable part number and the baseline (see the software identifiers entry below). Do not record these as serialization obligations; do not assume all items require a product-unit identifier.</w:t>
      </w:r>
    </w:p>
    <w:p>
      <w:pPr>
        <w:numPr>
          <w:ilvl w:val="0"/>
          <w:numId w:val="1006"/>
        </w:numPr>
      </w:pPr>
      <w:r>
        <w:rPr>
          <w:bCs/>
          <w:b/>
        </w:rPr>
        <w:t xml:space="preserve">No item-level record.</w:t>
      </w:r>
      <w:r>
        <w:t xml:space="preserve"> The item is controlled within its parent CI’s configuration documentation and carries no independent unit identifier.</w:t>
      </w:r>
    </w:p>
    <w:p>
      <w:pPr>
        <w:pStyle w:val="FirstParagraph"/>
      </w:pPr>
      <w:r>
        <w:rPr>
          <w:bCs/>
          <w:b/>
        </w:rPr>
        <w:t xml:space="preserve">Two clocks, one phrase.</w:t>
      </w:r>
      <w:r>
        <w:t xml:space="preserve"> An item life-limited by cycles or operating hours is serialized, because remaining life is a per-unit quantity. An item life-limited by shelf life, cure date, or storage age is lot-controlled with a date code. The limit attaches to the manufacturing lot, not to the individual unit. The same words, life limited, produce opposite record structures depending on which clock is running. Verify which clock applies to the item.</w:t>
      </w:r>
    </w:p>
    <w:p>
      <w:pPr>
        <w:pStyle w:val="FirstParagraph"/>
      </w:pPr>
      <w:r>
        <w:rPr>
          <w:bCs/>
          <w:b/>
        </w:rPr>
        <w:t xml:space="preserve">Records run up the product tree to the end item.</w:t>
      </w:r>
      <w:r>
        <w:rPr/>
        <w:t xml:space="preserve"> Where an item is serialized or lot or batch recorded, serialization and traceability records are maintained up the product tree to the end item. This applies to every item carrying a product unit record, whatever the driver behind it. There is no threshold and no shorter scope. The end item is the top-level asset or system under contract, which is typically the complete air vehicle or the complete weapon system. It is not a line replaceable unit. A serialized item’s next higher physical parent is serialized, and so is every higher physical parent below the end item. A lot number alone does not establish location, so the parent of a lot or batch recorded item is serialized for the same reason. Record the resulting parent-and-child traceability against each product unit. Unique identification marking is the one obligation that stops short of the end item. It is bounded at the parent item, as stated in the unique identification entry below. The records still run the full height of the tree. This requirement is company direction. The marking and life status regulations attach to the part and do not cascade on their own, so cite the company direction rather than a regulation when a supplier asks for the basis.</w:t>
      </w:r>
    </w:p>
    <w:p>
      <w:pPr>
        <w:numPr>
          <w:ilvl w:val="0"/>
          <w:numId w:val="1007"/>
        </w:numPr>
      </w:pPr>
      <w:r>
        <w:rPr>
          <w:bCs/>
          <w:b/>
        </w:rPr>
        <w:t xml:space="preserve">Independent product unit recording drivers:</w:t>
      </w:r>
      <w:r>
        <w:rPr/>
        <w:t xml:space="preserve"> several requirements impose a product unit record structure regardless of criticality or CI status, and are checked separately for every item. An item with no criticality designation can still carry a product unit record. Check each driver below against every item.</w:t>
      </w:r>
    </w:p>
    <w:p>
      <w:pPr>
        <w:numPr>
          <w:ilvl w:val="0"/>
          <w:numId w:val="1007"/>
        </w:numPr>
      </w:pPr>
      <w:r>
        <w:rPr>
          <w:bCs/>
          <w:b/>
        </w:rPr>
        <w:t xml:space="preserve">Item unique identification.</w:t>
      </w:r>
      <w:r>
        <w:rPr/>
        <w:t xml:space="preserve"> Unique identification applies at or above the unit acquisition cost threshold. It applies below the threshold where the requiring activity determines the item is mission essential or controlled inventory. It applies regardless of value to DoD serially managed items, to parent items that contain an embedded item carrying a unique item identifier, to warranted serialized items, to special tooling and special test equipment for a major defense acquisition program designated for preservation and storage, and to items the requiring activity identifies as high risk. The populations identified as DoD serially managed include critical safety items, capital asset equipment, relocatable facilities, controlled inventory items, depot level repairable items, and certain special tooling and test equipment. For most items unique identification does not trigger on criticality, so an item with no criticality designation can still be serialized by it. </w:t>
      </w:r>
      <w:r>
        <w:rPr>
          <w:bCs/>
          <w:b/>
        </w:rPr>
        <w:t xml:space="preserve">Critical safety items are the exception.</w:t>
      </w:r>
      <w:r>
        <w:rPr/>
        <w:t xml:space="preserve"> They are identified as DoD serially managed, and unique identification then applies regardless of unit cost. Confirm the unique identification clause is in the contract, because contracts and drawings written before this rule took effect may carry no marking requirement. Check unique identification separately for every other DoD item.</w:t>
      </w:r>
    </w:p>
    <w:p>
      <w:pPr>
        <w:numPr>
          <w:ilvl w:val="0"/>
          <w:numId w:val="1007"/>
        </w:numPr>
      </w:pPr>
      <w:r>
        <w:rPr>
          <w:bCs/>
          <w:b/>
        </w:rPr>
        <w:t xml:space="preserve">Airworthiness limitation marking.</w:t>
      </w:r>
      <w:r>
        <w:rPr/>
        <w:t xml:space="preserve"> Triggers where a replacement time, inspection interval, or related procedure appears in the airworthiness limitations section or the instructions for continued airworthiness. Work from what the limitations section actually contains rather than from a criticality label.</w:t>
      </w:r>
    </w:p>
    <w:p>
      <w:pPr>
        <w:numPr>
          <w:ilvl w:val="0"/>
          <w:numId w:val="1007"/>
        </w:numPr>
      </w:pPr>
      <w:r>
        <w:rPr>
          <w:bCs/>
          <w:b/>
        </w:rPr>
        <w:t xml:space="preserve">Commercial grade dedication.</w:t>
      </w:r>
      <w:r>
        <w:rPr/>
        <w:t xml:space="preserve"> Accepts a commercial item against identified critical characteristics on a lot basis.</w:t>
      </w:r>
    </w:p>
    <w:p>
      <w:pPr>
        <w:numPr>
          <w:ilvl w:val="0"/>
          <w:numId w:val="1007"/>
        </w:numPr>
      </w:pPr>
      <w:r>
        <w:rPr>
          <w:bCs/>
          <w:b/>
        </w:rPr>
        <w:t xml:space="preserve">Counterfeit avoidance.</w:t>
      </w:r>
      <w:r>
        <w:rPr/>
        <w:t xml:space="preserve"> Drives traceability to the original component manufacturer rather than to product unit identity. It is frequently mistaken for a serialization requirement.</w:t>
      </w:r>
    </w:p>
    <w:p>
      <w:pPr>
        <w:numPr>
          <w:ilvl w:val="0"/>
          <w:numId w:val="1007"/>
        </w:numPr>
      </w:pPr>
      <w:r>
        <w:rPr>
          <w:bCs/>
          <w:b/>
        </w:rPr>
        <w:t xml:space="preserve">Special handling, storage, and environmental control.</w:t>
      </w:r>
      <w:r>
        <w:rPr/>
        <w:t xml:space="preserve"> Drives lot or batch recording. An item requires special handling where controlled handling, packaging, or storage is necessary to keep it conforming. Electrostatic discharge sensitivity, hazardous material content, and limits on temperature, humidity, shock, or security classification are the common causes. The handling conditions, including segregation and packaging, are recorded against the lot. Special handling is not a criticality designation. It is not a serialization driver. An item can carry special handling and a serial number at once, and the serial number then comes from a different driver. Explosive and radioactive items carry additional drawing annotation obligations.</w:t>
      </w:r>
    </w:p>
    <w:p>
      <w:pPr>
        <w:numPr>
          <w:ilvl w:val="0"/>
          <w:numId w:val="1007"/>
        </w:numPr>
      </w:pPr>
      <w:r>
        <w:rPr>
          <w:bCs/>
          <w:b/>
        </w:rPr>
        <w:t xml:space="preserve">Casting inspection and casting factor basis.</w:t>
      </w:r>
      <w:r>
        <w:rPr/>
        <w:t xml:space="preserve"> Drives lot or batch recording. A reduced number of castings per production batch is inspected by non-visual methods under an approved quality control procedure, or a casting factor of 1.0 rests on process monitoring with coupons cut from casting prolongations. The approved basis is the production batch, so the batch has to stay identifiable. Coupon results must tie to the casting or the pour they came from. The rule imposes no serialization.</w:t>
      </w:r>
    </w:p>
    <w:p>
      <w:pPr>
        <w:numPr>
          <w:ilvl w:val="0"/>
          <w:numId w:val="1007"/>
        </w:numPr>
      </w:pPr>
      <w:r>
        <w:rPr>
          <w:bCs/>
          <w:b/>
        </w:rPr>
        <w:t xml:space="preserve">Alternative approved material design values.</w:t>
      </w:r>
      <w:r>
        <w:rPr/>
        <w:t xml:space="preserve"> Drives lot or batch recording. Material design values other than the statistically based values are used, as approved by the authority. The rule itself requires no records. The approval carries the process and statistical conditions, and production lot and batch records are what demonstrate continuing conformity to them.</w:t>
      </w:r>
      <w:r>
        <w:t xml:space="preserve"> This driver is distinct from premium selection material, which is a per-part obligation rather than a lot obligation. See the criticality designations appendix.</w:t>
      </w:r>
    </w:p>
    <w:p>
      <w:pPr>
        <w:numPr>
          <w:ilvl w:val="0"/>
          <w:numId w:val="1007"/>
        </w:numPr>
      </w:pPr>
      <w:r>
        <w:rPr>
          <w:bCs/>
          <w:b/>
        </w:rPr>
        <w:t xml:space="preserve">Process and batch conditions.</w:t>
      </w:r>
      <w:r>
        <w:rPr/>
        <w:t xml:space="preserve"> Drives lot or batch recording. An item is fabricated from a specific batch of bulk material, its testing or certification is conducted by lot, or its performance depends on a process or batch condition such as storage conditions, temperature, solution strength, application technique, or cure time. This is the widest of these drivers by item count. An item can carry this driver and a criticality designation at once, and the lot records are the same records.</w:t>
      </w:r>
    </w:p>
    <w:p>
      <w:pPr>
        <w:numPr>
          <w:ilvl w:val="0"/>
          <w:numId w:val="1007"/>
        </w:numPr>
      </w:pPr>
      <w:r>
        <w:rPr>
          <w:bCs/>
          <w:b/>
        </w:rPr>
        <w:t xml:space="preserve">Verify application of product unit identifiers on the Design:</w:t>
      </w:r>
      <w:r>
        <w:t xml:space="preserve"> items requiring serialization recording, lot/batch recording, special handling, or subject to life limits. Application of these requirements on the design follows one of three cases, and the applicable case is stated in the statement of work for any procured item: </w:t>
      </w:r>
      <w:r>
        <w:rPr>
          <w:bCs/>
          <w:b/>
        </w:rPr>
        <w:t xml:space="preserve">company-assigned</w:t>
      </w:r>
      <w:r>
        <w:t xml:space="preserve">, where the company holds design authority; </w:t>
      </w:r>
      <w:r>
        <w:rPr>
          <w:bCs/>
          <w:b/>
        </w:rPr>
        <w:t xml:space="preserve">supplier-proposed and company-approved</w:t>
      </w:r>
      <w:r>
        <w:t xml:space="preserve">, where a supplier holds design authority at its level; and </w:t>
      </w:r>
      <w:r>
        <w:rPr>
          <w:bCs/>
          <w:b/>
        </w:rPr>
        <w:t xml:space="preserve">externally assigned</w:t>
      </w:r>
      <w:r>
        <w:t xml:space="preserve">, where a customer or regulatory authority assigns the designation. In that case both parties record and flow it, neither proposes nor approves it, and a dispute is raised with the assigning authority. Where the applicable case is unstated, each party waits for the other. These requirements are also carried in the CI index, together with the designation type and its assigning authority where externally assigned.</w:t>
      </w:r>
    </w:p>
    <w:p>
      <w:pPr>
        <w:numPr>
          <w:ilvl w:val="0"/>
          <w:numId w:val="1007"/>
        </w:numPr>
      </w:pPr>
      <w:r>
        <w:t xml:space="preserve">Software identifiers: assign each CSCI a unique identifier and a version identifier for each version. Where embedded code and its hardware device are controlled via a single altered-item drawing, provide a part number representing the device with the embedded code; label the software medium with the Supplier code/name and mark it separately on the device.</w:t>
      </w:r>
    </w:p>
    <w:p>
      <w:pPr>
        <w:numPr>
          <w:ilvl w:val="0"/>
          <w:numId w:val="1007"/>
        </w:numPr>
      </w:pPr>
      <w:r>
        <w:t xml:space="preserve">IUID: apply Item Unique Identification marking per MIL-STD-130 where the contract requires it. The triggers are DoD serially managed status, mission essential or controlled inventory status, and unit acquisition cost. Critical safety items are identified as DoD serially managed, so a critical safety item carries unique identification regardless of its unit cost. Record the resulting product unit identifier in the CI index alongside the designation and its assigning authority. Where an item is too small to mark, the unique item identifier is carried on the unit packaging.</w:t>
      </w:r>
      <w:r>
        <w:t xml:space="preserve"> The contract identifies the parent item, so coordinate the parent item level with the contracting activity. Unique identification is bounded at the parent item that contains the embedded item. The marking does not flow further up the product tree on its own. The serialization and traceability records still run to the end item.</w:t>
      </w:r>
    </w:p>
    <w:p>
      <w:pPr>
        <w:numPr>
          <w:ilvl w:val="0"/>
          <w:numId w:val="1007"/>
        </w:numPr>
      </w:pPr>
      <w:r>
        <w:t xml:space="preserve">Document identifiers: uniquely identify each item of product configuration information so it can be referenced precisely and retrieved.</w:t>
      </w:r>
    </w:p>
    <w:bookmarkEnd w:id="44"/>
    <w:bookmarkStart w:id="45" w:name="Xa044dfe08407f65b74f562b1bbbb5ac3a2861f2"/>
    <w:p>
      <w:pPr>
        <w:pStyle w:val="Heading2"/>
      </w:pPr>
      <w:r>
        <w:t xml:space="preserve">5.8 Configuration Documentation Determination</w:t>
      </w:r>
    </w:p>
    <w:p>
      <w:pPr>
        <w:pStyle w:val="FirstParagraph"/>
      </w:pPr>
      <w:r>
        <w:rPr>
          <w:bCs/>
          <w:b/>
        </w:rPr>
        <w:t xml:space="preserve">Inputs: </w:t>
      </w:r>
      <w:r>
        <w:t xml:space="preserve">Concurred CI list with control-level designations; interface register, for incorporation into the configuration documentation; contract documentation requirements; item maturity and ownership information.</w:t>
      </w:r>
    </w:p>
    <w:p>
      <w:pPr>
        <w:pStyle w:val="BodyText"/>
      </w:pPr>
      <w:r>
        <w:rPr>
          <w:bCs/>
          <w:b/>
        </w:rPr>
        <w:t xml:space="preserve">Outputs: </w:t>
      </w:r>
      <w:r>
        <w:t xml:space="preserve">Documentation requirements determination per CI; released configuration documentation (FCD/ACD/PCD elements) under configuration control, with interface information incorporated.</w:t>
      </w:r>
    </w:p>
    <w:p>
      <w:pPr>
        <w:pStyle w:val="BodyText"/>
      </w:pPr>
      <w:r>
        <w:rPr>
          <w:bCs/>
          <w:b/>
        </w:rPr>
        <w:t xml:space="preserve">Who does what. CM determines the configuration documentation required for each CI</w:t>
      </w:r>
      <w:r>
        <w:t xml:space="preserve">, assigns document identifiers, and places released documentation under control. </w:t>
      </w:r>
      <w:r>
        <w:rPr>
          <w:bCs/>
          <w:b/>
        </w:rPr>
        <w:t xml:space="preserve">Systems Engineering</w:t>
      </w:r>
      <w:r>
        <w:t xml:space="preserve"> advises on specification type and confirms the technical content is adequate for the control level chosen. </w:t>
      </w:r>
      <w:r>
        <w:rPr>
          <w:bCs/>
          <w:b/>
        </w:rPr>
        <w:t xml:space="preserve">Logistics</w:t>
      </w:r>
      <w:r>
        <w:t xml:space="preserve"> identifies technical manual and support documentation requirements. </w:t>
      </w:r>
      <w:r>
        <w:rPr>
          <w:bCs/>
          <w:b/>
        </w:rPr>
        <w:t xml:space="preserve">Equipment Managers and Responsible Engineers</w:t>
      </w:r>
      <w:r>
        <w:t xml:space="preserve"> confirm the documentation set is sufficient to define and reprocure their items.</w:t>
      </w:r>
    </w:p>
    <w:p>
      <w:pPr>
        <w:pStyle w:val="BodyText"/>
      </w:pPr>
      <w:r>
        <w:t xml:space="preserve">For each CI, determine the configuration documentation that defines its performance, functional, and physical attributes, including internal and external interfaces. Documentation type depends on item maturity, ownership, and the control level: performance specifications at Acquirer-controlled levels on performance-based contracts; detail specifications, drawings, and models where design disclosure is required; commercial item descriptions or form-fit-function data for privately developed items.</w:t>
      </w:r>
    </w:p>
    <w:p>
      <w:pPr>
        <w:pStyle w:val="BodyText"/>
      </w:pPr>
      <w:r>
        <w:t xml:space="preserve">Incorporate the interface information identified in the interface register into the functional, allocated, and product configuration documentation (FCD/ACD/PCD) as each is developed, either in the applicable specifications directly or by reference to interface specifications or ICDs. Incorporating interface information is mandatory for safety. Where it is not performed, disposition it through the safety disposition gate defined in the CM planning and management process.</w:t>
      </w:r>
    </w:p>
    <w:p>
      <w:pPr>
        <w:pStyle w:val="BodyText"/>
      </w:pPr>
      <w:r>
        <w:t xml:space="preserve">Place each item of configuration documentation under configuration control upon release through the engineering release system. This includes item, material, and process specifications, software specifications, and Software Version Descriptions (SVDs).</w:t>
      </w:r>
    </w:p>
    <w:bookmarkEnd w:id="45"/>
    <w:bookmarkStart w:id="46" w:name="baseline-establishment"/>
    <w:p>
      <w:pPr>
        <w:pStyle w:val="Heading2"/>
      </w:pPr>
      <w:r>
        <w:t xml:space="preserve">5.9 Baseline Establishment</w:t>
      </w:r>
    </w:p>
    <w:p>
      <w:pPr>
        <w:pStyle w:val="FirstParagraph"/>
      </w:pPr>
      <w:r>
        <w:rPr>
          <w:bCs/>
          <w:b/>
        </w:rPr>
        <w:t xml:space="preserve">Inputs: </w:t>
      </w:r>
      <w:r>
        <w:t xml:space="preserve">Released configuration documentation; technical review results; approved changes; interface documentation.</w:t>
      </w:r>
    </w:p>
    <w:p>
      <w:pPr>
        <w:pStyle w:val="BodyText"/>
      </w:pPr>
      <w:r>
        <w:rPr>
          <w:bCs/>
          <w:b/>
        </w:rPr>
        <w:t xml:space="preserve">Outputs: </w:t>
      </w:r>
      <w:r>
        <w:t xml:space="preserve">Established FBL, ABL, and PBL per CI with baseline records; baselined interface requirements under configuration control.</w:t>
      </w:r>
    </w:p>
    <w:p>
      <w:pPr>
        <w:pStyle w:val="BodyText"/>
      </w:pPr>
      <w:r>
        <w:rPr>
          <w:bCs/>
          <w:b/>
        </w:rPr>
        <w:t xml:space="preserve">Who does what. CM establishes and records the baselines, and keeps their content aligned and current.</w:t>
      </w:r>
      <w:r>
        <w:t xml:space="preserve"> That is an active duty rather than a filing task. CM confirms that the documentation actually in each baseline matches the CI structure, that approved changes have been incorporated, and that interface documentation sits at the right baseline. Where content has drifted, CM raises it and drives it back into alignment. CM controls changes to the baselines thereafter. </w:t>
      </w:r>
      <w:r>
        <w:rPr>
          <w:bCs/>
          <w:b/>
        </w:rPr>
        <w:t xml:space="preserve">Systems Engineering</w:t>
      </w:r>
      <w:r>
        <w:t xml:space="preserve"> confirms the technical content is complete and consistent at each baseline. </w:t>
      </w:r>
      <w:r>
        <w:rPr>
          <w:bCs/>
          <w:b/>
        </w:rPr>
        <w:t xml:space="preserve">System Safety</w:t>
      </w:r>
      <w:r>
        <w:t xml:space="preserve"> confirms hazard risk controls are captured in the baselined documentation. </w:t>
      </w:r>
      <w:r>
        <w:rPr>
          <w:bCs/>
          <w:b/>
        </w:rPr>
        <w:t xml:space="preserve">CM</w:t>
      </w:r>
      <w:r>
        <w:t xml:space="preserve"> confirms the supplier deliverables supporting the baseline were received and logged. The </w:t>
      </w:r>
      <w:r>
        <w:rPr>
          <w:bCs/>
          <w:b/>
        </w:rPr>
        <w:t xml:space="preserve">reviewing function</w:t>
      </w:r>
      <w:r>
        <w:t xml:space="preserve"> confirms they were accepted.</w:t>
      </w:r>
    </w:p>
    <w:p>
      <w:pPr>
        <w:pStyle w:val="BodyText"/>
      </w:pPr>
      <w:r>
        <w:t xml:space="preserve">Establish and manage the functional, allocated, and product baselines at the appropriate points in each CI’s lifecycle:</w:t>
      </w:r>
    </w:p>
    <w:p>
      <w:pPr>
        <w:numPr>
          <w:ilvl w:val="0"/>
          <w:numId w:val="1008"/>
        </w:numPr>
      </w:pPr>
      <w:r>
        <w:t xml:space="preserve">Functional baseline (FBL): system-level performance requirements and verification; typically established at/after the system functional review.</w:t>
      </w:r>
    </w:p>
    <w:p>
      <w:pPr>
        <w:numPr>
          <w:ilvl w:val="0"/>
          <w:numId w:val="1008"/>
        </w:numPr>
      </w:pPr>
      <w:r>
        <w:t xml:space="preserve">Allocated baseline (ABL): performance requirements allocated to each CI; typically established at/after preliminary design review for the CI.</w:t>
      </w:r>
    </w:p>
    <w:p>
      <w:pPr>
        <w:numPr>
          <w:ilvl w:val="0"/>
          <w:numId w:val="1008"/>
        </w:numPr>
      </w:pPr>
      <w:r>
        <w:t xml:space="preserve">Product baseline (PBL): the complete released design documentation describing the CI’s physical and functional attributes and acceptance test requirements; initially established at completion of CDR and formalized no later than first production unit delivery or physical configuration audit completion. For a CI designated for audit, the physical configuration audit is the formalizing event, and the Acquirer formalizes the baseline on its successful completion and approval of the product specification. For a CI not designated for audit, the product baseline is formalized no later than first production unit delivery. The baseline established at CDR is the initial product baseline. The baseline established by the formalizing event is the formalized product baseline. Name both, because a CI carries its initial product baseline until its formalizing event arrives.</w:t>
      </w:r>
    </w:p>
    <w:p>
      <w:pPr>
        <w:pStyle w:val="FirstParagraph"/>
      </w:pPr>
      <w:r>
        <w:t xml:space="preserve">A baseline plus its approved changes is the current approved configuration. Interface control documentation is part of the functional and/or allocated baselines to the extent referenced in the applicable specifications. Maintain configuration control of baselined interface requirements, which is mandatory for safety. Changes to baselined interfaces are processed through formal change action.</w:t>
      </w:r>
    </w:p>
    <w:bookmarkEnd w:id="46"/>
    <w:bookmarkStart w:id="47" w:name="maintenance-and-iteration"/>
    <w:p>
      <w:pPr>
        <w:pStyle w:val="Heading2"/>
      </w:pPr>
      <w:r>
        <w:t xml:space="preserve">5.10 Maintenance and Iteration</w:t>
      </w:r>
    </w:p>
    <w:p>
      <w:pPr>
        <w:pStyle w:val="FirstParagraph"/>
      </w:pPr>
      <w:r>
        <w:rPr>
          <w:bCs/>
          <w:b/>
        </w:rPr>
        <w:t xml:space="preserve">Inputs: </w:t>
      </w:r>
      <w:r>
        <w:t xml:space="preserve">Trigger events (listed below); current CI index, interface register, and baselines; CSA records.</w:t>
      </w:r>
    </w:p>
    <w:p>
      <w:pPr>
        <w:pStyle w:val="BodyText"/>
      </w:pPr>
      <w:r>
        <w:rPr>
          <w:bCs/>
          <w:b/>
        </w:rPr>
        <w:t xml:space="preserve">Outputs: </w:t>
      </w:r>
      <w:r>
        <w:t xml:space="preserve">Updated CI index, interface register, selection assessments, and concurrence submittals; CSA records of all designations, identifier assignments, baseline establishments, and changes.</w:t>
      </w:r>
    </w:p>
    <w:p>
      <w:pPr>
        <w:pStyle w:val="BodyText"/>
      </w:pPr>
      <w:r>
        <w:rPr>
          <w:bCs/>
          <w:b/>
        </w:rPr>
        <w:t xml:space="preserve">Who does what.</w:t>
      </w:r>
      <w:r>
        <w:t xml:space="preserve"> </w:t>
      </w:r>
      <w:r>
        <w:rPr>
          <w:bCs/>
          <w:b/>
        </w:rPr>
        <w:t xml:space="preserve">CM</w:t>
      </w:r>
      <w:r>
        <w:t xml:space="preserve"> monitors the triggers, re-runs identification, and records the outcome whether or not the CI set changes. CM does not wait to be told. CM reviews revised specifications, revised architecture, revised hazard and criticality analyses, and new procurement statements of work as they are issued. </w:t>
      </w:r>
      <w:r>
        <w:rPr>
          <w:bCs/>
          <w:b/>
        </w:rPr>
        <w:t xml:space="preserve">Systems Engineering</w:t>
      </w:r>
      <w:r>
        <w:t xml:space="preserve"> notifies CM of design and architecture change. </w:t>
      </w:r>
      <w:r>
        <w:rPr>
          <w:bCs/>
          <w:b/>
        </w:rPr>
        <w:t xml:space="preserve">System Safety</w:t>
      </w:r>
      <w:r>
        <w:t xml:space="preserve"> and </w:t>
      </w:r>
      <w:r>
        <w:rPr>
          <w:bCs/>
          <w:b/>
        </w:rPr>
        <w:t xml:space="preserve">SMS</w:t>
      </w:r>
      <w:r>
        <w:t xml:space="preserve"> notify CM of hazard analysis revision. </w:t>
      </w:r>
      <w:r>
        <w:rPr>
          <w:bCs/>
          <w:b/>
        </w:rPr>
        <w:t xml:space="preserve">RM&amp;SH</w:t>
      </w:r>
      <w:r>
        <w:t xml:space="preserve"> notifies CM where a criticality analysis or life limit changes. </w:t>
      </w:r>
      <w:r>
        <w:rPr>
          <w:bCs/>
          <w:b/>
        </w:rPr>
        <w:t xml:space="preserve">Logistics</w:t>
      </w:r>
      <w:r>
        <w:t xml:space="preserve"> notifies CM of supportability strategy change. </w:t>
      </w:r>
      <w:r>
        <w:rPr>
          <w:bCs/>
          <w:b/>
        </w:rPr>
        <w:t xml:space="preserve">Supplier Requirements Engineering</w:t>
      </w:r>
      <w:r>
        <w:t xml:space="preserve"> notifies CM of source and sub-tier supplier change. Any function may raise a trigger. </w:t>
      </w:r>
      <w:r>
        <w:rPr>
          <w:bCs/>
          <w:b/>
        </w:rPr>
        <w:t xml:space="preserve">CM is accountable for acting on it, and for finding the ones nobody raised.</w:t>
      </w:r>
    </w:p>
    <w:p>
      <w:pPr>
        <w:pStyle w:val="BodyText"/>
      </w:pPr>
      <w:r>
        <w:t xml:space="preserve">Maintain the configuration identification throughout the lifecycle. Re-evaluate CI selection and structure upon any of the following triggers:</w:t>
      </w:r>
    </w:p>
    <w:p>
      <w:pPr>
        <w:numPr>
          <w:ilvl w:val="0"/>
          <w:numId w:val="1009"/>
        </w:numPr>
      </w:pPr>
      <w:r>
        <w:t xml:space="preserve">Design evolution introducing new items, new end-use functions, or new interfaces</w:t>
      </w:r>
    </w:p>
    <w:p>
      <w:pPr>
        <w:numPr>
          <w:ilvl w:val="0"/>
          <w:numId w:val="1009"/>
        </w:numPr>
      </w:pPr>
      <w:r>
        <w:t xml:space="preserve">Changes to the MBSE architecture decomposition (the CI structure is re-aligned to the model)</w:t>
      </w:r>
    </w:p>
    <w:p>
      <w:pPr>
        <w:numPr>
          <w:ilvl w:val="0"/>
          <w:numId w:val="1009"/>
        </w:numPr>
      </w:pPr>
      <w:r>
        <w:t xml:space="preserve">New or revised hazard analyses identifying safety-critical items (safety management system)</w:t>
      </w:r>
    </w:p>
    <w:p>
      <w:pPr>
        <w:numPr>
          <w:ilvl w:val="0"/>
          <w:numId w:val="1009"/>
        </w:numPr>
      </w:pPr>
      <w:r>
        <w:t xml:space="preserve">Changes to supportability strategy, provisioning, or separate procurement decisions</w:t>
      </w:r>
    </w:p>
    <w:p>
      <w:pPr>
        <w:numPr>
          <w:ilvl w:val="0"/>
          <w:numId w:val="1009"/>
        </w:numPr>
      </w:pPr>
      <w:r>
        <w:t xml:space="preserve">Contract changes, including Acquirer direction designating or de-designating CIs</w:t>
      </w:r>
    </w:p>
    <w:p>
      <w:pPr>
        <w:numPr>
          <w:ilvl w:val="0"/>
          <w:numId w:val="1009"/>
        </w:numPr>
      </w:pPr>
      <w:r>
        <w:t xml:space="preserve">Non-interchangeable modifications requiring PIN change and identifier updates</w:t>
      </w:r>
    </w:p>
    <w:p>
      <w:pPr>
        <w:pStyle w:val="FirstParagraph"/>
      </w:pPr>
      <w:r>
        <w:t xml:space="preserve">Record all CI designations, identifier assignments, baseline establishments, and changes in the Configuration Status Accounting (CSA) system.</w:t>
      </w:r>
    </w:p>
    <w:bookmarkEnd w:id="47"/>
    <w:bookmarkEnd w:id="48"/>
    <w:bookmarkStart w:id="49" w:name="records-and-outputs"/>
    <w:p>
      <w:pPr>
        <w:pStyle w:val="Heading1"/>
      </w:pPr>
      <w:r>
        <w:t xml:space="preserve">6. Records and 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Record / Output</w:t>
            </w:r>
          </w:p>
        </w:tc>
        <w:tc>
          <w:tcPr/>
          <w:p>
            <w:pPr>
              <w:pStyle w:val="Compact"/>
              <w:jc w:val="left"/>
            </w:pPr>
            <w:r>
              <w:rPr>
                <w:bCs/>
                <w:b/>
              </w:rPr>
              <w:t xml:space="preserve">Content and Retention</w:t>
            </w:r>
          </w:p>
        </w:tc>
      </w:tr>
      <w:tr>
        <w:tc>
          <w:tcPr/>
          <w:p>
            <w:pPr>
              <w:pStyle w:val="Compact"/>
              <w:jc w:val="left"/>
            </w:pPr>
            <w:r>
              <w:t xml:space="preserve">CI Index (CI list)</w:t>
            </w:r>
          </w:p>
        </w:tc>
        <w:tc>
          <w:tcPr/>
          <w:p>
            <w:pPr>
              <w:pStyle w:val="Compact"/>
              <w:jc w:val="left"/>
            </w:pPr>
            <w:r>
              <w:t xml:space="preserve">All designated CIs with hierarchy (parent/child), owning design activity, CAGE, PIN or the PIN variant set where one CI carries multiple PINs, nomenclature, controlling baseline status, and Acquirer/Supplier control designation. Maintained current in the CSA system for the program life.</w:t>
            </w:r>
          </w:p>
        </w:tc>
      </w:tr>
      <w:tr>
        <w:tc>
          <w:tcPr/>
          <w:p>
            <w:pPr>
              <w:pStyle w:val="Compact"/>
              <w:jc w:val="left"/>
            </w:pPr>
            <w:r>
              <w:t xml:space="preserve">CI Selection Rationale Records</w:t>
            </w:r>
          </w:p>
        </w:tc>
        <w:tc>
          <w:tcPr/>
          <w:p>
            <w:pPr>
              <w:pStyle w:val="Compact"/>
              <w:jc w:val="left"/>
            </w:pPr>
            <w:r>
              <w:t xml:space="preserve">Completed selection criteria assessments for every candidate, including items not designated as CIs, with rationale. Retained for the program life.</w:t>
            </w:r>
          </w:p>
        </w:tc>
      </w:tr>
      <w:tr>
        <w:tc>
          <w:tcPr/>
          <w:p>
            <w:pPr>
              <w:pStyle w:val="Compact"/>
              <w:jc w:val="left"/>
            </w:pPr>
            <w:r>
              <w:t xml:space="preserve">Acquirer Concurrence Records</w:t>
            </w:r>
          </w:p>
        </w:tc>
        <w:tc>
          <w:tcPr/>
          <w:p>
            <w:pPr>
              <w:pStyle w:val="Compact"/>
              <w:jc w:val="left"/>
            </w:pPr>
            <w:r>
              <w:t xml:space="preserve">Submittals and Acquirer concurrence/direction on CI selection, including CDRL deliveries.</w:t>
            </w:r>
          </w:p>
        </w:tc>
      </w:tr>
      <w:tr>
        <w:tc>
          <w:tcPr/>
          <w:p>
            <w:pPr>
              <w:pStyle w:val="Compact"/>
              <w:jc w:val="left"/>
            </w:pPr>
            <w:r>
              <w:t xml:space="preserve">Interface Register</w:t>
            </w:r>
          </w:p>
        </w:tc>
        <w:tc>
          <w:tcPr/>
          <w:p>
            <w:pPr>
              <w:pStyle w:val="Compact"/>
              <w:jc w:val="left"/>
            </w:pPr>
            <w:r>
              <w:t xml:space="preserve">One row per CI-structure boundary: interface ID, interfacing CIs, defining documentation and revision, controlling baseline, control authority (CCB/ICWG), or signed no-interface determination. Maintained current in the CSA system. Evidence that interface requirement identification was performed.</w:t>
            </w:r>
          </w:p>
        </w:tc>
      </w:tr>
      <w:tr>
        <w:tc>
          <w:tcPr/>
          <w:p>
            <w:pPr>
              <w:pStyle w:val="Compact"/>
              <w:jc w:val="left"/>
            </w:pPr>
            <w:r>
              <w:t xml:space="preserve">Identifier Registers</w:t>
            </w:r>
          </w:p>
        </w:tc>
        <w:tc>
          <w:tcPr/>
          <w:p>
            <w:pPr>
              <w:pStyle w:val="Compact"/>
              <w:jc w:val="left"/>
            </w:pPr>
            <w:r>
              <w:t xml:space="preserve">PIN assignment logs, serial/lot/batch number requirements against product-tracking base identifiers, software version identifier records, nomenclature assignments, document identifier registers.</w:t>
            </w:r>
          </w:p>
        </w:tc>
      </w:tr>
      <w:tr>
        <w:tc>
          <w:tcPr/>
          <w:p>
            <w:pPr>
              <w:pStyle w:val="Compact"/>
              <w:jc w:val="left"/>
            </w:pPr>
            <w:r>
              <w:t xml:space="preserve">Baseline Records</w:t>
            </w:r>
          </w:p>
        </w:tc>
        <w:tc>
          <w:tcPr/>
          <w:p>
            <w:pPr>
              <w:pStyle w:val="Compact"/>
              <w:jc w:val="left"/>
            </w:pPr>
            <w:r>
              <w:t xml:space="preserve">Baseline definition documents/indices for FBL, ABL, PBL per CI, with approved change status.</w:t>
            </w:r>
          </w:p>
        </w:tc>
      </w:tr>
    </w:tbl>
    <w:bookmarkEnd w:id="49"/>
    <w:bookmarkStart w:id="50" w:name="Xdad9e4ff5fa36829a2d5b8df60ea21dffd0079a"/>
    <w:p>
      <w:pPr>
        <w:pStyle w:val="Heading1"/>
      </w:pPr>
      <w:r>
        <w:t xml:space="preserve">Appendix A: CI Selection Criteria Checklist</w:t>
      </w:r>
    </w:p>
    <w:p>
      <w:pPr>
        <w:pStyle w:val="FirstParagraph"/>
      </w:pPr>
      <w:r>
        <w:t xml:space="preserve">Complete one checklist per candidate item. Attach to the CI Selection Rationale Record.</w:t>
      </w:r>
    </w:p>
    <w:p>
      <w:pPr>
        <w:pStyle w:val="BodyText"/>
      </w:pPr>
      <w:r>
        <w:t xml:space="preserve">Candidate item: ____________________ PIN/Model ref: ____________________ Assessor/date: ____________________</w:t>
      </w:r>
    </w:p>
    <w:p>
      <w:pPr>
        <w:pStyle w:val="BodyText"/>
      </w:pPr>
      <w:r>
        <w:rPr>
          <w:bCs/>
          <w:b/>
        </w:rPr>
        <w:t xml:space="preserve">Step 1: Qualifying Gates</w:t>
      </w:r>
    </w:p>
    <w:p>
      <w:pPr>
        <w:pStyle w:val="BodyText"/>
      </w:pPr>
      <w:r>
        <w:t xml:space="preserve">All three gates must be passed before the criteria screen is run.</w:t>
      </w:r>
    </w:p>
    <w:p>
      <w:pPr>
        <w:pStyle w:val="BodyText"/>
      </w:pPr>
      <w:r>
        <w:t xml:space="preserve">Gate 1. Is the candidate an item, rather than a function, task, failure mode, feature, or location? YES ☐ NO ☐. If NO, the candidate cannot be designated as a CI. It is a signal that items worth screening exist nearby. Ask for the items that implement it and screen those. Stop.</w:t>
      </w:r>
    </w:p>
    <w:p>
      <w:pPr>
        <w:pStyle w:val="BodyText"/>
      </w:pPr>
      <w:r>
        <w:t xml:space="preserve">Gate 2. Does the item satisfy a system end-use function? YES ☐ NO ☐. A structural component that carries flight, ground, or pressurization loads satisfies this gate. Load-carrying structure is not excluded. If NO, the item is not a CI candidate. Record rationale and identify the parent CI under which the item is controlled. Stop.</w:t>
      </w:r>
    </w:p>
    <w:p>
      <w:pPr>
        <w:pStyle w:val="BodyText"/>
      </w:pPr>
      <w:r>
        <w:t xml:space="preserve">Gate 3. Is the item a child of a commercial-off-the-shelf (COTS), catalogue, or vendor item, and procured inseparable from that higher parent item? YES ☐ NO ☐. If YES, screen the procured parent item instead. Do not decompose a supplier-designed item to run this screen, per the same CI or separate CIs decision aid of this process. Record the parent and stop.</w:t>
      </w:r>
    </w:p>
    <w:p>
      <w:pPr>
        <w:pStyle w:val="BodyText"/>
      </w:pPr>
      <w:r>
        <w:rPr>
          <w:bCs/>
          <w:b/>
        </w:rPr>
        <w:t xml:space="preserve">Step 2: Criteria Screen (EIA-649-1A §3.2.1(2)). One or more YES answers requires CI designation and submittal for Acquirer concurrence.</w:t>
      </w:r>
    </w:p>
    <w:p>
      <w:pPr>
        <w:pStyle w:val="BodyText"/>
      </w:pPr>
      <w:r>
        <w:t xml:space="preserve">Answer every row. Record a rationale and a document reference against each criterion that carries one, whether the answer is yes or no. List every criterion that applies, because the designation survives if one underlying fact later changes.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Ref</w:t>
            </w:r>
          </w:p>
        </w:tc>
        <w:tc>
          <w:tcPr/>
          <w:p>
            <w:pPr>
              <w:pStyle w:val="Compact"/>
              <w:jc w:val="left"/>
            </w:pPr>
            <w:r>
              <w:rPr>
                <w:bCs/>
                <w:b/>
              </w:rPr>
              <w:t xml:space="preserve">Criterion, rationale, and document reference</w:t>
            </w:r>
          </w:p>
        </w:tc>
        <w:tc>
          <w:tcPr/>
          <w:p>
            <w:pPr>
              <w:pStyle w:val="Compact"/>
              <w:jc w:val="left"/>
            </w:pPr>
            <w:r>
              <w:rPr>
                <w:bCs/>
                <w:b/>
              </w:rPr>
              <w:t xml:space="preserve">Yes</w:t>
            </w:r>
          </w:p>
        </w:tc>
        <w:tc>
          <w:tcPr/>
          <w:p>
            <w:pPr>
              <w:pStyle w:val="Compact"/>
              <w:jc w:val="left"/>
            </w:pPr>
            <w:r>
              <w:rPr>
                <w:bCs/>
                <w:b/>
              </w:rPr>
              <w:t xml:space="preserve">No</w:t>
            </w:r>
          </w:p>
        </w:tc>
        <w:tc>
          <w:tcPr/>
          <w:p>
            <w:pPr>
              <w:pStyle w:val="Compact"/>
              <w:jc w:val="left"/>
            </w:pPr>
            <w:r>
              <w:rPr>
                <w:bCs/>
                <w:b/>
              </w:rPr>
              <w:t xml:space="preserve">N/A</w:t>
            </w:r>
          </w:p>
        </w:tc>
      </w:tr>
      <w:tr>
        <w:tc>
          <w:tcPr/>
          <w:p>
            <w:pPr>
              <w:pStyle w:val="Compact"/>
              <w:jc w:val="left"/>
            </w:pPr>
            <w:r>
              <w:t xml:space="preserve">(a)</w:t>
            </w:r>
          </w:p>
        </w:tc>
        <w:tc>
          <w:tcPr/>
          <w:p>
            <w:pPr>
              <w:pStyle w:val="Compact"/>
              <w:jc w:val="left"/>
            </w:pPr>
            <w:r>
              <w:t xml:space="preserve">Critical to the functioning of the system </w:t>
            </w:r>
            <w:r>
              <w:rPr>
                <w:iCs/>
                <w:i/>
              </w:rPr>
              <w:t xml:space="preserve">Rationale: ______________________________________________________</w:t>
            </w:r>
            <w:r>
              <w:t xml:space="preserve"> </w:t>
            </w:r>
            <w:r>
              <w:rPr>
                <w:iCs/>
                <w:i/>
              </w:rPr>
              <w:t xml:space="preserve">Document reference: _____________________________________________</w:t>
            </w:r>
          </w:p>
        </w:tc>
        <w:tc>
          <w:tcPr/>
          <w:p>
            <w:pPr>
              <w:pStyle w:val="Compact"/>
            </w:pPr>
          </w:p>
        </w:tc>
        <w:tc>
          <w:tcPr/>
          <w:p>
            <w:pPr>
              <w:pStyle w:val="Compact"/>
            </w:pPr>
          </w:p>
        </w:tc>
        <w:tc>
          <w:tcPr/>
          <w:p>
            <w:pPr>
              <w:pStyle w:val="Compact"/>
            </w:pPr>
          </w:p>
        </w:tc>
      </w:tr>
      <w:tr>
        <w:tc>
          <w:tcPr/>
          <w:p>
            <w:pPr>
              <w:pStyle w:val="Compact"/>
              <w:jc w:val="left"/>
            </w:pPr>
            <w:r>
              <w:t xml:space="preserve">(b)</w:t>
            </w:r>
          </w:p>
        </w:tc>
        <w:tc>
          <w:tcPr/>
          <w:p>
            <w:pPr>
              <w:pStyle w:val="Compact"/>
              <w:jc w:val="left"/>
            </w:pPr>
            <w:r>
              <w:t xml:space="preserve">Failure might result in serious injury, loss of life, or loss of primary system capability </w:t>
            </w:r>
            <w:r>
              <w:rPr>
                <w:iCs/>
                <w:i/>
              </w:rPr>
              <w:t xml:space="preserve">Rationale: ______________________________________________________</w:t>
            </w:r>
            <w:r>
              <w:t xml:space="preserve"> </w:t>
            </w:r>
            <w:r>
              <w:rPr>
                <w:iCs/>
                <w:i/>
              </w:rPr>
              <w:t xml:space="preserve">Document reference: _____________________________________________</w:t>
            </w:r>
          </w:p>
        </w:tc>
        <w:tc>
          <w:tcPr/>
          <w:p>
            <w:pPr>
              <w:pStyle w:val="Compact"/>
            </w:pPr>
          </w:p>
        </w:tc>
        <w:tc>
          <w:tcPr/>
          <w:p>
            <w:pPr>
              <w:pStyle w:val="Compact"/>
            </w:pPr>
          </w:p>
        </w:tc>
        <w:tc>
          <w:tcPr/>
          <w:p>
            <w:pPr>
              <w:pStyle w:val="Compact"/>
            </w:pPr>
          </w:p>
        </w:tc>
      </w:tr>
      <w:tr>
        <w:tc>
          <w:tcPr/>
          <w:p>
            <w:pPr>
              <w:pStyle w:val="Compact"/>
              <w:jc w:val="left"/>
            </w:pPr>
            <w:r>
              <w:t xml:space="preserve">(c)</w:t>
            </w:r>
          </w:p>
        </w:tc>
        <w:tc>
          <w:tcPr/>
          <w:p>
            <w:pPr>
              <w:pStyle w:val="Compact"/>
              <w:jc w:val="left"/>
            </w:pPr>
            <w:r>
              <w:t xml:space="preserve">Technology is complex, not well known, and critical to acquisition, operational, or supportability goals </w:t>
            </w:r>
            <w:r>
              <w:rPr>
                <w:iCs/>
                <w:i/>
              </w:rPr>
              <w:t xml:space="preserve">Rationale: ______________________________________________________</w:t>
            </w:r>
            <w:r>
              <w:t xml:space="preserve"> </w:t>
            </w:r>
            <w:r>
              <w:rPr>
                <w:iCs/>
                <w:i/>
              </w:rPr>
              <w:t xml:space="preserve">Document reference: _____________________________________________</w:t>
            </w:r>
          </w:p>
        </w:tc>
        <w:tc>
          <w:tcPr/>
          <w:p>
            <w:pPr>
              <w:pStyle w:val="Compact"/>
            </w:pPr>
          </w:p>
        </w:tc>
        <w:tc>
          <w:tcPr/>
          <w:p>
            <w:pPr>
              <w:pStyle w:val="Compact"/>
            </w:pPr>
          </w:p>
        </w:tc>
        <w:tc>
          <w:tcPr/>
          <w:p>
            <w:pPr>
              <w:pStyle w:val="Compact"/>
            </w:pPr>
          </w:p>
        </w:tc>
      </w:tr>
      <w:tr>
        <w:tc>
          <w:tcPr/>
          <w:p>
            <w:pPr>
              <w:pStyle w:val="Compact"/>
              <w:jc w:val="left"/>
            </w:pPr>
            <w:r>
              <w:t xml:space="preserve">(d)</w:t>
            </w:r>
          </w:p>
        </w:tc>
        <w:tc>
          <w:tcPr/>
          <w:p>
            <w:pPr>
              <w:pStyle w:val="Compact"/>
              <w:jc w:val="left"/>
            </w:pPr>
            <w:r>
              <w:t xml:space="preserve">The item is under control as designated by the Acquirer </w:t>
            </w:r>
            <w:r>
              <w:rPr>
                <w:iCs/>
                <w:i/>
              </w:rPr>
              <w:t xml:space="preserve">Rationale: ______________________________________________________</w:t>
            </w:r>
            <w:r>
              <w:t xml:space="preserve"> </w:t>
            </w:r>
            <w:r>
              <w:rPr>
                <w:iCs/>
                <w:i/>
              </w:rPr>
              <w:t xml:space="preserve">Document reference: _____________________________________________</w:t>
            </w:r>
          </w:p>
        </w:tc>
        <w:tc>
          <w:tcPr/>
          <w:p>
            <w:pPr>
              <w:pStyle w:val="Compact"/>
            </w:pPr>
          </w:p>
        </w:tc>
        <w:tc>
          <w:tcPr/>
          <w:p>
            <w:pPr>
              <w:pStyle w:val="Compact"/>
            </w:pPr>
          </w:p>
        </w:tc>
        <w:tc>
          <w:tcPr/>
          <w:p>
            <w:pPr>
              <w:pStyle w:val="Compact"/>
            </w:pPr>
          </w:p>
        </w:tc>
      </w:tr>
      <w:tr>
        <w:tc>
          <w:tcPr/>
          <w:p>
            <w:pPr>
              <w:pStyle w:val="Compact"/>
              <w:jc w:val="left"/>
            </w:pPr>
            <w:r>
              <w:t xml:space="preserve">(e)</w:t>
            </w:r>
          </w:p>
        </w:tc>
        <w:tc>
          <w:tcPr/>
          <w:p>
            <w:pPr>
              <w:pStyle w:val="Compact"/>
              <w:jc w:val="left"/>
            </w:pPr>
            <w:r>
              <w:t xml:space="preserve">Requires separate type designation, versions, or nomenclatures </w:t>
            </w:r>
            <w:r>
              <w:rPr>
                <w:iCs/>
                <w:i/>
              </w:rPr>
              <w:t xml:space="preserve">Rationale: ______________________________________________________</w:t>
            </w:r>
            <w:r>
              <w:t xml:space="preserve"> </w:t>
            </w:r>
            <w:r>
              <w:rPr>
                <w:iCs/>
                <w:i/>
              </w:rPr>
              <w:t xml:space="preserve">Document reference: _____________________________________________</w:t>
            </w:r>
          </w:p>
        </w:tc>
        <w:tc>
          <w:tcPr/>
          <w:p>
            <w:pPr>
              <w:pStyle w:val="Compact"/>
            </w:pPr>
          </w:p>
        </w:tc>
        <w:tc>
          <w:tcPr/>
          <w:p>
            <w:pPr>
              <w:pStyle w:val="Compact"/>
            </w:pPr>
          </w:p>
        </w:tc>
        <w:tc>
          <w:tcPr/>
          <w:p>
            <w:pPr>
              <w:pStyle w:val="Compact"/>
            </w:pPr>
          </w:p>
        </w:tc>
      </w:tr>
      <w:tr>
        <w:tc>
          <w:tcPr/>
          <w:p>
            <w:pPr>
              <w:pStyle w:val="Compact"/>
              <w:jc w:val="left"/>
            </w:pPr>
            <w:r>
              <w:t xml:space="preserve">(f)</w:t>
            </w:r>
          </w:p>
        </w:tc>
        <w:tc>
          <w:tcPr/>
          <w:p>
            <w:pPr>
              <w:pStyle w:val="Compact"/>
              <w:jc w:val="left"/>
            </w:pPr>
            <w:r>
              <w:t xml:space="preserve">Critical or high risk; failure would have significant financial impact </w:t>
            </w:r>
            <w:r>
              <w:rPr>
                <w:iCs/>
                <w:i/>
              </w:rPr>
              <w:t xml:space="preserve">Rationale: ______________________________________________________</w:t>
            </w:r>
            <w:r>
              <w:t xml:space="preserve"> </w:t>
            </w:r>
            <w:r>
              <w:rPr>
                <w:iCs/>
                <w:i/>
              </w:rPr>
              <w:t xml:space="preserve">Document reference: _____________________________________________</w:t>
            </w:r>
          </w:p>
        </w:tc>
        <w:tc>
          <w:tcPr/>
          <w:p>
            <w:pPr>
              <w:pStyle w:val="Compact"/>
            </w:pPr>
          </w:p>
        </w:tc>
        <w:tc>
          <w:tcPr/>
          <w:p>
            <w:pPr>
              <w:pStyle w:val="Compact"/>
            </w:pPr>
          </w:p>
        </w:tc>
        <w:tc>
          <w:tcPr/>
          <w:p>
            <w:pPr>
              <w:pStyle w:val="Compact"/>
            </w:pPr>
          </w:p>
        </w:tc>
      </w:tr>
      <w:tr>
        <w:tc>
          <w:tcPr/>
          <w:p>
            <w:pPr>
              <w:pStyle w:val="Compact"/>
              <w:jc w:val="left"/>
            </w:pPr>
            <w:r>
              <w:t xml:space="preserve">(g)</w:t>
            </w:r>
          </w:p>
        </w:tc>
        <w:tc>
          <w:tcPr/>
          <w:p>
            <w:pPr>
              <w:pStyle w:val="Compact"/>
              <w:jc w:val="left"/>
            </w:pPr>
            <w:r>
              <w:t xml:space="preserve">Requires dedicated logistics support elements (e.g.,APL/AEL/ACL provisioning lists, special test equipment, technical manuals, PMS MIP/MRC, danger/caution tag-out) </w:t>
            </w:r>
            <w:r>
              <w:rPr>
                <w:iCs/>
                <w:i/>
              </w:rPr>
              <w:t xml:space="preserve">Rationale: ______________________________________________________</w:t>
            </w:r>
            <w:r>
              <w:t xml:space="preserve"> </w:t>
            </w:r>
            <w:r>
              <w:rPr>
                <w:iCs/>
                <w:i/>
              </w:rPr>
              <w:t xml:space="preserve">Document reference: _____________________________________________</w:t>
            </w:r>
          </w:p>
        </w:tc>
        <w:tc>
          <w:tcPr/>
          <w:p>
            <w:pPr>
              <w:pStyle w:val="Compact"/>
            </w:pPr>
          </w:p>
        </w:tc>
        <w:tc>
          <w:tcPr/>
          <w:p>
            <w:pPr>
              <w:pStyle w:val="Compact"/>
            </w:pPr>
          </w:p>
        </w:tc>
        <w:tc>
          <w:tcPr/>
          <w:p>
            <w:pPr>
              <w:pStyle w:val="Compact"/>
            </w:pPr>
          </w:p>
        </w:tc>
      </w:tr>
      <w:tr>
        <w:tc>
          <w:tcPr/>
          <w:p>
            <w:pPr>
              <w:pStyle w:val="Compact"/>
              <w:jc w:val="left"/>
            </w:pPr>
            <w:r>
              <w:t xml:space="preserve">SW</w:t>
            </w:r>
          </w:p>
        </w:tc>
        <w:tc>
          <w:tcPr/>
          <w:p>
            <w:pPr>
              <w:pStyle w:val="Compact"/>
              <w:jc w:val="left"/>
            </w:pPr>
            <w:r>
              <w:t xml:space="preserve">Item is computer software </w:t>
            </w:r>
            <w:r>
              <w:rPr>
                <w:iCs/>
                <w:i/>
              </w:rPr>
              <w:t xml:space="preserve">Rationale: ______________________________________________________</w:t>
            </w:r>
            <w:r>
              <w:t xml:space="preserve"> </w:t>
            </w:r>
            <w:r>
              <w:rPr>
                <w:iCs/>
                <w:i/>
              </w:rPr>
              <w:t xml:space="preserve">Document reference: _____________________________________________</w:t>
            </w:r>
          </w:p>
        </w:tc>
        <w:tc>
          <w:tcPr/>
          <w:p>
            <w:pPr>
              <w:pStyle w:val="Compact"/>
            </w:pPr>
          </w:p>
        </w:tc>
        <w:tc>
          <w:tcPr/>
          <w:p>
            <w:pPr>
              <w:pStyle w:val="Compact"/>
            </w:pPr>
          </w:p>
        </w:tc>
        <w:tc>
          <w:tcPr/>
          <w:p>
            <w:pPr>
              <w:pStyle w:val="Compact"/>
            </w:pPr>
          </w:p>
        </w:tc>
      </w:tr>
    </w:tbl>
    <w:p>
      <w:pPr>
        <w:pStyle w:val="BodyText"/>
      </w:pPr>
      <w:r>
        <w:t xml:space="preserve">Result: DESIGNATE AS CI ☐ DO NOT DESIGNATE ☐</w:t>
      </w:r>
    </w:p>
    <w:p>
      <w:pPr>
        <w:pStyle w:val="BodyText"/>
      </w:pPr>
      <w:r>
        <w:t xml:space="preserve">Rationale: ________________________________________________________________________</w:t>
      </w:r>
    </w:p>
    <w:p>
      <w:pPr>
        <w:pStyle w:val="BodyText"/>
      </w:pPr>
      <w:r>
        <w:t xml:space="preserve">Concurrence signatures. Record each concurrence that applies. CI selection is a CM decision; the concurrences confirm that the technical basis is sound, they do not make the selection.</w:t>
      </w:r>
    </w:p>
    <w:p>
      <w:pPr>
        <w:pStyle w:val="BodyText"/>
      </w:pPr>
      <w:r>
        <w:t xml:space="preserve">System Safety, required if criterion (b) was answered yes and the item is not designated as a CI: ____________________ Date: ____________</w:t>
      </w:r>
    </w:p>
    <w:p>
      <w:pPr>
        <w:pStyle w:val="BodyText"/>
      </w:pPr>
      <w:r>
        <w:t xml:space="preserve">RM&amp;SH, required where the determination rests on failure modes and effects or criticality analysis, single point or common mode failure identification, or a maintainability or health-monitoring driven limit: ____________________ Date: ____________</w:t>
      </w:r>
    </w:p>
    <w:p>
      <w:pPr>
        <w:pStyle w:val="BodyText"/>
      </w:pPr>
      <w:r>
        <w:t xml:space="preserve">Systems Engineering, required on the end-use function gate and where the determination rests on specification or interface considerations: ____________________ Date: ____________</w:t>
      </w:r>
    </w:p>
    <w:p>
      <w:pPr>
        <w:pStyle w:val="BodyText"/>
      </w:pPr>
      <w:r>
        <w:t xml:space="preserve">CM, determination: ____________________ Date: ____________</w:t>
      </w:r>
    </w:p>
    <w:bookmarkEnd w:id="50"/>
    <w:bookmarkStart w:id="55" w:name="Xcea374bd0dc9784bd80470811ecf2786c24cac2"/>
    <w:p>
      <w:pPr>
        <w:pStyle w:val="Heading1"/>
      </w:pPr>
      <w:r>
        <w:t xml:space="preserve">Appendix B: MBSE-to-CI Structure Alignment Guidance</w:t>
      </w:r>
    </w:p>
    <w:bookmarkStart w:id="51" w:name="b.1-rule"/>
    <w:p>
      <w:pPr>
        <w:pStyle w:val="Heading2"/>
      </w:pPr>
      <w:r>
        <w:t xml:space="preserve">B.1 Rule</w:t>
      </w:r>
    </w:p>
    <w:p>
      <w:pPr>
        <w:pStyle w:val="FirstParagraph"/>
      </w:pPr>
      <w:r>
        <w:t xml:space="preserve">Where MBSE is used, the CI parent-child hierarchy mirrors the decomposition method of the MBSE architecture model. The CI structure and the architecture model are two views of one decomposition; they do not diverge.</w:t>
      </w:r>
    </w:p>
    <w:bookmarkEnd w:id="51"/>
    <w:bookmarkStart w:id="52" w:name="b.2-preferred-decomposition-schemes"/>
    <w:p>
      <w:pPr>
        <w:pStyle w:val="Heading2"/>
      </w:pPr>
      <w:r>
        <w:t xml:space="preserve">B.2 Preferred Decomposition Schemes</w:t>
      </w:r>
    </w:p>
    <w:p>
      <w:pPr>
        <w:numPr>
          <w:ilvl w:val="0"/>
          <w:numId w:val="1010"/>
        </w:numPr>
      </w:pPr>
      <w:r>
        <w:t xml:space="preserve">ATA chapter scheme (ATA iSpec 2200): decompose the air vehicle by ATA chapter/section; CIs at each level carry the corresponding ATA reference as an attribute in the CI index.</w:t>
      </w:r>
    </w:p>
    <w:p>
      <w:pPr>
        <w:numPr>
          <w:ilvl w:val="0"/>
          <w:numId w:val="1010"/>
        </w:numPr>
      </w:pPr>
      <w:r>
        <w:t xml:space="preserve">S1000D SNS: decompose using the Standard Numbering System; CI identifiers cross-reference the SNS codes used in the technical data suite.</w:t>
      </w:r>
    </w:p>
    <w:p>
      <w:pPr>
        <w:pStyle w:val="FirstParagraph"/>
      </w:pPr>
      <w:r>
        <w:t xml:space="preserve">Implement the model in SysML or UAF. The model element type used for decomposition (e.g., SysML block hierarchies / part properties; UAF resource structures) is recorded in the program CMP.</w:t>
      </w:r>
    </w:p>
    <w:bookmarkEnd w:id="52"/>
    <w:bookmarkStart w:id="53" w:name="X8ea4c781476456725aa71c1de21fa6e58e8e509"/>
    <w:p>
      <w:pPr>
        <w:pStyle w:val="Heading2"/>
      </w:pPr>
      <w:r>
        <w:t xml:space="preserve">B.3 When the Model Uses a Different Scheme</w:t>
      </w:r>
    </w:p>
    <w:p>
      <w:pPr>
        <w:pStyle w:val="FirstParagraph"/>
      </w:pPr>
      <w:r>
        <w:t xml:space="preserve">If the program MBSE model decomposes by another method (functional thread, zonal, WBS-based), the CI structure mirrors that method. Do not maintain a second, independent CI decomposition. Record the mapping convention in the CMP and note any contract-driven exceptions (e.g., Acquirer-directed CI levels) explicitly in the CI index.</w:t>
      </w:r>
    </w:p>
    <w:bookmarkEnd w:id="53"/>
    <w:bookmarkStart w:id="54" w:name="b.4-practices"/>
    <w:p>
      <w:pPr>
        <w:pStyle w:val="Heading2"/>
      </w:pPr>
      <w:r>
        <w:t xml:space="preserve">B.4 Practices</w:t>
      </w:r>
    </w:p>
    <w:p>
      <w:pPr>
        <w:numPr>
          <w:ilvl w:val="0"/>
          <w:numId w:val="1011"/>
        </w:numPr>
      </w:pPr>
      <w:r>
        <w:t xml:space="preserve">Assign each CI a persistent cross-reference to its corresponding model element (model element ID recorded in the CI index; CI identifier recorded as a model element property).</w:t>
      </w:r>
    </w:p>
    <w:p>
      <w:pPr>
        <w:numPr>
          <w:ilvl w:val="0"/>
          <w:numId w:val="1011"/>
        </w:numPr>
      </w:pPr>
      <w:r>
        <w:t xml:space="preserve">Treat changes to the model decomposition as triggers for CI structure re-evaluation; process structural changes through configuration control once baselined.</w:t>
      </w:r>
    </w:p>
    <w:p>
      <w:pPr>
        <w:numPr>
          <w:ilvl w:val="0"/>
          <w:numId w:val="1011"/>
        </w:numPr>
      </w:pPr>
      <w:r>
        <w:t xml:space="preserve">Verify alignment at each technical review and prior to each baseline establishment: every Acquirer-controlled CI resolves to a model element, and every model element at the CI-designation level has been screened against the selection criteria.</w:t>
      </w:r>
    </w:p>
    <w:p>
      <w:pPr>
        <w:numPr>
          <w:ilvl w:val="0"/>
          <w:numId w:val="1011"/>
        </w:numPr>
      </w:pPr>
      <w:r>
        <w:t xml:space="preserve">Verify model-interface-to-register alignment as part of the coverage check: every interface element in the model resolves to an interface register row and vice versa.</w:t>
      </w:r>
    </w:p>
    <w:p>
      <w:pPr>
        <w:numPr>
          <w:ilvl w:val="0"/>
          <w:numId w:val="1011"/>
        </w:numPr>
      </w:pPr>
      <w:r>
        <w:t xml:space="preserve">For hybrid programs (partial MBSE coverage), the modeled portion of the product structure follows this appendix; the unmodeled portion follows specification decomposition methods or certification decomposition methods, with the seam documented in the CMP.</w:t>
      </w:r>
    </w:p>
    <w:bookmarkEnd w:id="54"/>
    <w:bookmarkEnd w:id="55"/>
    <w:bookmarkStart w:id="63" w:name="Xcae0d696bd288e61297c299f163a60a6bf32df6"/>
    <w:p>
      <w:pPr>
        <w:pStyle w:val="Heading1"/>
      </w:pPr>
      <w:r>
        <w:t xml:space="preserve">Appendix C: External Criticality Designations as Screening Inputs</w:t>
      </w:r>
    </w:p>
    <w:p>
      <w:pPr>
        <w:pStyle w:val="FirstParagraph"/>
      </w:pPr>
      <w:r>
        <w:t xml:space="preserve">This appendix catalogs criticality designations assigned outside this process by statute, by regulation, by certification basis, by a customer, or by a safety analysis. It states how each bears on the selection criteria screen. These terms are not synonyms and they do not nest. One part number can carry several at once, each bringing its own evidence obligation.</w:t>
      </w:r>
    </w:p>
    <w:p>
      <w:pPr>
        <w:pStyle w:val="BodyText"/>
      </w:pPr>
      <w:r>
        <w:t xml:space="preserve">The appendix serves candidate identification. It is an input to that screen, never a substitute for it, and the two cautions in C.4 govern its use throughout.</w:t>
      </w:r>
    </w:p>
    <w:bookmarkStart w:id="56" w:name="Xda904bb150044eda28b789fd2cb7744df60cf04"/>
    <w:p>
      <w:pPr>
        <w:pStyle w:val="Heading2"/>
      </w:pPr>
      <w:r>
        <w:t xml:space="preserve">C.1 Conditions that always satisfy criterion (b), the safety criterion</w:t>
      </w:r>
    </w:p>
    <w:p>
      <w:pPr>
        <w:pStyle w:val="FirstParagraph"/>
      </w:pPr>
      <w:r>
        <w:t xml:space="preserve">When a condition in Table C-1 lands on an item, criterion (b), failure might result in serious injury, loss of life, or loss of primary system capability, is satisfied. Each of these conditions states, in its own definition, a consequence that meets the criterion. CM records the condition and cites it as the basis for the determination. CM does not re-determine the consequence judgment. That judgment was made by qualified people and accepted by an authority. Continue screening against the remaining criteria, which frequently also apply (C.5).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Condition</w:t>
            </w:r>
          </w:p>
        </w:tc>
        <w:tc>
          <w:tcPr/>
          <w:p>
            <w:pPr>
              <w:pStyle w:val="Compact"/>
              <w:jc w:val="left"/>
            </w:pPr>
            <w:r>
              <w:rPr>
                <w:bCs/>
                <w:b/>
              </w:rPr>
              <w:t xml:space="preserve">Where it is encountered</w:t>
            </w:r>
          </w:p>
        </w:tc>
        <w:tc>
          <w:tcPr/>
          <w:p>
            <w:pPr>
              <w:pStyle w:val="Compact"/>
              <w:jc w:val="left"/>
            </w:pPr>
            <w:r>
              <w:rPr>
                <w:bCs/>
                <w:b/>
              </w:rPr>
              <w:t xml:space="preserve">Why it satisfies the safety criterion on its own terms</w:t>
            </w:r>
          </w:p>
        </w:tc>
        <w:tc>
          <w:tcPr/>
          <w:p>
            <w:pPr>
              <w:pStyle w:val="Compact"/>
              <w:jc w:val="left"/>
            </w:pPr>
            <w:r>
              <w:rPr>
                <w:bCs/>
                <w:b/>
              </w:rPr>
              <w:t xml:space="preserve">Record structure it implies</w:t>
            </w:r>
          </w:p>
        </w:tc>
      </w:tr>
      <w:tr>
        <w:tc>
          <w:tcPr/>
          <w:p>
            <w:pPr>
              <w:pStyle w:val="Compact"/>
              <w:jc w:val="left"/>
            </w:pPr>
            <w:r>
              <w:t xml:space="preserve">Critical safety item, aviation</w:t>
            </w:r>
          </w:p>
        </w:tc>
        <w:tc>
          <w:tcPr/>
          <w:p>
            <w:pPr>
              <w:pStyle w:val="Compact"/>
              <w:jc w:val="left"/>
            </w:pPr>
            <w:r>
              <w:t xml:space="preserve">US defense aviation programs; assigned by the customer’s engineering activity</w:t>
            </w:r>
          </w:p>
        </w:tc>
        <w:tc>
          <w:tcPr/>
          <w:p>
            <w:pPr>
              <w:pStyle w:val="Compact"/>
              <w:jc w:val="left"/>
            </w:pPr>
            <w:r>
              <w:t xml:space="preserve">The statutory definition is the safety criterion in different words: failure, malfunction or absence could cause catastrophic or critical failure, loss of life, or unacceptable risk of injury</w:t>
            </w:r>
          </w:p>
        </w:tc>
        <w:tc>
          <w:tcPr/>
          <w:p>
            <w:pPr>
              <w:pStyle w:val="Compact"/>
              <w:jc w:val="left"/>
            </w:pPr>
            <w:r>
              <w:t xml:space="preserve">Serial number, through item unique identification. These items are identified as DoD serially managed, so unique identification applies regardless of unit cost. Lot or batch with traceability to an approved source runs in addition, not instead. The serial number arrives through unique identification, not through the criticality designation itself</w:t>
            </w:r>
          </w:p>
        </w:tc>
      </w:tr>
      <w:tr>
        <w:tc>
          <w:tcPr/>
          <w:p>
            <w:pPr>
              <w:pStyle w:val="Compact"/>
              <w:jc w:val="left"/>
            </w:pPr>
            <w:r>
              <w:t xml:space="preserve">Critical safety item, ship</w:t>
            </w:r>
          </w:p>
        </w:tc>
        <w:tc>
          <w:tcPr/>
          <w:p>
            <w:pPr>
              <w:pStyle w:val="Compact"/>
              <w:jc w:val="left"/>
            </w:pPr>
            <w:r>
              <w:t xml:space="preserve">US defense ship systems. </w:t>
            </w:r>
            <w:r>
              <w:rPr>
                <w:bCs/>
                <w:b/>
              </w:rPr>
              <w:t xml:space="preserve">Verify</w:t>
            </w:r>
            <w:r>
              <w:t xml:space="preserve"> against the governing contract</w:t>
            </w:r>
          </w:p>
        </w:tc>
        <w:tc>
          <w:tcPr/>
          <w:p>
            <w:pPr>
              <w:pStyle w:val="Compact"/>
              <w:jc w:val="left"/>
            </w:pPr>
            <w:r>
              <w:t xml:space="preserve">The same statutory construct, applied to ship systems</w:t>
            </w:r>
          </w:p>
        </w:tc>
        <w:tc>
          <w:tcPr/>
          <w:p>
            <w:pPr>
              <w:pStyle w:val="Compact"/>
              <w:jc w:val="left"/>
            </w:pPr>
            <w:r>
              <w:t xml:space="preserve">Serial number, on the same route as the aviation row. Heat and lot traceability with objective quality evidence runs in addition</w:t>
            </w:r>
          </w:p>
        </w:tc>
      </w:tr>
      <w:tr>
        <w:tc>
          <w:tcPr/>
          <w:p>
            <w:pPr>
              <w:pStyle w:val="Compact"/>
              <w:jc w:val="left"/>
            </w:pPr>
            <w:r>
              <w:t xml:space="preserve">Flight safety critical aircraft part</w:t>
            </w:r>
          </w:p>
        </w:tc>
        <w:tc>
          <w:tcPr/>
          <w:p>
            <w:pPr>
              <w:pStyle w:val="Compact"/>
              <w:jc w:val="left"/>
            </w:pPr>
            <w:r>
              <w:t xml:space="preserve">Legacy US defense term; encountered on older drawings. </w:t>
            </w:r>
            <w:r>
              <w:rPr>
                <w:bCs/>
                <w:b/>
              </w:rPr>
              <w:t xml:space="preserve">Verify</w:t>
            </w:r>
          </w:p>
        </w:tc>
        <w:tc>
          <w:tcPr/>
          <w:p>
            <w:pPr>
              <w:pStyle w:val="Compact"/>
              <w:jc w:val="left"/>
            </w:pPr>
            <w:r>
              <w:t xml:space="preserve">Legacy label for a part whose failure would cause loss of the aircraft or of life</w:t>
            </w:r>
          </w:p>
        </w:tc>
        <w:tc>
          <w:tcPr/>
          <w:p>
            <w:pPr>
              <w:pStyle w:val="Compact"/>
              <w:jc w:val="left"/>
            </w:pPr>
            <w:r>
              <w:t xml:space="preserve">Historically accompanied by marking and traceability requirements; confirm what the drawing actually imposes. Where the item maps to the current critical safety item construct, the serial number follows from that row. Map it rather than assuming equivalence</w:t>
            </w:r>
          </w:p>
        </w:tc>
      </w:tr>
      <w:tr>
        <w:tc>
          <w:tcPr/>
          <w:p>
            <w:pPr>
              <w:pStyle w:val="Compact"/>
              <w:jc w:val="left"/>
            </w:pPr>
            <w:r>
              <w:t xml:space="preserve">Engine critical part</w:t>
            </w:r>
          </w:p>
        </w:tc>
        <w:tc>
          <w:tcPr/>
          <w:p>
            <w:pPr>
              <w:pStyle w:val="Compact"/>
              <w:jc w:val="left"/>
            </w:pPr>
            <w:r>
              <w:t xml:space="preserve">Civil engine certification</w:t>
            </w:r>
          </w:p>
        </w:tc>
        <w:tc>
          <w:tcPr/>
          <w:p>
            <w:pPr>
              <w:pStyle w:val="Compact"/>
              <w:jc w:val="left"/>
            </w:pPr>
            <w:r>
              <w:t xml:space="preserve">Primary failure is likely to result in a hazardous engine effect, which reaches the criterion through both the injury limb and the loss-of-capability limb</w:t>
            </w:r>
          </w:p>
        </w:tc>
        <w:tc>
          <w:tcPr/>
          <w:p>
            <w:pPr>
              <w:pStyle w:val="Compact"/>
              <w:jc w:val="left"/>
            </w:pPr>
            <w:r>
              <w:t xml:space="preserve">Serial number, driven by the airworthiness limitations entry. Heat and lot traceability in addition</w:t>
            </w:r>
          </w:p>
        </w:tc>
      </w:tr>
      <w:tr>
        <w:tc>
          <w:tcPr/>
          <w:p>
            <w:pPr>
              <w:pStyle w:val="Compact"/>
              <w:jc w:val="left"/>
            </w:pPr>
            <w:r>
              <w:t xml:space="preserve">Engine life-limited part</w:t>
            </w:r>
          </w:p>
        </w:tc>
        <w:tc>
          <w:tcPr/>
          <w:p>
            <w:pPr>
              <w:pStyle w:val="Compact"/>
              <w:jc w:val="left"/>
            </w:pPr>
            <w:r>
              <w:t xml:space="preserve">Civil engine certification</w:t>
            </w:r>
          </w:p>
        </w:tc>
        <w:tc>
          <w:tcPr/>
          <w:p>
            <w:pPr>
              <w:pStyle w:val="Compact"/>
              <w:jc w:val="left"/>
            </w:pPr>
            <w:r>
              <w:t xml:space="preserve">The population is defined by hazardous failure consequence; the life limit is how that consequence is managed</w:t>
            </w:r>
          </w:p>
        </w:tc>
        <w:tc>
          <w:tcPr/>
          <w:p>
            <w:pPr>
              <w:pStyle w:val="Compact"/>
              <w:jc w:val="left"/>
            </w:pPr>
            <w:r>
              <w:t xml:space="preserve">Serial number. This is the clearest case in the appendix: remaining life is a per-unit quantity, so the unit must stay individually identifiable</w:t>
            </w:r>
          </w:p>
        </w:tc>
      </w:tr>
      <w:tr>
        <w:tc>
          <w:tcPr/>
          <w:p>
            <w:pPr>
              <w:pStyle w:val="Compact"/>
              <w:jc w:val="left"/>
            </w:pPr>
            <w:r>
              <w:t xml:space="preserve">Propeller critical part; auxiliary power unit critical part</w:t>
            </w:r>
          </w:p>
        </w:tc>
        <w:tc>
          <w:tcPr/>
          <w:p>
            <w:pPr>
              <w:pStyle w:val="Compact"/>
              <w:jc w:val="left"/>
            </w:pPr>
            <w:r>
              <w:t xml:space="preserve">Civil certification</w:t>
            </w:r>
          </w:p>
        </w:tc>
        <w:tc>
          <w:tcPr/>
          <w:p>
            <w:pPr>
              <w:pStyle w:val="Compact"/>
              <w:jc w:val="left"/>
            </w:pPr>
            <w:r>
              <w:t xml:space="preserve">Primary failure is likely to produce a hazardous effect on the propeller or unit</w:t>
            </w:r>
          </w:p>
        </w:tc>
        <w:tc>
          <w:tcPr/>
          <w:p>
            <w:pPr>
              <w:pStyle w:val="Compact"/>
              <w:jc w:val="left"/>
            </w:pPr>
            <w:r>
              <w:t xml:space="preserve">Serial number where an airworthiness limitation attaches</w:t>
            </w:r>
          </w:p>
        </w:tc>
      </w:tr>
      <w:tr>
        <w:tc>
          <w:tcPr/>
          <w:p>
            <w:pPr>
              <w:pStyle w:val="Compact"/>
              <w:jc w:val="left"/>
            </w:pPr>
            <w:r>
              <w:t xml:space="preserve">Rotorcraft critical part</w:t>
            </w:r>
          </w:p>
        </w:tc>
        <w:tc>
          <w:tcPr/>
          <w:p>
            <w:pPr>
              <w:pStyle w:val="Compact"/>
              <w:jc w:val="left"/>
            </w:pPr>
            <w:r>
              <w:t xml:space="preserve">Civil rotorcraft certification</w:t>
            </w:r>
          </w:p>
        </w:tc>
        <w:tc>
          <w:tcPr/>
          <w:p>
            <w:pPr>
              <w:pStyle w:val="Compact"/>
              <w:jc w:val="left"/>
            </w:pPr>
            <w:r>
              <w:t xml:space="preserve">Failure could have a catastrophic effect on the rotorcraft</w:t>
            </w:r>
          </w:p>
        </w:tc>
        <w:tc>
          <w:tcPr/>
          <w:p>
            <w:pPr>
              <w:pStyle w:val="Compact"/>
              <w:jc w:val="left"/>
            </w:pPr>
            <w:r>
              <w:t xml:space="preserve">Serial number where an airworthiness limitation attaches, which is the usual outcome of an approved critical parts plan. Lot or batch runs in addition, not instead. Control of the identified critical characteristics generates lot and process records independently of the serial number</w:t>
            </w:r>
          </w:p>
        </w:tc>
      </w:tr>
      <w:tr>
        <w:tc>
          <w:tcPr/>
          <w:p>
            <w:pPr>
              <w:pStyle w:val="Compact"/>
              <w:jc w:val="left"/>
            </w:pPr>
            <w:r>
              <w:t xml:space="preserve">Fracture critical traceable part</w:t>
            </w:r>
          </w:p>
        </w:tc>
        <w:tc>
          <w:tcPr/>
          <w:p>
            <w:pPr>
              <w:pStyle w:val="Compact"/>
              <w:jc w:val="left"/>
            </w:pPr>
            <w:r>
              <w:t xml:space="preserve">Defense airframe structure, under the structures integrity program</w:t>
            </w:r>
          </w:p>
        </w:tc>
        <w:tc>
          <w:tcPr/>
          <w:p>
            <w:pPr>
              <w:pStyle w:val="Compact"/>
              <w:jc w:val="left"/>
            </w:pPr>
            <w:r>
              <w:t xml:space="preserve">Failure by cracking would cause loss of the aircraft</w:t>
            </w:r>
          </w:p>
        </w:tc>
        <w:tc>
          <w:tcPr/>
          <w:p>
            <w:pPr>
              <w:pStyle w:val="Compact"/>
              <w:jc w:val="left"/>
            </w:pPr>
            <w:r>
              <w:t xml:space="preserve">Serial number. The standard names serialization and traceability as controls for this category. Heat and lot traceability runs in addition</w:t>
            </w:r>
          </w:p>
        </w:tc>
      </w:tr>
      <w:tr>
        <w:tc>
          <w:tcPr/>
          <w:p>
            <w:pPr>
              <w:pStyle w:val="Compact"/>
              <w:jc w:val="left"/>
            </w:pPr>
            <w:r>
              <w:t xml:space="preserve">Fracture critical part</w:t>
            </w:r>
          </w:p>
        </w:tc>
        <w:tc>
          <w:tcPr/>
          <w:p>
            <w:pPr>
              <w:pStyle w:val="Compact"/>
              <w:jc w:val="left"/>
            </w:pPr>
            <w:r>
              <w:t xml:space="preserve">Defense airframe structure, under the structures integrity program</w:t>
            </w:r>
          </w:p>
        </w:tc>
        <w:tc>
          <w:tcPr/>
          <w:p>
            <w:pPr>
              <w:pStyle w:val="Compact"/>
              <w:jc w:val="left"/>
            </w:pPr>
            <w:r>
              <w:t xml:space="preserve">Failure by cracking would cause loss of the aircraft</w:t>
            </w:r>
          </w:p>
        </w:tc>
        <w:tc>
          <w:tcPr/>
          <w:p>
            <w:pPr>
              <w:pStyle w:val="Compact"/>
              <w:jc w:val="left"/>
            </w:pPr>
            <w:r>
              <w:t xml:space="preserve">Lot or batch at heat level, with process control on forging, machining, and surface treatment. This category carries no serialization obligation on its own</w:t>
            </w:r>
          </w:p>
        </w:tc>
      </w:tr>
      <w:tr>
        <w:tc>
          <w:tcPr/>
          <w:p>
            <w:pPr>
              <w:pStyle w:val="Compact"/>
              <w:jc w:val="left"/>
            </w:pPr>
            <w:r>
              <w:t xml:space="preserve">Fracture critical component</w:t>
            </w:r>
          </w:p>
        </w:tc>
        <w:tc>
          <w:tcPr/>
          <w:p>
            <w:pPr>
              <w:pStyle w:val="Compact"/>
              <w:jc w:val="left"/>
            </w:pPr>
            <w:r>
              <w:t xml:space="preserve">Defense engines, under the engine structural integrity program</w:t>
            </w:r>
          </w:p>
        </w:tc>
        <w:tc>
          <w:tcPr/>
          <w:p>
            <w:pPr>
              <w:pStyle w:val="Compact"/>
              <w:jc w:val="left"/>
            </w:pPr>
            <w:r>
              <w:t xml:space="preserve">Failure would be catastrophic</w:t>
            </w:r>
          </w:p>
        </w:tc>
        <w:tc>
          <w:tcPr/>
          <w:p>
            <w:pPr>
              <w:pStyle w:val="Compact"/>
              <w:jc w:val="left"/>
            </w:pPr>
            <w:r>
              <w:t xml:space="preserve">Conditional, and typically required for rotating hardware, because cycle-based life tracking demands per-unit identity. The governing standard was cancelled and only a handbook survives, so the designation usually rests on program statement of work language rather than on a citable standard. Screen the item on consequence. Record the contractual basis in the selection rationale so the next assessor can see where the designation came from</w:t>
            </w:r>
          </w:p>
        </w:tc>
      </w:tr>
      <w:tr>
        <w:tc>
          <w:tcPr/>
          <w:p>
            <w:pPr>
              <w:pStyle w:val="Compact"/>
              <w:jc w:val="left"/>
            </w:pPr>
            <w:r>
              <w:t xml:space="preserve">Fracture critical hardware</w:t>
            </w:r>
          </w:p>
        </w:tc>
        <w:tc>
          <w:tcPr/>
          <w:p>
            <w:pPr>
              <w:pStyle w:val="Compact"/>
              <w:jc w:val="left"/>
            </w:pPr>
            <w:r>
              <w:t xml:space="preserve">Spaceflight programs, under the fracture control board</w:t>
            </w:r>
          </w:p>
        </w:tc>
        <w:tc>
          <w:tcPr/>
          <w:p>
            <w:pPr>
              <w:pStyle w:val="Compact"/>
              <w:jc w:val="left"/>
            </w:pPr>
            <w:r>
              <w:t xml:space="preserve">Failure originating from a crack would produce a catastrophic hazard</w:t>
            </w:r>
          </w:p>
        </w:tc>
        <w:tc>
          <w:tcPr/>
          <w:p>
            <w:pPr>
              <w:pStyle w:val="Compact"/>
              <w:jc w:val="left"/>
            </w:pPr>
            <w:r>
              <w:t xml:space="preserve">Serial number, with material traceability</w:t>
            </w:r>
          </w:p>
        </w:tc>
      </w:tr>
      <w:tr>
        <w:tc>
          <w:tcPr/>
          <w:p>
            <w:pPr>
              <w:pStyle w:val="Compact"/>
              <w:jc w:val="left"/>
            </w:pPr>
            <w:r>
              <w:t xml:space="preserve">Safety-related structure, system or component</w:t>
            </w:r>
          </w:p>
        </w:tc>
        <w:tc>
          <w:tcPr/>
          <w:p>
            <w:pPr>
              <w:pStyle w:val="Compact"/>
              <w:jc w:val="left"/>
            </w:pPr>
            <w:r>
              <w:t xml:space="preserve">Nuclear applications, on the quality list</w:t>
            </w:r>
          </w:p>
        </w:tc>
        <w:tc>
          <w:tcPr/>
          <w:p>
            <w:pPr>
              <w:pStyle w:val="Compact"/>
              <w:jc w:val="left"/>
            </w:pPr>
            <w:r>
              <w:t xml:space="preserve">Required to perform a safety function, or to prevent or mitigate the consequences of an accident</w:t>
            </w:r>
          </w:p>
        </w:tc>
        <w:tc>
          <w:tcPr/>
          <w:p>
            <w:pPr>
              <w:pStyle w:val="Compact"/>
              <w:jc w:val="left"/>
            </w:pPr>
            <w:r>
              <w:rPr>
                <w:bCs/>
                <w:b/>
              </w:rPr>
              <w:t xml:space="preserve">Lot or batch.</w:t>
            </w:r>
            <w:r>
              <w:t xml:space="preserve"> Commercial grade dedication accepts the item against identified critical characteristics on a lot basis. This is a catastrophic-consequence item that is legitimately not serialized</w:t>
            </w:r>
          </w:p>
        </w:tc>
      </w:tr>
      <w:tr>
        <w:tc>
          <w:tcPr/>
          <w:p>
            <w:pPr>
              <w:pStyle w:val="Compact"/>
              <w:jc w:val="left"/>
            </w:pPr>
            <w:r>
              <w:t xml:space="preserve">Safety-critical </w:t>
            </w:r>
            <w:r>
              <w:rPr>
                <w:bCs/>
                <w:b/>
              </w:rPr>
              <w:t xml:space="preserve">item</w:t>
            </w:r>
            <w:r>
              <w:t xml:space="preserve"> from the system safety analysis (the item half only)</w:t>
            </w:r>
          </w:p>
        </w:tc>
        <w:tc>
          <w:tcPr/>
          <w:p>
            <w:pPr>
              <w:pStyle w:val="Compact"/>
              <w:jc w:val="left"/>
            </w:pPr>
            <w:r>
              <w:t xml:space="preserve">Any program running a formal system safety program</w:t>
            </w:r>
          </w:p>
        </w:tc>
        <w:tc>
          <w:tcPr/>
          <w:p>
            <w:pPr>
              <w:pStyle w:val="Compact"/>
              <w:jc w:val="left"/>
            </w:pPr>
            <w:r>
              <w:t xml:space="preserve">Analysis determined the hardware or software item could contribute to a hazard with catastrophic or critical mishap potential</w:t>
            </w:r>
          </w:p>
        </w:tc>
        <w:tc>
          <w:tcPr/>
          <w:p>
            <w:pPr>
              <w:pStyle w:val="Compact"/>
              <w:jc w:val="left"/>
            </w:pPr>
            <w:r>
              <w:t xml:space="preserve">Not imposed by the criticality designation. Follows from the controls chosen to mitigate the hazard</w:t>
            </w:r>
          </w:p>
        </w:tc>
      </w:tr>
    </w:tbl>
    <w:p>
      <w:pPr>
        <w:pStyle w:val="BodyText"/>
      </w:pPr>
      <w:r>
        <w:rPr>
          <w:bCs/>
          <w:b/>
        </w:rPr>
        <w:t xml:space="preserve">Product unit record structure is not implied by hazard severity. Every row in Table C-1 satisfies criterion (b), and every row carries a product unit record. The product unit record structures in the fourth column still differ across them. They run from serialization driven by a per-unit life clock, to lot control under commercial grade dedication on an item of catastrophic consequence. Both are real control; lot control is not the weak form of serialization. Determine the product unit record from the product unit record-structure test in the identifier assignment section, not from the external criticality designation.</w:t>
      </w:r>
    </w:p>
    <w:p>
      <w:pPr>
        <w:pStyle w:val="BodyText"/>
      </w:pPr>
      <w:r>
        <w:rPr>
          <w:bCs/>
          <w:b/>
        </w:rPr>
        <w:t xml:space="preserve">The critical safety item rows are the one place a designation carries a product unit record with it.</w:t>
      </w:r>
      <w:r>
        <w:t xml:space="preserve"> Those items are identified as DoD serially managed, so item unique identification applies and a serial number follows. Even there the serial number arrives through unique identification rather than through the safety designation, which is why it is an independent recording driver in the identifier assignment section and not a rule of this appendix. Every other row is determined by the test.</w:t>
      </w:r>
    </w:p>
    <w:p>
      <w:pPr>
        <w:pStyle w:val="BodyText"/>
      </w:pPr>
      <w:r>
        <w:rPr>
          <w:bCs/>
          <w:b/>
        </w:rPr>
        <w:t xml:space="preserve">The traceable category carries the serialization obligation. Fracture critical status in general does not.</w:t>
      </w:r>
      <w:r>
        <w:t xml:space="preserve"> Cite the traceable category where the marking requirement is what matters. The two categories exclude each other. A fracture critical part is not single load path and is not sized by durability or damage tolerance requirements. A fracture critical traceable part is either single load path or sized by those requirements. An item is in one category or the other. It is never in both.</w:t>
      </w:r>
    </w:p>
    <w:p>
      <w:pPr>
        <w:pStyle w:val="BodyText"/>
      </w:pPr>
      <w:r>
        <w:rPr>
          <w:bCs/>
          <w:b/>
        </w:rPr>
        <w:t xml:space="preserve">A condition in Table C-1 satisfies the end-use function gate.</w:t>
      </w:r>
      <w:r>
        <w:t xml:space="preserve"> These conditions frequently land on small parts: a fitting, a bushing, a fastener. An assessor may argue that such a part fails the end-use function gate, which rejects the item at the first step, before the safety criterion is ever reached. The condition is itself evidence that the part performs a function with system-level consequence. An assessor who nonetheless concludes the item fails the gate obtains System Safety concurrence in writing. Disposition that decision through the safety disposition gate. The terms are the same as for any other decision not to designate a safety-critical item.</w:t>
      </w:r>
    </w:p>
    <w:p>
      <w:pPr>
        <w:pStyle w:val="BodyText"/>
      </w:pPr>
      <w:r>
        <w:rPr>
          <w:bCs/>
          <w:b/>
        </w:rPr>
        <w:t xml:space="preserve">Rows marked Verify</w:t>
      </w:r>
      <w:r>
        <w:t xml:space="preserve"> rest on terminology that is program-specific, contract-specific, or subject to recent revision. Confirm these against the governing contract or the current issue of the cited document before relying on them.</w:t>
      </w:r>
    </w:p>
    <w:bookmarkEnd w:id="56"/>
    <w:bookmarkStart w:id="57" w:name="X277dcba5f9b8ccbd7b293d9c69d5213aaf79f12"/>
    <w:p>
      <w:pPr>
        <w:pStyle w:val="Heading2"/>
      </w:pPr>
      <w:r>
        <w:t xml:space="preserve">C.2 Conditions that satisfy criterion (b) conditionally</w:t>
      </w:r>
    </w:p>
    <w:p>
      <w:pPr>
        <w:pStyle w:val="FirstParagraph"/>
      </w:pPr>
      <w:r>
        <w:t xml:space="preserve">These conditions reach criterion (b) only once translated onto an item, or only where the underlying limitation attaches to a discrete part. Establish the translation before recording a determination.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Condition</w:t>
            </w:r>
          </w:p>
        </w:tc>
        <w:tc>
          <w:tcPr/>
          <w:p>
            <w:pPr>
              <w:pStyle w:val="Compact"/>
              <w:jc w:val="left"/>
            </w:pPr>
            <w:r>
              <w:rPr>
                <w:bCs/>
                <w:b/>
              </w:rPr>
              <w:t xml:space="preserve">How it reaches the criterion</w:t>
            </w:r>
          </w:p>
        </w:tc>
        <w:tc>
          <w:tcPr/>
          <w:p>
            <w:pPr>
              <w:pStyle w:val="Compact"/>
              <w:jc w:val="left"/>
            </w:pPr>
            <w:r>
              <w:rPr>
                <w:bCs/>
                <w:b/>
              </w:rPr>
              <w:t xml:space="preserve">What to establish first</w:t>
            </w:r>
          </w:p>
        </w:tc>
      </w:tr>
      <w:tr>
        <w:tc>
          <w:tcPr/>
          <w:p>
            <w:pPr>
              <w:pStyle w:val="Compact"/>
              <w:jc w:val="left"/>
            </w:pPr>
            <w:r>
              <w:t xml:space="preserve">Airworthiness limitation item</w:t>
            </w:r>
          </w:p>
        </w:tc>
        <w:tc>
          <w:tcPr/>
          <w:p>
            <w:pPr>
              <w:pStyle w:val="Compact"/>
              <w:jc w:val="left"/>
            </w:pPr>
            <w:r>
              <w:t xml:space="preserve">Fits where the limitation attaches to a discrete part. A zonal or structural inspection task has no item to designate as a CI and is controlled within the parent CI’s documentation</w:t>
            </w:r>
          </w:p>
        </w:tc>
        <w:tc>
          <w:tcPr/>
          <w:p>
            <w:pPr>
              <w:pStyle w:val="Compact"/>
              <w:jc w:val="left"/>
            </w:pPr>
            <w:r>
              <w:t xml:space="preserve">Work from what the airworthiness limitations section actually contains, not from the label. A part can be called critical and carry no entry</w:t>
            </w:r>
          </w:p>
        </w:tc>
      </w:tr>
      <w:tr>
        <w:tc>
          <w:tcPr/>
          <w:p>
            <w:pPr>
              <w:pStyle w:val="Compact"/>
              <w:jc w:val="left"/>
            </w:pPr>
            <w:r>
              <w:t xml:space="preserve">Principal structural element</w:t>
            </w:r>
          </w:p>
        </w:tc>
        <w:tc>
          <w:tcPr/>
          <w:p>
            <w:pPr>
              <w:pStyle w:val="Compact"/>
              <w:jc w:val="left"/>
            </w:pPr>
            <w:r>
              <w:t xml:space="preserve">Fits where the evaluation path produces a discrete part. A safe-life principal structural element with a mandatory replacement time in the airworthiness limitations section is a discrete part. It meets criterion (b) on the catastrophic failure limb, and its per-unit life status is status accounting against the item. A damage-tolerant principal structural element identified by structural location has no item to designate and is controlled within the parent CI’s documentation</w:t>
            </w:r>
          </w:p>
        </w:tc>
        <w:tc>
          <w:tcPr/>
          <w:p>
            <w:pPr>
              <w:pStyle w:val="Compact"/>
              <w:jc w:val="left"/>
            </w:pPr>
            <w:r>
              <w:t xml:space="preserve">Establish which evaluation path applies before recording a determination. Work from what the airworthiness limitations section actually contains. Landing gear is the common safe-life case. Lot or batch at heat level applies to the underlying detail parts and constituent materials either way</w:t>
            </w:r>
          </w:p>
        </w:tc>
      </w:tr>
      <w:tr>
        <w:tc>
          <w:tcPr/>
          <w:p>
            <w:pPr>
              <w:pStyle w:val="Compact"/>
              <w:jc w:val="left"/>
            </w:pPr>
            <w:r>
              <w:t xml:space="preserve">Premium selection material, elevated design values</w:t>
            </w:r>
          </w:p>
        </w:tc>
        <w:tc>
          <w:tcPr/>
          <w:p>
            <w:pPr>
              <w:pStyle w:val="Compact"/>
              <w:jc w:val="left"/>
            </w:pPr>
            <w:r>
              <w:t xml:space="preserve">The label describes a material acceptance basis, not a consequence. It attaches to a discrete part, so it passes the item gate and the end-use function gate. Whether it reaches criterion (b) depends on what the part does</w:t>
            </w:r>
          </w:p>
        </w:tc>
        <w:tc>
          <w:tcPr/>
          <w:p>
            <w:pPr>
              <w:pStyle w:val="Compact"/>
              <w:jc w:val="left"/>
            </w:pPr>
            <w:r>
              <w:t xml:space="preserve">Screen the part on its own consequence. Elevated design values are usually sought where margins are tight, so screen these parts with care. The record structure is a per-part identifier, heat and lot traceability, and a record correlating each specimen to its part. The record is fixed at acceptance and does not grow in service, unlike a life-limited part, so do not expect a life clock on it. The drawing note carrying the test procedures and acceptance criteria is the control, so treat it as configuration documentation and flow it to spares, repairs, and material review</w:t>
            </w:r>
          </w:p>
        </w:tc>
      </w:tr>
      <w:tr>
        <w:tc>
          <w:tcPr/>
          <w:p>
            <w:pPr>
              <w:pStyle w:val="Compact"/>
              <w:jc w:val="left"/>
            </w:pPr>
            <w:r>
              <w:t xml:space="preserve">Critical application item (supply coding)</w:t>
            </w:r>
          </w:p>
        </w:tc>
        <w:tc>
          <w:tcPr/>
          <w:p>
            <w:pPr>
              <w:pStyle w:val="Compact"/>
              <w:jc w:val="left"/>
            </w:pPr>
            <w:r>
              <w:t xml:space="preserve">A supply-system code applied to a stock number rather than an engineering designation. Fits once translated onto the item it codes</w:t>
            </w:r>
          </w:p>
        </w:tc>
        <w:tc>
          <w:tcPr/>
          <w:p>
            <w:pPr>
              <w:pStyle w:val="Compact"/>
              <w:jc w:val="left"/>
            </w:pPr>
            <w:r>
              <w:t xml:space="preserve">Establish the engineering basis behind the code before relying on it</w:t>
            </w:r>
          </w:p>
        </w:tc>
      </w:tr>
      <w:tr>
        <w:tc>
          <w:tcPr/>
          <w:p>
            <w:pPr>
              <w:pStyle w:val="Compact"/>
              <w:jc w:val="left"/>
            </w:pPr>
            <w:r>
              <w:t xml:space="preserve">Critical component under a bilateral airworthiness arrangement</w:t>
            </w:r>
          </w:p>
        </w:tc>
        <w:tc>
          <w:tcPr/>
          <w:p>
            <w:pPr>
              <w:pStyle w:val="Compact"/>
              <w:jc w:val="left"/>
            </w:pPr>
            <w:r>
              <w:t xml:space="preserve">Fits where the arrangement’s definition maps onto an item with a stated consequence</w:t>
            </w:r>
          </w:p>
        </w:tc>
        <w:tc>
          <w:tcPr/>
          <w:p>
            <w:pPr>
              <w:pStyle w:val="Compact"/>
              <w:jc w:val="left"/>
            </w:pPr>
            <w:r>
              <w:t xml:space="preserve">Terms vary by arrangement; confirm the definition in force</w:t>
            </w:r>
          </w:p>
        </w:tc>
      </w:tr>
      <w:tr>
        <w:tc>
          <w:tcPr/>
          <w:p>
            <w:pPr>
              <w:pStyle w:val="Compact"/>
              <w:jc w:val="left"/>
            </w:pPr>
            <w:r>
              <w:t xml:space="preserve">Failure-mode criticality code from a criticality analysis</w:t>
            </w:r>
          </w:p>
        </w:tc>
        <w:tc>
          <w:tcPr/>
          <w:p>
            <w:pPr>
              <w:pStyle w:val="Compact"/>
              <w:jc w:val="left"/>
            </w:pPr>
            <w:r>
              <w:t xml:space="preserve">Designates a failure mode, not an item. Fits once the hardware in which the mode lives is identified</w:t>
            </w:r>
          </w:p>
        </w:tc>
        <w:tc>
          <w:tcPr/>
          <w:p>
            <w:pPr>
              <w:pStyle w:val="Compact"/>
              <w:jc w:val="left"/>
            </w:pPr>
            <w:r>
              <w:t xml:space="preserve">A redundant configuration with the same end consequence carries the same code. Redundancy does not relieve the screen</w:t>
            </w:r>
          </w:p>
        </w:tc>
      </w:tr>
      <w:tr>
        <w:tc>
          <w:tcPr/>
          <w:p>
            <w:pPr>
              <w:pStyle w:val="Compact"/>
              <w:jc w:val="left"/>
            </w:pPr>
            <w:r>
              <w:t xml:space="preserve">Software safety classification</w:t>
            </w:r>
          </w:p>
        </w:tc>
        <w:tc>
          <w:tcPr/>
          <w:p>
            <w:pPr>
              <w:pStyle w:val="Compact"/>
              <w:jc w:val="left"/>
            </w:pPr>
            <w:r>
              <w:t xml:space="preserve">Fits where the classification attaches to a software item. Software is a CI by rule regardless of class</w:t>
            </w:r>
          </w:p>
        </w:tc>
        <w:tc>
          <w:tcPr/>
          <w:p>
            <w:pPr>
              <w:pStyle w:val="Compact"/>
              <w:jc w:val="left"/>
            </w:pPr>
            <w:r>
              <w:t xml:space="preserve">Identity attaches to the loadable part number and baseline, never to a physical unit</w:t>
            </w:r>
          </w:p>
        </w:tc>
      </w:tr>
    </w:tbl>
    <w:bookmarkEnd w:id="57"/>
    <w:bookmarkStart w:id="58" w:name="Xfd44e08fd3c3fd676066fd09a5215b1e450f597"/>
    <w:p>
      <w:pPr>
        <w:pStyle w:val="Heading2"/>
      </w:pPr>
      <w:r>
        <w:t xml:space="preserve">C.3 Labels that designate something other than an item</w:t>
      </w:r>
    </w:p>
    <w:p>
      <w:pPr>
        <w:pStyle w:val="FirstParagraph"/>
      </w:pPr>
      <w:r>
        <w:t xml:space="preserve">These labels attach to a function, a task, a failure mode, a feature, a location, or a development baseline. None of them is an item, so none designates a CI on its own. Each is a signal that items worth screening exist nearby. Identifying the hardware behind a function is engineering analysis, so </w:t>
      </w:r>
      <w:r>
        <w:rPr>
          <w:bCs/>
          <w:b/>
        </w:rPr>
        <w:t xml:space="preserve">ask for it rather than infer it.</w:t>
      </w:r>
      <w:r>
        <w:t xml:space="preserve"> A good guess still misses the items nobody thought of.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The label</w:t>
            </w:r>
          </w:p>
        </w:tc>
        <w:tc>
          <w:tcPr/>
          <w:p>
            <w:pPr>
              <w:pStyle w:val="Compact"/>
              <w:jc w:val="left"/>
            </w:pPr>
            <w:r>
              <w:rPr>
                <w:bCs/>
                <w:b/>
              </w:rPr>
              <w:t xml:space="preserve">What it attaches to</w:t>
            </w:r>
          </w:p>
        </w:tc>
        <w:tc>
          <w:tcPr/>
          <w:p>
            <w:pPr>
              <w:pStyle w:val="Compact"/>
              <w:jc w:val="left"/>
            </w:pPr>
            <w:r>
              <w:rPr>
                <w:bCs/>
                <w:b/>
              </w:rPr>
              <w:t xml:space="preserve">What to ask for</w:t>
            </w:r>
          </w:p>
        </w:tc>
      </w:tr>
      <w:tr>
        <w:tc>
          <w:tcPr/>
          <w:p>
            <w:pPr>
              <w:pStyle w:val="Compact"/>
              <w:jc w:val="left"/>
            </w:pPr>
            <w:r>
              <w:t xml:space="preserve">Safety-critical </w:t>
            </w:r>
            <w:r>
              <w:rPr>
                <w:bCs/>
                <w:b/>
              </w:rPr>
              <w:t xml:space="preserve">function</w:t>
            </w:r>
            <w:r>
              <w:t xml:space="preserve"> from the system safety analysis</w:t>
            </w:r>
          </w:p>
        </w:tc>
        <w:tc>
          <w:tcPr/>
          <w:p>
            <w:pPr>
              <w:pStyle w:val="Compact"/>
              <w:jc w:val="left"/>
            </w:pPr>
            <w:r>
              <w:t xml:space="preserve">A function</w:t>
            </w:r>
          </w:p>
        </w:tc>
        <w:tc>
          <w:tcPr/>
          <w:p>
            <w:pPr>
              <w:pStyle w:val="Compact"/>
              <w:jc w:val="left"/>
            </w:pPr>
            <w:r>
              <w:t xml:space="preserve">The items that implement the function</w:t>
            </w:r>
          </w:p>
        </w:tc>
      </w:tr>
      <w:tr>
        <w:tc>
          <w:tcPr/>
          <w:p>
            <w:pPr>
              <w:pStyle w:val="Compact"/>
              <w:jc w:val="left"/>
            </w:pPr>
            <w:r>
              <w:t xml:space="preserve">Development assurance level</w:t>
            </w:r>
          </w:p>
        </w:tc>
        <w:tc>
          <w:tcPr/>
          <w:p>
            <w:pPr>
              <w:pStyle w:val="Compact"/>
              <w:jc w:val="left"/>
            </w:pPr>
            <w:r>
              <w:t xml:space="preserve">A function, or a development baseline</w:t>
            </w:r>
          </w:p>
        </w:tc>
        <w:tc>
          <w:tcPr/>
          <w:p>
            <w:pPr>
              <w:pStyle w:val="Compact"/>
              <w:jc w:val="left"/>
            </w:pPr>
            <w:r>
              <w:t xml:space="preserve">Nothing on its own. A top-level function can be built from items that do not meet the safety criterion. Software is a CI by rule regardless of level. </w:t>
            </w:r>
            <w:r>
              <w:rPr>
                <w:bCs/>
                <w:b/>
              </w:rPr>
              <w:t xml:space="preserve">Do not use the assurance level as a proxy for criterion (b).</w:t>
            </w:r>
            <w:r>
              <w:t xml:space="preserve"> The level is reduced by architecture and independence. Criterion (b) is consequence only, and it contains no likelihood or redundancy term.</w:t>
            </w:r>
          </w:p>
        </w:tc>
      </w:tr>
      <w:tr>
        <w:tc>
          <w:tcPr/>
          <w:p>
            <w:pPr>
              <w:pStyle w:val="Compact"/>
              <w:jc w:val="left"/>
            </w:pPr>
            <w:r>
              <w:t xml:space="preserve">Automotive or industrial integrity level</w:t>
            </w:r>
          </w:p>
        </w:tc>
        <w:tc>
          <w:tcPr/>
          <w:p>
            <w:pPr>
              <w:pStyle w:val="Compact"/>
              <w:jc w:val="left"/>
            </w:pPr>
            <w:r>
              <w:t xml:space="preserve">A safety function and its implementation</w:t>
            </w:r>
          </w:p>
        </w:tc>
        <w:tc>
          <w:tcPr/>
          <w:p>
            <w:pPr>
              <w:pStyle w:val="Compact"/>
              <w:jc w:val="left"/>
            </w:pPr>
            <w:r>
              <w:t xml:space="preserve">The items implementing the function, where the program uses these schemes. </w:t>
            </w:r>
            <w:r>
              <w:rPr>
                <w:bCs/>
                <w:b/>
              </w:rPr>
              <w:t xml:space="preserve">Do not use the integrity level as a proxy for criterion (b).</w:t>
            </w:r>
            <w:r>
              <w:t xml:space="preserve"> The level discounts by severity, exposure, and controllability. Criterion (b) is consequence only, and it contains no likelihood or redundancy term. A catastrophic-severity hazard with low exposure scores a low integrity level and still meets criterion (b) in full.</w:t>
            </w:r>
          </w:p>
        </w:tc>
      </w:tr>
      <w:tr>
        <w:tc>
          <w:tcPr/>
          <w:p>
            <w:pPr>
              <w:pStyle w:val="Compact"/>
              <w:jc w:val="left"/>
            </w:pPr>
            <w:r>
              <w:t xml:space="preserve">Certification maintenance requirement</w:t>
            </w:r>
          </w:p>
        </w:tc>
        <w:tc>
          <w:tcPr/>
          <w:p>
            <w:pPr>
              <w:pStyle w:val="Compact"/>
              <w:jc w:val="left"/>
            </w:pPr>
            <w:r>
              <w:t xml:space="preserve">A maintenance task</w:t>
            </w:r>
          </w:p>
        </w:tc>
        <w:tc>
          <w:tcPr/>
          <w:p>
            <w:pPr>
              <w:pStyle w:val="Compact"/>
              <w:jc w:val="left"/>
            </w:pPr>
            <w:r>
              <w:t xml:space="preserve">The items whose hidden failure the task exists to detect</w:t>
            </w:r>
          </w:p>
        </w:tc>
      </w:tr>
      <w:tr>
        <w:tc>
          <w:tcPr/>
          <w:p>
            <w:pPr>
              <w:pStyle w:val="Compact"/>
              <w:jc w:val="left"/>
            </w:pPr>
            <w:r>
              <w:t xml:space="preserve">Fatigue critical structure; fatigue critical baseline structure; damage-tolerant principal structural element identified by structural location</w:t>
            </w:r>
          </w:p>
        </w:tc>
        <w:tc>
          <w:tcPr/>
          <w:p>
            <w:pPr>
              <w:pStyle w:val="Compact"/>
              <w:jc w:val="left"/>
            </w:pPr>
            <w:r>
              <w:t xml:space="preserve">A structural element or location</w:t>
            </w:r>
          </w:p>
        </w:tc>
        <w:tc>
          <w:tcPr/>
          <w:p>
            <w:pPr>
              <w:pStyle w:val="Compact"/>
              <w:jc w:val="left"/>
            </w:pPr>
            <w:r>
              <w:t xml:space="preserve">The parts within the element, screened individually. A safe-life principal structural element is a discrete part. Screen it under the conditional table, not here</w:t>
            </w:r>
          </w:p>
        </w:tc>
      </w:tr>
      <w:tr>
        <w:tc>
          <w:tcPr/>
          <w:p>
            <w:pPr>
              <w:pStyle w:val="Compact"/>
              <w:jc w:val="left"/>
            </w:pPr>
            <w:r>
              <w:t xml:space="preserve">Critical characteristic; key characteristic</w:t>
            </w:r>
          </w:p>
        </w:tc>
        <w:tc>
          <w:tcPr/>
          <w:p>
            <w:pPr>
              <w:pStyle w:val="Compact"/>
              <w:jc w:val="left"/>
            </w:pPr>
            <w:r>
              <w:t xml:space="preserve">A feature or process parameter on a part</w:t>
            </w:r>
          </w:p>
        </w:tc>
        <w:tc>
          <w:tcPr/>
          <w:p>
            <w:pPr>
              <w:pStyle w:val="Compact"/>
              <w:jc w:val="left"/>
            </w:pPr>
            <w:r>
              <w:t xml:space="preserve">Screen the </w:t>
            </w:r>
            <w:r>
              <w:rPr>
                <w:bCs/>
                <w:b/>
              </w:rPr>
              <w:t xml:space="preserve">parent part</w:t>
            </w:r>
            <w:r>
              <w:t xml:space="preserve">, not the characteristic. Its presence is strong evidence the parent is a candidate</w:t>
            </w:r>
          </w:p>
        </w:tc>
      </w:tr>
    </w:tbl>
    <w:bookmarkEnd w:id="58"/>
    <w:bookmarkStart w:id="59" w:name="Xccb89e3a067bf7ff93edabc1c10e4ceffcf70ef"/>
    <w:p>
      <w:pPr>
        <w:pStyle w:val="Heading2"/>
      </w:pPr>
      <w:r>
        <w:t xml:space="preserve">C.4 Two cautions that govern this appendix</w:t>
      </w:r>
    </w:p>
    <w:p>
      <w:pPr>
        <w:numPr>
          <w:ilvl w:val="0"/>
          <w:numId w:val="1012"/>
        </w:numPr>
      </w:pPr>
      <w:r>
        <w:rPr>
          <w:bCs/>
          <w:b/>
        </w:rPr>
        <w:t xml:space="preserve">This appendix under-catches. Criterion (b) also covers loss of primary system capability. No designation scheme cataloged here keys on lost capability absent an injury pathway, so items in that class appear on no safety list at all. They come from the program’s own decomposition, or they come from nowhere. Treat Table C-1 as an input to candidate identification, never as a substitute for that screen.</w:t>
      </w:r>
    </w:p>
    <w:p>
      <w:pPr>
        <w:numPr>
          <w:ilvl w:val="0"/>
          <w:numId w:val="1012"/>
        </w:numPr>
      </w:pPr>
      <w:r>
        <w:rPr>
          <w:bCs/>
          <w:b/>
        </w:rPr>
        <w:t xml:space="preserve">A designation that does not reach the safety criterion is not a finding that the item is uncontrolled, and not always a finding that it is not a CI.</w:t>
      </w:r>
      <w:r>
        <w:t xml:space="preserve"> Items that are not CIs are controlled within their parent CI’s configuration documentation, and several designations that fail the safety criterion designate strongly on other criteria. The influencing part in C.6 is the most consequential example. Read the criterion columns together rather than stopping at the safety one.</w:t>
      </w:r>
    </w:p>
    <w:bookmarkEnd w:id="59"/>
    <w:bookmarkStart w:id="60" w:name="c.5-other-criteria-commonly-engaged"/>
    <w:p>
      <w:pPr>
        <w:pStyle w:val="Heading2"/>
      </w:pPr>
      <w:r>
        <w:t xml:space="preserve">C.5 Other criteria commonly engaged</w:t>
      </w:r>
    </w:p>
    <w:p>
      <w:pPr>
        <w:pStyle w:val="FirstParagraph"/>
      </w:pPr>
      <w:r>
        <w:t xml:space="preserve">The safety criterion is rarely the only one triggered. A designation assigned by a customer or government activity also engages criterion (d), the item is under control as designated by the Acquirer. Anything carrying provisioning, technical manual, or dedicated support and test equipment obligations engages criterion (g), requires dedicated logistics support elements. An item the system cannot function without engages criterion (a), critical to the functioning of the system. Note that criterion (a) is not the end-use function gate. The gate asks whether the item has a function at all. Criterion (a) asks whether the system can function without it. List every criterion that applies, because the designation survives if one underlying fact later changes.</w:t>
      </w:r>
    </w:p>
    <w:bookmarkEnd w:id="60"/>
    <w:bookmarkStart w:id="61" w:name="X2e1e253f3b3ca4c8846a3ceb31f66e386da4cc3"/>
    <w:p>
      <w:pPr>
        <w:pStyle w:val="Heading2"/>
      </w:pPr>
      <w:r>
        <w:t xml:space="preserve">C.6 The influencing part: the trap in this appendix</w:t>
      </w:r>
    </w:p>
    <w:p>
      <w:pPr>
        <w:pStyle w:val="FirstParagraph"/>
      </w:pPr>
      <w:r>
        <w:t xml:space="preserve">A part that influences the boundary conditions of the approved life model establishing another part’s airworthiness limitation carries no life limit of its own, and its own failure has no hazardous effect. It therefore fails criterion (b) by its own definition. It is nonetheless a strong candidate on criterion (a), critical to the functioning of the system. The approved lifing basis of a safety-critical part depends on its configuration. A change to it needs an independent effectivity address.</w:t>
      </w:r>
    </w:p>
    <w:p>
      <w:pPr>
        <w:pStyle w:val="BodyText"/>
      </w:pPr>
      <w:r>
        <w:t xml:space="preserve">Screen against criterion (b) and stop there, and the influencing part goes undesignated. Meanwhile the critical part it governs sits within its stamped life limit. The lifing basis behind that limit has quietly become invalid. The airworthiness consequence is displaced onto a different part number, which is what makes it hard to see. Typical examples are cooling air metering hardware, seals, bearings, and oil nozzles. Where a program identifies influencing parts, screen each one against the full criteria set, and record the rationale whether or not it is designated as a CI.</w:t>
      </w:r>
    </w:p>
    <w:bookmarkEnd w:id="61"/>
    <w:bookmarkStart w:id="62" w:name="c.7-terms-that-are-frequently-confused"/>
    <w:p>
      <w:pPr>
        <w:pStyle w:val="Heading2"/>
      </w:pPr>
      <w:r>
        <w:t xml:space="preserve">C.7 Terms that are frequently confused</w:t>
      </w:r>
    </w:p>
    <w:p>
      <w:pPr>
        <w:numPr>
          <w:ilvl w:val="0"/>
          <w:numId w:val="1013"/>
        </w:numPr>
      </w:pPr>
      <w:r>
        <w:rPr>
          <w:bCs/>
          <w:b/>
        </w:rPr>
        <w:t xml:space="preserve">A customer-assigned critical safety item is not a safety-critical item from the system safety analysis.</w:t>
      </w:r>
      <w:r>
        <w:t xml:space="preserve"> Different authority, different object, different obligation. The first is assigned by a government engineering activity and its primary obligation is source approval and supply chain integrity; the second is an analysis output whose obligation is design and process rigor.</w:t>
      </w:r>
    </w:p>
    <w:p>
      <w:pPr>
        <w:numPr>
          <w:ilvl w:val="0"/>
          <w:numId w:val="1013"/>
        </w:numPr>
      </w:pPr>
      <w:r>
        <w:rPr>
          <w:bCs/>
          <w:b/>
        </w:rPr>
        <w:t xml:space="preserve">A quality-system critical item is broader than safety.</w:t>
      </w:r>
      <w:r>
        <w:t xml:space="preserve"> The term as used in aerospace quality standards deliberately includes producibility, service life, and form, fit and function alongside safety. Establish why an item was flagged before treating the flag as a safety designation.</w:t>
      </w:r>
    </w:p>
    <w:p>
      <w:pPr>
        <w:numPr>
          <w:ilvl w:val="0"/>
          <w:numId w:val="1013"/>
        </w:numPr>
      </w:pPr>
      <w:r>
        <w:rPr>
          <w:bCs/>
          <w:b/>
        </w:rPr>
        <w:t xml:space="preserve">Life limited means two different things.</w:t>
      </w:r>
      <w:r>
        <w:t xml:space="preserve"> See the two-clocks rule in the identifier assignment section. A cycles or hours limit and a shelf-life or cure-date limit produce opposite record structures.</w:t>
      </w:r>
    </w:p>
    <w:bookmarkEnd w:id="62"/>
    <w:bookmarkEnd w:id="63"/>
    <w:bookmarkStart w:id="89" w:name="X0ccac0b8ca85019b1c68d8f75cad45c19a42504"/>
    <w:p>
      <w:pPr>
        <w:pStyle w:val="Heading1"/>
      </w:pPr>
      <w:r>
        <w:t xml:space="preserve">Appendix D: Same CI or Separate CIs Decision Aid</w:t>
      </w:r>
    </w:p>
    <w:bookmarkStart w:id="64" w:name="d.1-purpose"/>
    <w:p>
      <w:pPr>
        <w:pStyle w:val="Heading2"/>
      </w:pPr>
      <w:r>
        <w:t xml:space="preserve">D.1 Purpose</w:t>
      </w:r>
    </w:p>
    <w:p>
      <w:pPr>
        <w:pStyle w:val="FirstParagraph"/>
      </w:pPr>
      <w:r>
        <w:t xml:space="preserve">Two items carry different part numbers. They share a function. They share a subsystem. They share a vendor. Do they share one Configuration Item identifier with part number variants? Or are they separate Configuration Items?</w:t>
      </w:r>
    </w:p>
    <w:p>
      <w:pPr>
        <w:pStyle w:val="BodyText"/>
      </w:pPr>
      <w:r>
        <w:t xml:space="preserve">This appendix answers that question. It also answers the reverse question. One part number sometimes maps to more than one Configuration Item.</w:t>
      </w:r>
    </w:p>
    <w:p>
      <w:pPr>
        <w:pStyle w:val="BodyText"/>
      </w:pPr>
      <w:r>
        <w:t xml:space="preserve">This appendix supplements the selection criteria screen and the Acquirer concurrence requirement of this process. It does not replace either one.</w:t>
      </w:r>
    </w:p>
    <w:bookmarkEnd w:id="64"/>
    <w:bookmarkStart w:id="65" w:name="d.2-definitions"/>
    <w:p>
      <w:pPr>
        <w:pStyle w:val="Heading2"/>
      </w:pPr>
      <w:r>
        <w:t xml:space="preserve">D.2 Definitions</w:t>
      </w:r>
    </w:p>
    <w:p>
      <w:pPr>
        <w:pStyle w:val="FirstParagraph"/>
      </w:pPr>
      <w:r>
        <w:t xml:space="preserve">These definitions are carried from the definitions section of this process. Use them as written. Do not paraphrase them.</w:t>
      </w:r>
    </w:p>
    <w:p>
      <w:pPr>
        <w:pStyle w:val="BodyText"/>
      </w:pPr>
      <w:r>
        <w:rPr>
          <w:bCs/>
          <w:b/>
        </w:rPr>
        <w:t xml:space="preserve">Configuration Item (CI).</w:t>
      </w:r>
      <w:r>
        <w:t xml:space="preserve"> Any hardware, software, firmware, or aggregation thereof that satisfies a system end-use function and is designated for separate configuration management. Designation includes establishing the CI’s requirements and verifying that its configuration meets those requirements and that its configuration documentation accurately describes its configuration.</w:t>
      </w:r>
    </w:p>
    <w:p>
      <w:pPr>
        <w:pStyle w:val="BodyText"/>
      </w:pPr>
      <w:r>
        <w:rPr>
          <w:bCs/>
          <w:b/>
        </w:rPr>
        <w:t xml:space="preserve">Part or Identifying Number (PIN).</w:t>
      </w:r>
      <w:r>
        <w:t xml:space="preserve"> The identifier that, combined with the design activity CAGE code, uniquely identifies an item and its configuration. The PIN changes when a modification creates a non-interchangeable condition.</w:t>
      </w:r>
    </w:p>
    <w:bookmarkEnd w:id="65"/>
    <w:bookmarkStart w:id="66" w:name="Xc9cc7f27445bdedc9e53e62e77f39659b3a278a"/>
    <w:p>
      <w:pPr>
        <w:pStyle w:val="Heading2"/>
      </w:pPr>
      <w:r>
        <w:t xml:space="preserve">D.3 Principle: The CI Identifier and the PIN</w:t>
      </w:r>
    </w:p>
    <w:p>
      <w:pPr>
        <w:pStyle w:val="FirstParagraph"/>
      </w:pPr>
      <w:r>
        <w:t xml:space="preserve">The CI identifier follows function. It also follows the management need for separate configuration control.</w:t>
      </w:r>
    </w:p>
    <w:p>
      <w:pPr>
        <w:pStyle w:val="BodyText"/>
      </w:pPr>
      <w:r>
        <w:t xml:space="preserve">The PIN follows form, fit, and function. The PIN changes when a modification creates a non-interchangeable condition.</w:t>
      </w:r>
    </w:p>
    <w:p>
      <w:pPr>
        <w:pStyle w:val="BodyText"/>
      </w:pPr>
      <w:r>
        <w:t xml:space="preserve">The two identifiers answer different questions. They are decoupled on purpose.</w:t>
      </w:r>
    </w:p>
    <w:p>
      <w:pPr>
        <w:pStyle w:val="BodyText"/>
      </w:pPr>
      <w:r>
        <w:rPr>
          <w:bCs/>
          <w:b/>
        </w:rPr>
        <w:t xml:space="preserve">Multiple PINs under one CI.</w:t>
      </w:r>
      <w:r>
        <w:t xml:space="preserve"> Several variants perform one managed function. The variants are not interchangeable with each other. Different interface details are the usual cause. The variants share one specification basis. They share one verification basis. They share common change effectivity.</w:t>
      </w:r>
    </w:p>
    <w:p>
      <w:pPr>
        <w:pStyle w:val="BodyText"/>
      </w:pPr>
      <w:r>
        <w:rPr>
          <w:bCs/>
          <w:b/>
        </w:rPr>
        <w:t xml:space="preserve">One PIN under multiple CIs.</w:t>
      </w:r>
      <w:r>
        <w:t xml:space="preserve"> One antenna part number is installed twice. One installation sits in the UHF subsystem. One sits in the MIDS JTRS subsystem. That is one PIN and two CIs.</w:t>
      </w:r>
    </w:p>
    <w:p>
      <w:pPr>
        <w:pStyle w:val="BodyText"/>
      </w:pPr>
      <w:r>
        <w:t xml:space="preserve">Each installation satisfies a different end-use function. Each sits in a different branch of the CI hierarchy. Each needs its own change effectivity address. Each needs its own hazard traceability and its own logistics reporting.</w:t>
      </w:r>
    </w:p>
    <w:p>
      <w:pPr>
        <w:pStyle w:val="BodyText"/>
      </w:pPr>
      <w:r>
        <w:t xml:space="preserve">Different part numbers do not decide the CI question. The same part number does not decide it either.</w:t>
      </w:r>
    </w:p>
    <w:bookmarkEnd w:id="66"/>
    <w:bookmarkStart w:id="67" w:name="d.4-scope-cautions"/>
    <w:p>
      <w:pPr>
        <w:pStyle w:val="Heading2"/>
      </w:pPr>
      <w:r>
        <w:t xml:space="preserve">D.4 Scope Cautions</w:t>
      </w:r>
    </w:p>
    <w:p>
      <w:pPr>
        <w:pStyle w:val="FirstParagraph"/>
      </w:pPr>
      <w:r>
        <w:t xml:space="preserve">Two cautions apply before any gate is run.</w:t>
      </w:r>
    </w:p>
    <w:p>
      <w:pPr>
        <w:pStyle w:val="BodyText"/>
      </w:pPr>
      <w:r>
        <w:rPr>
          <w:bCs/>
          <w:b/>
        </w:rPr>
        <w:t xml:space="preserve">Compare items at the level at which the company procures them.</w:t>
      </w:r>
      <w:r>
        <w:t xml:space="preserve"> Do not decompose a supplier-designed item to run this screen. Where the supplier holds the design and the company procures the item as a unit, the procured item is the CI. That rule governs. This appendix does not override it.</w:t>
      </w:r>
    </w:p>
    <w:p>
      <w:pPr>
        <w:pStyle w:val="BodyText"/>
      </w:pPr>
      <w:r>
        <w:rPr>
          <w:bCs/>
          <w:b/>
        </w:rPr>
        <w:t xml:space="preserve">Software carries identity on version identifiers, not on PINs.</w:t>
      </w:r>
      <w:r>
        <w:t xml:space="preserve"> Computer software is designated as a CSCI by rule. The same question still arises. One CSCI with several version identifiers, or several CSCIs. The separation triggers below apply, with two substitutions. Read version identifier for PIN. Read build or load for variant. The record structure differs. Software carries identity on the loadable part number and the baseline. It never carries a physical unit identifier.</w:t>
      </w:r>
    </w:p>
    <w:bookmarkEnd w:id="67"/>
    <w:bookmarkStart w:id="72" w:name="X14b47a4896d4f6a69826d9c1acc235818f13880"/>
    <w:p>
      <w:pPr>
        <w:pStyle w:val="Heading2"/>
      </w:pPr>
      <w:r>
        <w:t xml:space="preserve">D.5 Decision Path A: Two or More Items Compared</w:t>
      </w:r>
    </w:p>
    <w:p>
      <w:pPr>
        <w:pStyle w:val="FirstParagraph"/>
      </w:pPr>
      <w:r>
        <w:t xml:space="preserve">Use this path when two or more distinct items are compared against each other. Use Decision Path B when one part number is installed in more than one place.</w:t>
      </w:r>
    </w:p>
    <w:bookmarkStart w:id="68" w:name="d.5.1-qualifying-gates"/>
    <w:p>
      <w:pPr>
        <w:pStyle w:val="Heading3"/>
      </w:pPr>
      <w:r>
        <w:t xml:space="preserve">D.5.1 Qualifying Gates</w:t>
      </w:r>
    </w:p>
    <w:p>
      <w:pPr>
        <w:pStyle w:val="FirstParagraph"/>
      </w:pPr>
      <w:r>
        <w:t xml:space="preserve">Both answers must be YES to continue.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Gate</w:t>
            </w:r>
          </w:p>
        </w:tc>
        <w:tc>
          <w:tcPr/>
          <w:p>
            <w:pPr>
              <w:pStyle w:val="Compact"/>
              <w:jc w:val="left"/>
            </w:pPr>
            <w:r>
              <w:rPr>
                <w:bCs/>
                <w:b/>
              </w:rPr>
              <w:t xml:space="preserve">Question</w:t>
            </w:r>
          </w:p>
        </w:tc>
        <w:tc>
          <w:tcPr/>
          <w:p>
            <w:pPr>
              <w:pStyle w:val="Compact"/>
              <w:jc w:val="left"/>
            </w:pPr>
            <w:r>
              <w:rPr>
                <w:bCs/>
                <w:b/>
              </w:rPr>
              <w:t xml:space="preserve">If the answer is NO</w:t>
            </w:r>
          </w:p>
        </w:tc>
      </w:tr>
      <w:tr>
        <w:tc>
          <w:tcPr/>
          <w:p>
            <w:pPr>
              <w:pStyle w:val="Compact"/>
              <w:jc w:val="left"/>
            </w:pPr>
            <w:r>
              <w:rPr>
                <w:bCs/>
                <w:b/>
              </w:rPr>
              <w:t xml:space="preserve">Q1</w:t>
            </w:r>
          </w:p>
        </w:tc>
        <w:tc>
          <w:tcPr/>
          <w:p>
            <w:pPr>
              <w:pStyle w:val="Compact"/>
              <w:jc w:val="left"/>
            </w:pPr>
            <w:r>
              <w:t xml:space="preserve">Does each item satisfy a system end-use function?</w:t>
            </w:r>
          </w:p>
        </w:tc>
        <w:tc>
          <w:tcPr/>
          <w:p>
            <w:pPr>
              <w:pStyle w:val="Compact"/>
              <w:jc w:val="left"/>
            </w:pPr>
            <w:r>
              <w:t xml:space="preserve">Not CI candidates. Control each item within the parent CI’s configuration documentation. Stop.</w:t>
            </w:r>
          </w:p>
        </w:tc>
      </w:tr>
      <w:tr>
        <w:tc>
          <w:tcPr/>
          <w:p>
            <w:pPr>
              <w:pStyle w:val="Compact"/>
              <w:jc w:val="left"/>
            </w:pPr>
            <w:r>
              <w:rPr>
                <w:bCs/>
                <w:b/>
              </w:rPr>
              <w:t xml:space="preserve">Q2</w:t>
            </w:r>
          </w:p>
        </w:tc>
        <w:tc>
          <w:tcPr/>
          <w:p>
            <w:pPr>
              <w:pStyle w:val="Compact"/>
              <w:jc w:val="left"/>
            </w:pPr>
            <w:r>
              <w:t xml:space="preserve">Does each item meet at least one CI selection criterion?</w:t>
            </w:r>
          </w:p>
        </w:tc>
        <w:tc>
          <w:tcPr/>
          <w:p>
            <w:pPr>
              <w:pStyle w:val="Compact"/>
              <w:jc w:val="left"/>
            </w:pPr>
            <w:r>
              <w:t xml:space="preserve">Parts, not CIs. The PINs already capture the differences. Record a do-not-designate rationale on the CI selection criteria checklist. Stop.</w:t>
            </w:r>
          </w:p>
        </w:tc>
      </w:tr>
    </w:tbl>
    <w:bookmarkEnd w:id="68"/>
    <w:bookmarkStart w:id="69" w:name="d.5.2-separation-triggers"/>
    <w:p>
      <w:pPr>
        <w:pStyle w:val="Heading3"/>
      </w:pPr>
      <w:r>
        <w:t xml:space="preserve">D.5.2 Separation Triggers</w:t>
      </w:r>
    </w:p>
    <w:p>
      <w:pPr>
        <w:pStyle w:val="FirstParagraph"/>
      </w:pPr>
      <w:r>
        <w:t xml:space="preserve">Any single YES separates. Run every trigger anyway. Record each one that fires.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Trigger</w:t>
            </w:r>
          </w:p>
        </w:tc>
        <w:tc>
          <w:tcPr/>
          <w:p>
            <w:pPr>
              <w:pStyle w:val="Compact"/>
              <w:jc w:val="left"/>
            </w:pPr>
            <w:r>
              <w:rPr>
                <w:bCs/>
                <w:b/>
              </w:rPr>
              <w:t xml:space="preserve">Question</w:t>
            </w:r>
          </w:p>
        </w:tc>
        <w:tc>
          <w:tcPr/>
          <w:p>
            <w:pPr>
              <w:pStyle w:val="Compact"/>
              <w:jc w:val="left"/>
            </w:pPr>
            <w:r>
              <w:rPr>
                <w:bCs/>
                <w:b/>
              </w:rPr>
              <w:t xml:space="preserve">YES means</w:t>
            </w:r>
          </w:p>
        </w:tc>
      </w:tr>
      <w:tr>
        <w:tc>
          <w:tcPr/>
          <w:p>
            <w:pPr>
              <w:pStyle w:val="Compact"/>
              <w:jc w:val="left"/>
            </w:pPr>
            <w:r>
              <w:rPr>
                <w:bCs/>
                <w:b/>
              </w:rPr>
              <w:t xml:space="preserve">S1</w:t>
            </w:r>
          </w:p>
        </w:tc>
        <w:tc>
          <w:tcPr/>
          <w:p>
            <w:pPr>
              <w:pStyle w:val="Compact"/>
              <w:jc w:val="left"/>
            </w:pPr>
            <w:r>
              <w:t xml:space="preserve">Do the items perform different end-use functions?</w:t>
            </w:r>
          </w:p>
        </w:tc>
        <w:tc>
          <w:tcPr/>
          <w:p>
            <w:pPr>
              <w:pStyle w:val="Compact"/>
              <w:jc w:val="left"/>
            </w:pPr>
            <w:r>
              <w:t xml:space="preserve">Separate CIs</w:t>
            </w:r>
          </w:p>
        </w:tc>
      </w:tr>
      <w:tr>
        <w:tc>
          <w:tcPr/>
          <w:p>
            <w:pPr>
              <w:pStyle w:val="Compact"/>
              <w:jc w:val="left"/>
            </w:pPr>
            <w:r>
              <w:rPr>
                <w:bCs/>
                <w:b/>
              </w:rPr>
              <w:t xml:space="preserve">S2</w:t>
            </w:r>
          </w:p>
        </w:tc>
        <w:tc>
          <w:tcPr/>
          <w:p>
            <w:pPr>
              <w:pStyle w:val="Compact"/>
              <w:jc w:val="left"/>
            </w:pPr>
            <w:r>
              <w:t xml:space="preserve">Do the items sit under different parents in the system or sub-system hierarchy?</w:t>
            </w:r>
          </w:p>
        </w:tc>
        <w:tc>
          <w:tcPr/>
          <w:p>
            <w:pPr>
              <w:pStyle w:val="Compact"/>
              <w:jc w:val="left"/>
            </w:pPr>
            <w:r>
              <w:t xml:space="preserve">Separate CIs</w:t>
            </w:r>
          </w:p>
        </w:tc>
      </w:tr>
      <w:tr>
        <w:tc>
          <w:tcPr/>
          <w:p>
            <w:pPr>
              <w:pStyle w:val="Compact"/>
              <w:jc w:val="left"/>
            </w:pPr>
            <w:r>
              <w:rPr>
                <w:bCs/>
                <w:b/>
              </w:rPr>
              <w:t xml:space="preserve">S3</w:t>
            </w:r>
          </w:p>
        </w:tc>
        <w:tc>
          <w:tcPr/>
          <w:p>
            <w:pPr>
              <w:pStyle w:val="Compact"/>
              <w:jc w:val="left"/>
            </w:pPr>
            <w:r>
              <w:t xml:space="preserve">Is any one of the items safety-critical?</w:t>
            </w:r>
          </w:p>
        </w:tc>
        <w:tc>
          <w:tcPr/>
          <w:p>
            <w:pPr>
              <w:pStyle w:val="Compact"/>
              <w:jc w:val="left"/>
            </w:pPr>
            <w:r>
              <w:t xml:space="preserve">Separate CIs</w:t>
            </w:r>
          </w:p>
        </w:tc>
      </w:tr>
      <w:tr>
        <w:tc>
          <w:tcPr/>
          <w:p>
            <w:pPr>
              <w:pStyle w:val="Compact"/>
              <w:jc w:val="left"/>
            </w:pPr>
            <w:r>
              <w:rPr>
                <w:bCs/>
                <w:b/>
              </w:rPr>
              <w:t xml:space="preserve">S4</w:t>
            </w:r>
          </w:p>
        </w:tc>
        <w:tc>
          <w:tcPr/>
          <w:p>
            <w:pPr>
              <w:pStyle w:val="Compact"/>
              <w:jc w:val="left"/>
            </w:pPr>
            <w:r>
              <w:t xml:space="preserve">Does either item have or need its own specification for performance or for interfaces?</w:t>
            </w:r>
          </w:p>
        </w:tc>
        <w:tc>
          <w:tcPr/>
          <w:p>
            <w:pPr>
              <w:pStyle w:val="Compact"/>
              <w:jc w:val="left"/>
            </w:pPr>
            <w:r>
              <w:t xml:space="preserve">Separate CIs</w:t>
            </w:r>
          </w:p>
        </w:tc>
      </w:tr>
      <w:tr>
        <w:tc>
          <w:tcPr/>
          <w:p>
            <w:pPr>
              <w:pStyle w:val="Compact"/>
              <w:jc w:val="left"/>
            </w:pPr>
            <w:r>
              <w:rPr>
                <w:bCs/>
                <w:b/>
              </w:rPr>
              <w:t xml:space="preserve">S5</w:t>
            </w:r>
          </w:p>
        </w:tc>
        <w:tc>
          <w:tcPr/>
          <w:p>
            <w:pPr>
              <w:pStyle w:val="Compact"/>
              <w:jc w:val="left"/>
            </w:pPr>
            <w:r>
              <w:t xml:space="preserve">Do the items have or need different verification requirements or different verification plans?</w:t>
            </w:r>
          </w:p>
        </w:tc>
        <w:tc>
          <w:tcPr/>
          <w:p>
            <w:pPr>
              <w:pStyle w:val="Compact"/>
              <w:jc w:val="left"/>
            </w:pPr>
            <w:r>
              <w:t xml:space="preserve">Separate CIs</w:t>
            </w:r>
          </w:p>
        </w:tc>
      </w:tr>
      <w:tr>
        <w:tc>
          <w:tcPr/>
          <w:p>
            <w:pPr>
              <w:pStyle w:val="Compact"/>
              <w:jc w:val="left"/>
            </w:pPr>
            <w:r>
              <w:rPr>
                <w:bCs/>
                <w:b/>
              </w:rPr>
              <w:t xml:space="preserve">S6</w:t>
            </w:r>
          </w:p>
        </w:tc>
        <w:tc>
          <w:tcPr/>
          <w:p>
            <w:pPr>
              <w:pStyle w:val="Compact"/>
              <w:jc w:val="left"/>
            </w:pPr>
            <w:r>
              <w:t xml:space="preserve">Will changes to one item routinely need a separate change or maintenance effectivity address (e.g., cut-in time, separate next higher assembly, separate end item, maintenance or replacement intervals) from the other item?</w:t>
            </w:r>
          </w:p>
        </w:tc>
        <w:tc>
          <w:tcPr/>
          <w:p>
            <w:pPr>
              <w:pStyle w:val="Compact"/>
              <w:jc w:val="left"/>
            </w:pPr>
            <w:r>
              <w:t xml:space="preserve">Separate CIs</w:t>
            </w:r>
          </w:p>
        </w:tc>
      </w:tr>
      <w:tr>
        <w:tc>
          <w:tcPr/>
          <w:p>
            <w:pPr>
              <w:pStyle w:val="Compact"/>
              <w:jc w:val="left"/>
            </w:pPr>
            <w:r>
              <w:rPr>
                <w:bCs/>
                <w:b/>
              </w:rPr>
              <w:t xml:space="preserve">S7</w:t>
            </w:r>
          </w:p>
        </w:tc>
        <w:tc>
          <w:tcPr/>
          <w:p>
            <w:pPr>
              <w:pStyle w:val="Compact"/>
              <w:jc w:val="left"/>
            </w:pPr>
            <w:r>
              <w:t xml:space="preserve">Does Acquirer direction, nomenclature, or logistics force separation?</w:t>
            </w:r>
          </w:p>
        </w:tc>
        <w:tc>
          <w:tcPr/>
          <w:p>
            <w:pPr>
              <w:pStyle w:val="Compact"/>
              <w:jc w:val="left"/>
            </w:pPr>
            <w:r>
              <w:t xml:space="preserve">Separate CIs</w:t>
            </w:r>
          </w:p>
        </w:tc>
      </w:tr>
    </w:tbl>
    <w:p>
      <w:pPr>
        <w:pStyle w:val="BodyText"/>
      </w:pPr>
      <w:r>
        <w:t xml:space="preserve">Where MBSE is used, answer S2 from the model.</w:t>
      </w:r>
    </w:p>
    <w:p>
      <w:pPr>
        <w:pStyle w:val="BodyText"/>
      </w:pPr>
      <w:r>
        <w:t xml:space="preserve">No trigger fires. Then the verdict is one CI with multiple PIN variants. Go to the model check.</w:t>
      </w:r>
    </w:p>
    <w:bookmarkEnd w:id="69"/>
    <w:bookmarkStart w:id="70" w:name="d.5.3-model-check"/>
    <w:p>
      <w:pPr>
        <w:pStyle w:val="Heading3"/>
      </w:pPr>
      <w:r>
        <w:t xml:space="preserve">D.5.3 Model Check</w:t>
      </w:r>
    </w:p>
    <w:p>
      <w:pPr>
        <w:pStyle w:val="FirstParagraph"/>
      </w:pPr>
      <w:r>
        <w:t xml:space="preserve">Every verdict passes the model check. A separation verdict passes it too.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Check</w:t>
            </w:r>
          </w:p>
        </w:tc>
        <w:tc>
          <w:tcPr/>
          <w:p>
            <w:pPr>
              <w:pStyle w:val="Compact"/>
              <w:jc w:val="left"/>
            </w:pPr>
            <w:r>
              <w:rPr>
                <w:bCs/>
                <w:b/>
              </w:rPr>
              <w:t xml:space="preserve">Question</w:t>
            </w:r>
          </w:p>
        </w:tc>
        <w:tc>
          <w:tcPr/>
          <w:p>
            <w:pPr>
              <w:pStyle w:val="Compact"/>
              <w:jc w:val="left"/>
            </w:pPr>
            <w:r>
              <w:rPr>
                <w:bCs/>
                <w:b/>
              </w:rPr>
              <w:t xml:space="preserve">Then</w:t>
            </w:r>
          </w:p>
        </w:tc>
      </w:tr>
      <w:tr>
        <w:tc>
          <w:tcPr/>
          <w:p>
            <w:pPr>
              <w:pStyle w:val="Compact"/>
              <w:jc w:val="left"/>
            </w:pPr>
            <w:r>
              <w:rPr>
                <w:bCs/>
                <w:b/>
              </w:rPr>
              <w:t xml:space="preserve">M1</w:t>
            </w:r>
          </w:p>
        </w:tc>
        <w:tc>
          <w:tcPr/>
          <w:p>
            <w:pPr>
              <w:pStyle w:val="Compact"/>
              <w:jc w:val="left"/>
            </w:pPr>
            <w:r>
              <w:t xml:space="preserve">Is MBSE used on this program?</w:t>
            </w:r>
          </w:p>
        </w:tc>
        <w:tc>
          <w:tcPr/>
          <w:p>
            <w:pPr>
              <w:pStyle w:val="Compact"/>
              <w:jc w:val="left"/>
            </w:pPr>
            <w:r>
              <w:t xml:space="preserve">NO: record the verdict. YES: go to M2.</w:t>
            </w:r>
          </w:p>
        </w:tc>
      </w:tr>
      <w:tr>
        <w:tc>
          <w:tcPr/>
          <w:p>
            <w:pPr>
              <w:pStyle w:val="Compact"/>
              <w:jc w:val="left"/>
            </w:pPr>
            <w:r>
              <w:rPr>
                <w:bCs/>
                <w:b/>
              </w:rPr>
              <w:t xml:space="preserve">M2</w:t>
            </w:r>
          </w:p>
        </w:tc>
        <w:tc>
          <w:tcPr/>
          <w:p>
            <w:pPr>
              <w:pStyle w:val="Compact"/>
              <w:jc w:val="left"/>
            </w:pPr>
            <w:r>
              <w:t xml:space="preserve">Does the verdict match the current MBSE model representation?</w:t>
            </w:r>
          </w:p>
        </w:tc>
        <w:tc>
          <w:tcPr/>
          <w:p>
            <w:pPr>
              <w:pStyle w:val="Compact"/>
              <w:jc w:val="left"/>
            </w:pPr>
            <w:r>
              <w:t xml:space="preserve">YES: record the verdict. NO: hold. Route to Systems Engineering for model disposition before recording.</w:t>
            </w:r>
          </w:p>
        </w:tc>
      </w:tr>
    </w:tbl>
    <w:bookmarkEnd w:id="70"/>
    <w:bookmarkStart w:id="71" w:name="d.5.4-verdicts"/>
    <w:p>
      <w:pPr>
        <w:pStyle w:val="Heading3"/>
      </w:pPr>
      <w:r>
        <w:t xml:space="preserve">D.5.4 Verdicts</w:t>
      </w:r>
    </w:p>
    <w:p>
      <w:pPr>
        <w:pStyle w:val="FirstParagraph"/>
      </w:pPr>
      <w:r>
        <w:rPr>
          <w:bCs/>
          <w:b/>
        </w:rPr>
        <w:t xml:space="preserve">Not CI candidates.</w:t>
      </w:r>
      <w:r>
        <w:t xml:space="preserve"> Q1 fails. The items have no end-use function. Control them within the parent CI’s configuration documentation.</w:t>
      </w:r>
    </w:p>
    <w:p>
      <w:pPr>
        <w:pStyle w:val="BodyText"/>
      </w:pPr>
      <w:r>
        <w:rPr>
          <w:bCs/>
          <w:b/>
        </w:rPr>
        <w:t xml:space="preserve">Parts, not CIs.</w:t>
      </w:r>
      <w:r>
        <w:t xml:space="preserve"> Q2 fails. No selection criterion applies. Do not designate CIs to solve a part numbering question. The PINs already capture non-interchangeability. Record a do-not-designate rationale on the CI selection criteria checklist.</w:t>
      </w:r>
    </w:p>
    <w:p>
      <w:pPr>
        <w:pStyle w:val="BodyText"/>
      </w:pPr>
      <w:r>
        <w:rPr>
          <w:bCs/>
          <w:b/>
        </w:rPr>
        <w:t xml:space="preserve">Separate CIs.</w:t>
      </w:r>
      <w:r>
        <w:t xml:space="preserve"> Any trigger fires. Each item gets its own CI identifier. Each gets its own position in the hierarchy. Each gets a determination of its required configuration documentation. Each gets its own effectivity address and its own baseline management. Verify that every pairwise boundary between the new sibling CIs appears in the interface register, or carries a signed no-interface determination.</w:t>
      </w:r>
    </w:p>
    <w:p>
      <w:pPr>
        <w:pStyle w:val="BodyText"/>
      </w:pPr>
      <w:r>
        <w:rPr>
          <w:bCs/>
          <w:b/>
        </w:rPr>
        <w:t xml:space="preserve">One CI, multiple PIN variants.</w:t>
      </w:r>
      <w:r>
        <w:t xml:space="preserve"> No trigger fires. One CI identifier covers the family. The PINs are carried as variants beneath it. Record the variant mapping in the CI index. Tabulate the specification by variant, including the interface callouts for each variant.</w:t>
      </w:r>
    </w:p>
    <w:bookmarkEnd w:id="71"/>
    <w:bookmarkEnd w:id="72"/>
    <w:bookmarkStart w:id="73" w:name="Xd3e1c66861ea84a6290a27c5ba4a022f8a4dcdd"/>
    <w:p>
      <w:pPr>
        <w:pStyle w:val="Heading2"/>
      </w:pPr>
      <w:r>
        <w:t xml:space="preserve">D.6 Decision Path B: One PIN in More Than One Place</w:t>
      </w:r>
    </w:p>
    <w:p>
      <w:pPr>
        <w:pStyle w:val="FirstParagraph"/>
      </w:pPr>
      <w:r>
        <w:t xml:space="preserve">One part number is installed in more than one place. Decision Path A does not fit. It compares items against each other. Here there is one item.</w:t>
      </w:r>
    </w:p>
    <w:p>
      <w:pPr>
        <w:pStyle w:val="BodyText"/>
      </w:pPr>
      <w:r>
        <w:t xml:space="preserve">Run these triggers instead. Compare the item instances and their next-higher items (installed position) together, not the items alone.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Trigger</w:t>
            </w:r>
          </w:p>
        </w:tc>
        <w:tc>
          <w:tcPr/>
          <w:p>
            <w:pPr>
              <w:pStyle w:val="Compact"/>
              <w:jc w:val="left"/>
            </w:pPr>
            <w:r>
              <w:rPr>
                <w:bCs/>
                <w:b/>
              </w:rPr>
              <w:t xml:space="preserve">Question</w:t>
            </w:r>
          </w:p>
        </w:tc>
        <w:tc>
          <w:tcPr/>
          <w:p>
            <w:pPr>
              <w:pStyle w:val="Compact"/>
              <w:jc w:val="left"/>
            </w:pPr>
            <w:r>
              <w:rPr>
                <w:bCs/>
                <w:b/>
              </w:rPr>
              <w:t xml:space="preserve">YES means</w:t>
            </w:r>
          </w:p>
        </w:tc>
      </w:tr>
      <w:tr>
        <w:tc>
          <w:tcPr/>
          <w:p>
            <w:pPr>
              <w:pStyle w:val="Compact"/>
              <w:jc w:val="left"/>
            </w:pPr>
            <w:r>
              <w:rPr>
                <w:bCs/>
                <w:b/>
              </w:rPr>
              <w:t xml:space="preserve">B1</w:t>
            </w:r>
          </w:p>
        </w:tc>
        <w:tc>
          <w:tcPr/>
          <w:p>
            <w:pPr>
              <w:pStyle w:val="Compact"/>
              <w:jc w:val="left"/>
            </w:pPr>
            <w:r>
              <w:t xml:space="preserve">Does each item instance satisfy a different end-use function?</w:t>
            </w:r>
          </w:p>
        </w:tc>
        <w:tc>
          <w:tcPr/>
          <w:p>
            <w:pPr>
              <w:pStyle w:val="Compact"/>
              <w:jc w:val="left"/>
            </w:pPr>
            <w:r>
              <w:t xml:space="preserve">Separate CIs</w:t>
            </w:r>
          </w:p>
        </w:tc>
      </w:tr>
      <w:tr>
        <w:tc>
          <w:tcPr/>
          <w:p>
            <w:pPr>
              <w:pStyle w:val="Compact"/>
              <w:jc w:val="left"/>
            </w:pPr>
            <w:r>
              <w:rPr>
                <w:bCs/>
                <w:b/>
              </w:rPr>
              <w:t xml:space="preserve">B2</w:t>
            </w:r>
          </w:p>
        </w:tc>
        <w:tc>
          <w:tcPr/>
          <w:p>
            <w:pPr>
              <w:pStyle w:val="Compact"/>
              <w:jc w:val="left"/>
            </w:pPr>
            <w:r>
              <w:t xml:space="preserve">Does each item instance sit under a different parent in the system or sub-system hierarchy?</w:t>
            </w:r>
          </w:p>
        </w:tc>
        <w:tc>
          <w:tcPr/>
          <w:p>
            <w:pPr>
              <w:pStyle w:val="Compact"/>
              <w:jc w:val="left"/>
            </w:pPr>
            <w:r>
              <w:t xml:space="preserve">Separate CIs</w:t>
            </w:r>
          </w:p>
        </w:tc>
      </w:tr>
      <w:tr>
        <w:tc>
          <w:tcPr/>
          <w:p>
            <w:pPr>
              <w:pStyle w:val="Compact"/>
              <w:jc w:val="left"/>
            </w:pPr>
            <w:r>
              <w:rPr>
                <w:bCs/>
                <w:b/>
              </w:rPr>
              <w:t xml:space="preserve">B3</w:t>
            </w:r>
          </w:p>
        </w:tc>
        <w:tc>
          <w:tcPr/>
          <w:p>
            <w:pPr>
              <w:pStyle w:val="Compact"/>
              <w:jc w:val="left"/>
            </w:pPr>
            <w:r>
              <w:t xml:space="preserve">Does each item instance need its own change or maintenance effectivity address (e.g., cut-in time, separate next higher assembly, separate end item, maintenance or replacement intervals)?</w:t>
            </w:r>
          </w:p>
        </w:tc>
        <w:tc>
          <w:tcPr/>
          <w:p>
            <w:pPr>
              <w:pStyle w:val="Compact"/>
              <w:jc w:val="left"/>
            </w:pPr>
            <w:r>
              <w:t xml:space="preserve">Separate CIs</w:t>
            </w:r>
          </w:p>
        </w:tc>
      </w:tr>
      <w:tr>
        <w:tc>
          <w:tcPr/>
          <w:p>
            <w:pPr>
              <w:pStyle w:val="Compact"/>
              <w:jc w:val="left"/>
            </w:pPr>
            <w:r>
              <w:rPr>
                <w:bCs/>
                <w:b/>
              </w:rPr>
              <w:t xml:space="preserve">B4</w:t>
            </w:r>
          </w:p>
        </w:tc>
        <w:tc>
          <w:tcPr/>
          <w:p>
            <w:pPr>
              <w:pStyle w:val="Compact"/>
              <w:jc w:val="left"/>
            </w:pPr>
            <w:r>
              <w:t xml:space="preserve">Is one item instance safety-critical when another is not?</w:t>
            </w:r>
          </w:p>
        </w:tc>
        <w:tc>
          <w:tcPr/>
          <w:p>
            <w:pPr>
              <w:pStyle w:val="Compact"/>
              <w:jc w:val="left"/>
            </w:pPr>
            <w:r>
              <w:t xml:space="preserve">Separate CIs</w:t>
            </w:r>
          </w:p>
        </w:tc>
      </w:tr>
    </w:tbl>
    <w:p>
      <w:pPr>
        <w:pStyle w:val="BodyText"/>
      </w:pPr>
      <w:r>
        <w:t xml:space="preserve">Any YES means separate CIs against one PIN. The qualifying gates and the model check still apply.</w:t>
      </w:r>
    </w:p>
    <w:p>
      <w:pPr>
        <w:pStyle w:val="BodyText"/>
      </w:pPr>
      <w:r>
        <w:rPr>
          <w:bCs/>
          <w:b/>
        </w:rPr>
        <w:t xml:space="preserve">State the cost before adopting this verdict.</w:t>
      </w:r>
      <w:r>
        <w:t xml:space="preserve"> One PIN under two CI identifiers carries a consequence for the life of the program. The CI identifier no longer resolves from the item alone. It resolves from the item and its installed position together. The as-built record must carry the CI identifier at the installation, not on the part. Configuration status accounting must key on the CI and the position together. Marking on the part cannot carry the CI identifier. The part is one part number.</w:t>
      </w:r>
    </w:p>
    <w:p>
      <w:pPr>
        <w:pStyle w:val="BodyText"/>
      </w:pPr>
      <w:r>
        <w:t xml:space="preserve">Confirm that the CSA system supports position-keyed CI identity before recording this verdict. Record that confirmation with the rationale.</w:t>
      </w:r>
    </w:p>
    <w:bookmarkEnd w:id="73"/>
    <w:bookmarkStart w:id="78" w:name="d.7-trigger-rationale-and-cautions"/>
    <w:p>
      <w:pPr>
        <w:pStyle w:val="Heading2"/>
      </w:pPr>
      <w:r>
        <w:t xml:space="preserve">D.7 Trigger Rationale and Cautions</w:t>
      </w:r>
    </w:p>
    <w:bookmarkStart w:id="74" w:name="d.7.1-s3-safety-either-item-not-both"/>
    <w:p>
      <w:pPr>
        <w:pStyle w:val="Heading3"/>
      </w:pPr>
      <w:r>
        <w:t xml:space="preserve">D.7.1 S3: Safety, Either Item, Not Both</w:t>
      </w:r>
    </w:p>
    <w:p>
      <w:pPr>
        <w:pStyle w:val="FirstParagraph"/>
      </w:pPr>
      <w:r>
        <w:t xml:space="preserve">Separate the CIs if any one item is safety-critical. Do not wait for all of them to be.</w:t>
      </w:r>
    </w:p>
    <w:p>
      <w:pPr>
        <w:pStyle w:val="BodyText"/>
      </w:pPr>
      <w:r>
        <w:t xml:space="preserve">A safety-critical item sharing a CI identifier with a non-critical item produces one of two outcomes. The whole CI inherits the obligations of the safety criterion, and safety change control with it. Or the hazard-to-CI traceability blurs. Both outcomes are worse than a second CI number.</w:t>
      </w:r>
    </w:p>
    <w:p>
      <w:pPr>
        <w:pStyle w:val="BodyText"/>
      </w:pPr>
      <w:r>
        <w:t xml:space="preserve">Separate the CIs when each item is safety-critical too. Each one needs distinct hazard traceability. Each one needs an independent effectivity address for safety-driven changes.</w:t>
      </w:r>
    </w:p>
    <w:p>
      <w:pPr>
        <w:pStyle w:val="BodyText"/>
      </w:pPr>
      <w:r>
        <w:t xml:space="preserve">Do not consolidate a safety-critical item with a non-safety-critical item into a shared CI identifier without System Safety concurrence. The terms are the same as for any other decision not to designate a safety-critical item as a CI.</w:t>
      </w:r>
    </w:p>
    <w:bookmarkEnd w:id="74"/>
    <w:bookmarkStart w:id="75" w:name="Xd256169302b7586f5323fde45b9d88c7a1568e0"/>
    <w:p>
      <w:pPr>
        <w:pStyle w:val="Heading3"/>
      </w:pPr>
      <w:r>
        <w:t xml:space="preserve">D.7.2 S4: The One-Specification Test and the ICD Caution</w:t>
      </w:r>
    </w:p>
    <w:p>
      <w:pPr>
        <w:pStyle w:val="FirstParagraph"/>
      </w:pPr>
      <w:r>
        <w:t xml:space="preserve">One specification must define performance and interfaces for all variants. A tabulated specification is acceptable.</w:t>
      </w:r>
    </w:p>
    <w:p>
      <w:pPr>
        <w:pStyle w:val="BodyText"/>
      </w:pPr>
      <w:r>
        <w:t xml:space="preserve">Interfaces are where consolidation quietly fails. Apply this caution.</w:t>
      </w:r>
    </w:p>
    <w:p>
      <w:pPr>
        <w:pStyle w:val="BodyText"/>
      </w:pPr>
      <w:r>
        <w:rPr>
          <w:bCs/>
          <w:b/>
        </w:rPr>
        <w:t xml:space="preserve">Appearing on the same ICD is not evidence of a common interface.</w:t>
      </w:r>
      <w:r>
        <w:t xml:space="preserve"> Both items may appear in one ICD. The ICD may still call out separate interfaces for each item. That case requires analysis. Do not stop at “they are on the same ICD.”</w:t>
      </w:r>
    </w:p>
    <w:p>
      <w:pPr>
        <w:pStyle w:val="BodyText"/>
      </w:pPr>
      <w:r>
        <w:t xml:space="preserve">Determine whether one interface definition governs all variants. Determine whether the ICD is instead documenting different interfaces.</w:t>
      </w:r>
    </w:p>
    <w:p>
      <w:pPr>
        <w:pStyle w:val="BodyText"/>
      </w:pPr>
      <w:r>
        <w:t xml:space="preserve">Distinct interface callouts usually mean different mating definitions. They usually mean separate interface change traffic. Both are grounds for separate effectivity under S6. Both are grounds for separate CIs outright.</w:t>
      </w:r>
    </w:p>
    <w:p>
      <w:pPr>
        <w:pStyle w:val="BodyText"/>
      </w:pPr>
      <w:r>
        <w:t xml:space="preserve">Record the analysis outcome in the rationale. Make sure the interface register identifies which variant each interface row applies to.</w:t>
      </w:r>
    </w:p>
    <w:bookmarkEnd w:id="75"/>
    <w:bookmarkStart w:id="76" w:name="d.7.3-s5-verification"/>
    <w:p>
      <w:pPr>
        <w:pStyle w:val="Heading3"/>
      </w:pPr>
      <w:r>
        <w:t xml:space="preserve">D.7.3 S5: Verification</w:t>
      </w:r>
    </w:p>
    <w:p>
      <w:pPr>
        <w:pStyle w:val="FirstParagraph"/>
      </w:pPr>
      <w:r>
        <w:t xml:space="preserve">One qualification and acceptance basis must cover all variants.</w:t>
      </w:r>
    </w:p>
    <w:p>
      <w:pPr>
        <w:pStyle w:val="BodyText"/>
      </w:pPr>
      <w:r>
        <w:t xml:space="preserve">Designate separately where variants need separate definition of performance and test requirements. Designate separately where variants must be verified independently, to different requirements or by different plans.</w:t>
      </w:r>
    </w:p>
    <w:p>
      <w:pPr>
        <w:pStyle w:val="BodyText"/>
      </w:pPr>
      <w:r>
        <w:t xml:space="preserve">The verification picture is often unknown early. Obtain it before deciding. This trigger is frequently the deciding fact.</w:t>
      </w:r>
    </w:p>
    <w:bookmarkEnd w:id="76"/>
    <w:bookmarkStart w:id="77" w:name="X1a5dce8a36ed929bd9642df47fc1f23e50a43ae"/>
    <w:p>
      <w:pPr>
        <w:pStyle w:val="Heading3"/>
      </w:pPr>
      <w:r>
        <w:t xml:space="preserve">D.7.4 S6: Change </w:t>
      </w:r>
      <w:r>
        <w:rPr>
          <w:bCs/>
          <w:b/>
        </w:rPr>
        <w:t xml:space="preserve">or</w:t>
      </w:r>
      <w:r>
        <w:t xml:space="preserve"> Maintenance Effectivity Address</w:t>
      </w:r>
    </w:p>
    <w:p>
      <w:pPr>
        <w:pStyle w:val="FirstParagraph"/>
      </w:pPr>
      <w:r>
        <w:t xml:space="preserve">This is the practical day-to-day discriminator.</w:t>
      </w:r>
    </w:p>
    <w:p>
      <w:pPr>
        <w:pStyle w:val="BodyText"/>
      </w:pPr>
      <w:r>
        <w:t xml:space="preserve">A change or maintenance interval to one item may need to be dispositioned, tracked, and cut in independently of the others. Where that is routine, each item needs its own effectivity address. That is a primary reason separate CIs exist.</w:t>
      </w:r>
    </w:p>
    <w:p>
      <w:pPr>
        <w:pStyle w:val="BodyText"/>
      </w:pPr>
      <w:r>
        <w:t xml:space="preserve">Where changes or maintenance tasking normally apply across the family, one CI is sufficient.</w:t>
      </w:r>
    </w:p>
    <w:p>
      <w:pPr>
        <w:pStyle w:val="BodyText"/>
      </w:pPr>
      <w:r>
        <w:rPr>
          <w:bCs/>
          <w:b/>
        </w:rPr>
        <w:t xml:space="preserve">The influencing part.</w:t>
      </w:r>
      <w:r>
        <w:t xml:space="preserve"> An influencing part carries no life limit of its own. Its own failure has no hazardous effect. It fails the safety criterion by its own definition. It still needs an independent effectivity address, because the approved lifing basis of the part it governs depends on its configuration. S3 will not catch it. S6 will. See the influencing part discussion in the criticality designations appendix.</w:t>
      </w:r>
    </w:p>
    <w:bookmarkEnd w:id="77"/>
    <w:bookmarkEnd w:id="78"/>
    <w:bookmarkStart w:id="82" w:name="d.8-mbse-alignment"/>
    <w:p>
      <w:pPr>
        <w:pStyle w:val="Heading2"/>
      </w:pPr>
      <w:r>
        <w:t xml:space="preserve">D.8 MBSE Alignment</w:t>
      </w:r>
    </w:p>
    <w:p>
      <w:pPr>
        <w:pStyle w:val="FirstParagraph"/>
      </w:pPr>
      <w:r>
        <w:t xml:space="preserve">Where MBSE is used, the CI structure mirrors the model decomposition. The two do not diverge. Three rules govern how this appendix interacts with the model.</w:t>
      </w:r>
    </w:p>
    <w:bookmarkStart w:id="79" w:name="Xf26cb0fd8f0dacbdb5541964504f9c7b4141318"/>
    <w:p>
      <w:pPr>
        <w:pStyle w:val="Heading3"/>
      </w:pPr>
      <w:r>
        <w:t xml:space="preserve">D.8.1 The Model Informs. It Does Not Decide.</w:t>
      </w:r>
    </w:p>
    <w:p>
      <w:pPr>
        <w:pStyle w:val="FirstParagraph"/>
      </w:pPr>
      <w:r>
        <w:t xml:space="preserve">Answer S2 from the model where a model exists.</w:t>
      </w:r>
    </w:p>
    <w:p>
      <w:pPr>
        <w:pStyle w:val="BodyText"/>
      </w:pPr>
      <w:r>
        <w:t xml:space="preserve">The model’s current abstraction of the candidate items is not itself a verdict. One element or sibling elements, either way, the abstraction is not the answer. SysML can legitimately represent a variant family either way. One logical block with multiple physical realizations is valid. Sibling blocks are valid.</w:t>
      </w:r>
    </w:p>
    <w:p>
      <w:pPr>
        <w:pStyle w:val="BodyText"/>
      </w:pPr>
      <w:r>
        <w:t xml:space="preserve">A mismatch between the model and this screen may mean only that the architect stopped abstracting at a different level. It does not mean either view is wrong. The screen result is engineering evidence for which representation is correct.</w:t>
      </w:r>
    </w:p>
    <w:bookmarkEnd w:id="79"/>
    <w:bookmarkStart w:id="80" w:name="X32fb9766f493aba88ed5ece7ca344fa31c66e3c"/>
    <w:p>
      <w:pPr>
        <w:pStyle w:val="Heading3"/>
      </w:pPr>
      <w:r>
        <w:t xml:space="preserve">D.8.2 Adjudicating the CI Question May Drive Changes to the Model</w:t>
      </w:r>
    </w:p>
    <w:p>
      <w:pPr>
        <w:pStyle w:val="FirstParagraph"/>
      </w:pPr>
      <w:r>
        <w:t xml:space="preserve">That is an expected outcome of the process. It is not a workaround.</w:t>
      </w:r>
    </w:p>
    <w:p>
      <w:pPr>
        <w:pStyle w:val="BodyText"/>
      </w:pPr>
      <w:r>
        <w:t xml:space="preserve">The screen may require separate CIs where the model shows one element. It may support one CI where the model shows siblings. CM raises the discrepancy to Systems Engineering as a model disposition item.</w:t>
      </w:r>
    </w:p>
    <w:p>
      <w:pPr>
        <w:pStyle w:val="BodyText"/>
      </w:pPr>
      <w:r>
        <w:t xml:space="preserve">Where SE concurs, the model is corrected. The decomposition change is itself a re-evaluation trigger. The process loops as designed.</w:t>
      </w:r>
    </w:p>
    <w:p>
      <w:pPr>
        <w:pStyle w:val="BodyText"/>
      </w:pPr>
      <w:r>
        <w:t xml:space="preserve">Where SE does not concur, the disagreement is a genuine engineering dispute. Resolve it at a technical review.</w:t>
      </w:r>
    </w:p>
    <w:p>
      <w:pPr>
        <w:pStyle w:val="BodyText"/>
      </w:pPr>
      <w:r>
        <w:t xml:space="preserve">CM does not override the architecture unilaterally. Systems Engineering does not silently overrule the CI screen.</w:t>
      </w:r>
    </w:p>
    <w:bookmarkEnd w:id="80"/>
    <w:bookmarkStart w:id="81" w:name="Xaa4633b7152e8ca582588bdf463662728a3394c"/>
    <w:p>
      <w:pPr>
        <w:pStyle w:val="Heading3"/>
      </w:pPr>
      <w:r>
        <w:t xml:space="preserve">D.8.3 Never Record Against a Divergent Model</w:t>
      </w:r>
    </w:p>
    <w:p>
      <w:pPr>
        <w:pStyle w:val="FirstParagraph"/>
      </w:pPr>
      <w:r>
        <w:t xml:space="preserve">Do not designate two CIs against one model element before the model is dispositioned. Do not consolidate two model elements under one CI before the model is dispositioned.</w:t>
      </w:r>
    </w:p>
    <w:p>
      <w:pPr>
        <w:pStyle w:val="BodyText"/>
      </w:pPr>
      <w:r>
        <w:t xml:space="preserve">Either action breaks the traceability rule. Every CI resolves to a model element. Every model element resolves to a CI. Either action also creates a second, independent decomposition. The MBSE alignment guidance prohibits that.</w:t>
      </w:r>
    </w:p>
    <w:p>
      <w:pPr>
        <w:pStyle w:val="BodyText"/>
      </w:pPr>
      <w:r>
        <w:t xml:space="preserve">The model check enforces this. A verdict that mismatches the model is held. It is routed to Systems Engineering. It is recorded only after the model and the CI structure agree.</w:t>
      </w:r>
    </w:p>
    <w:bookmarkEnd w:id="81"/>
    <w:bookmarkEnd w:id="82"/>
    <w:bookmarkStart w:id="83" w:name="d.9-recording-the-result"/>
    <w:p>
      <w:pPr>
        <w:pStyle w:val="Heading2"/>
      </w:pPr>
      <w:r>
        <w:t xml:space="preserve">D.9 Recording the Result</w:t>
      </w:r>
    </w:p>
    <w:p>
      <w:pPr>
        <w:numPr>
          <w:ilvl w:val="0"/>
          <w:numId w:val="1014"/>
        </w:numPr>
      </w:pPr>
      <w:r>
        <w:t xml:space="preserve">Complete a CI selection criteria checklist for each item, or one for each consolidated CI. Cite every trigger that fired as the rationale.</w:t>
      </w:r>
    </w:p>
    <w:p>
      <w:pPr>
        <w:numPr>
          <w:ilvl w:val="0"/>
          <w:numId w:val="1014"/>
        </w:numPr>
      </w:pPr>
      <w:r>
        <w:t xml:space="preserve">Apply the product unit record-structure test to each variant and to its component parts. One CI may contain parts of more than one product unit record structure. The product unit record structure follows that test. It does not follow CI status, and it does not follow the verdict reached here.</w:t>
      </w:r>
    </w:p>
    <w:p>
      <w:pPr>
        <w:numPr>
          <w:ilvl w:val="0"/>
          <w:numId w:val="1014"/>
        </w:numPr>
      </w:pPr>
      <w:r>
        <w:rPr>
          <w:bCs/>
          <w:b/>
        </w:rPr>
        <w:t xml:space="preserve">One-CI verdicts.</w:t>
      </w:r>
      <w:r>
        <w:t xml:space="preserve"> Record the CI-to-PIN variant mapping in the CI index. Tabulate the specification by variant. Identify variant applicability on each interface register row.</w:t>
      </w:r>
    </w:p>
    <w:p>
      <w:pPr>
        <w:numPr>
          <w:ilvl w:val="0"/>
          <w:numId w:val="1014"/>
        </w:numPr>
      </w:pPr>
      <w:r>
        <w:rPr>
          <w:bCs/>
          <w:b/>
        </w:rPr>
        <w:t xml:space="preserve">Separate-CI verdicts.</w:t>
      </w:r>
      <w:r>
        <w:t xml:space="preserve"> Verify that every pairwise boundary between the new sibling CIs appears in the interface register, or carries a signed no-interface determination.</w:t>
      </w:r>
    </w:p>
    <w:p>
      <w:pPr>
        <w:numPr>
          <w:ilvl w:val="0"/>
          <w:numId w:val="1014"/>
        </w:numPr>
      </w:pPr>
      <w:r>
        <w:rPr>
          <w:bCs/>
          <w:b/>
        </w:rPr>
        <w:t xml:space="preserve">One-PIN-multiple-CI verdicts.</w:t>
      </w:r>
      <w:r>
        <w:t xml:space="preserve"> Record the CI identifier against the installed position, not against the part. Record the CSA confirmation described in Decision Path B.</w:t>
      </w:r>
    </w:p>
    <w:p>
      <w:pPr>
        <w:numPr>
          <w:ilvl w:val="0"/>
          <w:numId w:val="1014"/>
        </w:numPr>
      </w:pPr>
      <w:r>
        <w:rPr>
          <w:bCs/>
          <w:b/>
        </w:rPr>
        <w:t xml:space="preserve">All verdicts.</w:t>
      </w:r>
      <w:r>
        <w:t xml:space="preserve"> Submit for Acquirer concurrence. Record in the CSA system. Re-run this assessment on any trigger. A variant’s specification, verification, effectivity, or safety classification may diverge later. Each divergence is a trigger.</w:t>
      </w:r>
    </w:p>
    <w:bookmarkEnd w:id="83"/>
    <w:bookmarkStart w:id="87" w:name="d.10-splits-and-consolidations"/>
    <w:p>
      <w:pPr>
        <w:pStyle w:val="Heading2"/>
      </w:pPr>
      <w:r>
        <w:t xml:space="preserve">D.10 Splits and Consolidations</w:t>
      </w:r>
    </w:p>
    <w:p>
      <w:pPr>
        <w:pStyle w:val="FirstParagraph"/>
      </w:pPr>
      <w:r>
        <w:t xml:space="preserve">A verdict sometimes changes a CI designation that already exists. One CI becomes two. Two CIs become one. Establish the current CI designation before running the gates. The same verdict means different work depending on where the assessment started.</w:t>
      </w:r>
    </w:p>
    <w:p>
      <w:pPr>
        <w:pStyle w:val="BodyText"/>
      </w:pPr>
      <w:r>
        <w:t xml:space="preserve">Both cases are selection changes. Submit both for Acquirer concurrence.</w:t>
      </w:r>
    </w:p>
    <w:bookmarkStart w:id="84" w:name="d.10.1-a-split"/>
    <w:p>
      <w:pPr>
        <w:pStyle w:val="Heading3"/>
      </w:pPr>
      <w:r>
        <w:t xml:space="preserve">D.10.1 A Split</w:t>
      </w:r>
    </w:p>
    <w:p>
      <w:pPr>
        <w:pStyle w:val="FirstParagraph"/>
      </w:pPr>
      <w:r>
        <w:t xml:space="preserve">One CI today. The gates return separate CIs.</w:t>
      </w:r>
    </w:p>
    <w:p>
      <w:pPr>
        <w:numPr>
          <w:ilvl w:val="0"/>
          <w:numId w:val="1015"/>
        </w:numPr>
      </w:pPr>
      <w:r>
        <w:t xml:space="preserve">CI identifiers change. PINs move only on a non-interchangeable condition. Product unit identifiers never move. A modified unit keeps its original unit identifier even though the PIN changes.</w:t>
      </w:r>
    </w:p>
    <w:p>
      <w:pPr>
        <w:numPr>
          <w:ilvl w:val="0"/>
          <w:numId w:val="1015"/>
        </w:numPr>
      </w:pPr>
      <w:r>
        <w:t xml:space="preserve">Every boundary between the new sibling CIs goes in the interface register, or carries a signed no-interface determination. A split creates boundaries that did not exist before.</w:t>
      </w:r>
    </w:p>
    <w:p>
      <w:pPr>
        <w:numPr>
          <w:ilvl w:val="0"/>
          <w:numId w:val="1015"/>
        </w:numPr>
      </w:pPr>
      <w:r>
        <w:t xml:space="preserve">Retain the old CI index row with its status changed. Never delete it. The old identifier is the trace to everything recorded against it.</w:t>
      </w:r>
    </w:p>
    <w:bookmarkEnd w:id="84"/>
    <w:bookmarkStart w:id="85" w:name="d.10.2-a-consolidation"/>
    <w:p>
      <w:pPr>
        <w:pStyle w:val="Heading3"/>
      </w:pPr>
      <w:r>
        <w:t xml:space="preserve">D.10.2 A Consolidation</w:t>
      </w:r>
    </w:p>
    <w:p>
      <w:pPr>
        <w:pStyle w:val="FirstParagraph"/>
      </w:pPr>
      <w:r>
        <w:t xml:space="preserve">Separate CIs today. The gates return one CI.</w:t>
      </w:r>
    </w:p>
    <w:p>
      <w:pPr>
        <w:numPr>
          <w:ilvl w:val="0"/>
          <w:numId w:val="1016"/>
        </w:numPr>
      </w:pPr>
      <w:r>
        <w:t xml:space="preserve">The boundary between the old CIs becomes internal. Disposition the interface register rows and record why. Do not leave a row pointing at a boundary that no longer exists.</w:t>
      </w:r>
    </w:p>
    <w:p>
      <w:pPr>
        <w:numPr>
          <w:ilvl w:val="0"/>
          <w:numId w:val="1016"/>
        </w:numPr>
      </w:pPr>
      <w:r>
        <w:t xml:space="preserve">Retain the old CI index rows with their status changed.</w:t>
      </w:r>
    </w:p>
    <w:p>
      <w:pPr>
        <w:numPr>
          <w:ilvl w:val="0"/>
          <w:numId w:val="1016"/>
        </w:numPr>
      </w:pPr>
      <w:r>
        <w:t xml:space="preserve">PINs do not merge. Each variant keeps its own PIN beneath the one CI. Consolidating the CI identifier does not make the variants interchangeable.</w:t>
      </w:r>
    </w:p>
    <w:bookmarkEnd w:id="85"/>
    <w:bookmarkStart w:id="86" w:name="d.10.3-both-cases"/>
    <w:p>
      <w:pPr>
        <w:pStyle w:val="Heading3"/>
      </w:pPr>
      <w:r>
        <w:t xml:space="preserve">D.10.3 Both Cases</w:t>
      </w:r>
    </w:p>
    <w:p>
      <w:pPr>
        <w:pStyle w:val="FirstParagraph"/>
      </w:pPr>
      <w:r>
        <w:t xml:space="preserve">Apply the product unit record-structure test again. The product unit record structure follows that test, not the CI structure. A split does not create a serialization obligation. A consolidation does not remove one.</w:t>
      </w:r>
    </w:p>
    <w:p>
      <w:pPr>
        <w:pStyle w:val="BodyText"/>
      </w:pPr>
      <w:r>
        <w:t xml:space="preserve">A change to the CI structure is a re-evaluation trigger in its own right. Where MBSE is used, the model check applies to the changed structure before it is recorded.</w:t>
      </w:r>
    </w:p>
    <w:bookmarkEnd w:id="86"/>
    <w:bookmarkEnd w:id="87"/>
    <w:bookmarkStart w:id="88" w:name="d.11-worked-example-three-relays"/>
    <w:p>
      <w:pPr>
        <w:pStyle w:val="Heading2"/>
      </w:pPr>
      <w:r>
        <w:t xml:space="preserve">D.11 Worked Example: Three Relays</w:t>
      </w:r>
    </w:p>
    <w:p>
      <w:pPr>
        <w:pStyle w:val="FirstParagraph"/>
      </w:pPr>
      <w:r>
        <w:t xml:space="preserve">Three relays carry different part numbers. They perform the same end-use function. They sit under the same parent. They come from the same vendor. They share maintenance requirements. None is safety-critical. Their interfaces differ slightly. Verification requirements are unknown.</w:t>
      </w:r>
    </w:p>
    <w:p>
      <w:pPr>
        <w:pStyle w:val="BodyText"/>
      </w:pPr>
      <w:r>
        <w:rPr>
          <w:bCs/>
          <w:b/>
        </w:rPr>
        <w:t xml:space="preserve">Scope cautions.</w:t>
      </w:r>
      <w:r>
        <w:t xml:space="preserve"> The relays are vendor catalog items. The company procures each one as a unit. Compare them as procured. Do not decompose them.</w:t>
      </w:r>
    </w:p>
    <w:p>
      <w:pPr>
        <w:pStyle w:val="BodyText"/>
      </w:pPr>
      <w:r>
        <w:rPr>
          <w:bCs/>
          <w:b/>
        </w:rPr>
        <w:t xml:space="preserve">Q1 and Q2.</w:t>
      </w:r>
      <w:r>
        <w:t xml:space="preserve"> The relays pass the end-use function gate. Whether they meet a selection criterion is a separate question. Required logistics elements and Acquirer direction are the usual ones. Suppose no criterion applies. Then they are parts under the parent CI with three PINs. Stop there.</w:t>
      </w:r>
    </w:p>
    <w:p>
      <w:pPr>
        <w:pStyle w:val="BodyText"/>
      </w:pPr>
      <w:r>
        <w:rPr>
          <w:bCs/>
          <w:b/>
        </w:rPr>
        <w:t xml:space="preserve">S1 and S2.</w:t>
      </w:r>
      <w:r>
        <w:t xml:space="preserve"> Same function. Same parent. Neither triggers.</w:t>
      </w:r>
    </w:p>
    <w:p>
      <w:pPr>
        <w:pStyle w:val="BodyText"/>
      </w:pPr>
      <w:r>
        <w:rPr>
          <w:bCs/>
          <w:b/>
        </w:rPr>
        <w:t xml:space="preserve">S3.</w:t>
      </w:r>
      <w:r>
        <w:t xml:space="preserve"> Not safety-critical. Does not trigger.</w:t>
      </w:r>
    </w:p>
    <w:p>
      <w:pPr>
        <w:pStyle w:val="BodyText"/>
      </w:pPr>
      <w:r>
        <w:rPr>
          <w:bCs/>
          <w:b/>
        </w:rPr>
        <w:t xml:space="preserve">S4.</w:t>
      </w:r>
      <w:r>
        <w:t xml:space="preserve"> Slightly different interfaces is exactly the ICD caution. One tabulated specification with per-variant interface callouts may genuinely govern all three. Then S4 does not trigger. The interface definitions may instead be distinct enough to need separate documents or separate interface change traffic. Then S4 triggers and the relays are separate CIs.</w:t>
      </w:r>
    </w:p>
    <w:p>
      <w:pPr>
        <w:pStyle w:val="BodyText"/>
      </w:pPr>
      <w:r>
        <w:rPr>
          <w:bCs/>
          <w:b/>
        </w:rPr>
        <w:t xml:space="preserve">S5.</w:t>
      </w:r>
      <w:r>
        <w:t xml:space="preserve"> Obtain the verification answer before deciding. This is the open deciding fact. Same qualification and acceptance basis, and S5 does not trigger. Different basis, and it does.</w:t>
      </w:r>
    </w:p>
    <w:p>
      <w:pPr>
        <w:pStyle w:val="BodyText"/>
      </w:pPr>
      <w:r>
        <w:rPr>
          <w:bCs/>
          <w:b/>
        </w:rPr>
        <w:t xml:space="preserve">S6 and S7.</w:t>
      </w:r>
      <w:r>
        <w:t xml:space="preserve"> Relay changes cut in family-wide. No external driver separates them. Neither triggers.</w:t>
      </w:r>
    </w:p>
    <w:p>
      <w:pPr>
        <w:pStyle w:val="BodyText"/>
      </w:pPr>
      <w:r>
        <w:rPr>
          <w:bCs/>
          <w:b/>
        </w:rPr>
        <w:t xml:space="preserve">Verdict.</w:t>
      </w:r>
      <w:r>
        <w:t xml:space="preserve"> No trigger fires. One CI with three PIN variants. Record the variant mapping in the CI index.</w:t>
      </w:r>
    </w:p>
    <w:p>
      <w:pPr>
        <w:pStyle w:val="BodyText"/>
      </w:pPr>
      <w:r>
        <w:rPr>
          <w:bCs/>
          <w:b/>
        </w:rPr>
        <w:t xml:space="preserve">Model check.</w:t>
      </w:r>
      <w:r>
        <w:t xml:space="preserve"> Verify the verdict against the MBSE model before recording.</w:t>
      </w:r>
    </w:p>
    <w:p>
      <w:pPr>
        <w:pStyle w:val="BodyText"/>
      </w:pPr>
      <w:r>
        <w:rPr>
          <w:bCs/>
          <w:b/>
        </w:rPr>
        <w:t xml:space="preserve">Product unit record structure.</w:t>
      </w:r>
      <w:r>
        <w:t xml:space="preserve"> Apply the product unit record-structure test to each of the three PINs. One CI with three variants may still hold parts of more than one record structure.</w:t>
      </w:r>
    </w:p>
    <w:p>
      <w:pPr>
        <w:pStyle w:val="BodyText"/>
      </w:pPr>
      <w:r>
        <w:rPr>
          <w:iCs/>
          <w:i/>
        </w:rPr>
        <w:t xml:space="preserve">Final CI designation authority for Acquirer-controlled CIs rests with the Acquirer. This appendix is a decision aid. It does not substitute for engineering judgment. It does not substitute for contract requirements.</w:t>
      </w:r>
    </w:p>
    <w:p>
      <w:pPr>
        <w:pStyle w:val="BodyText"/>
      </w:pPr>
      <w:r>
        <w:t xml:space="preserve">CI Identification Process | Page 32</w:t>
      </w:r>
    </w:p>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Configuration Item (CI) Identification Process</dc:title>
  <dc:creator/>
  <cp:keywords/>
  <dcterms:created xsi:type="dcterms:W3CDTF">2026-09-17T00:26:39Z</dcterms:created>
  <dcterms:modified xsi:type="dcterms:W3CDTF">2026-09-17T00:26:39Z</dcterms:modified>
  <dc:subject>Configuration Management Process</dc:subject>
  <dc:description>Rev H draft. Section 4 roles table reconciled with the Section 5 activities; identifier assignment and Appendix C updated for critical safety item unique identification.</dc:description>
</cp:coreProperties>
</file>

<file path=docProps/custom.xml><?xml version="1.0" encoding="utf-8"?>
<Properties xmlns="http://schemas.openxmlformats.org/officeDocument/2006/custom-properties" xmlns:vt="http://schemas.openxmlformats.org/officeDocument/2006/docPropsVTypes"/>
</file>