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Calibri" w:cs="Calibri" w:eastAsia="Calibri" w:hAnsi="Calibri"/>
          <w:b/>
          <w:bCs/>
          <w:color w:val="1F3864"/>
          <w:sz w:val="24"/>
          <w:szCs w:val="24"/>
        </w:rPr>
        <w:t xml:space="preserve">SELF-PACED TRAINING COURSE</w:t>
      </w:r>
    </w:p>
    <w:p>
      <w:pPr>
        <w:spacing w:after="200"/>
        <w:jc w:val="center"/>
      </w:pPr>
      <w:r>
        <w:rPr>
          <w:rFonts w:ascii="Calibri" w:cs="Calibri" w:eastAsia="Calibri" w:hAnsi="Calibri"/>
          <w:b/>
          <w:bCs/>
          <w:sz w:val="48"/>
          <w:szCs w:val="48"/>
        </w:rPr>
        <w:t xml:space="preserve">Functional and Physical Configuration Audits</w:t>
      </w:r>
    </w:p>
    <w:p>
      <w:pPr>
        <w:spacing w:after="1000"/>
        <w:jc w:val="center"/>
      </w:pPr>
      <w:r>
        <w:rPr>
          <w:rFonts w:ascii="Calibri" w:cs="Calibri" w:eastAsia="Calibri" w:hAnsi="Calibri"/>
          <w:i/>
          <w:iCs/>
          <w:sz w:val="26"/>
          <w:szCs w:val="26"/>
        </w:rPr>
        <w:t xml:space="preserve">Evidence judgment and conduct discipline for audit teams</w:t>
      </w:r>
    </w:p>
    <w:p>
      <w:pPr>
        <w:spacing w:after="100"/>
        <w:jc w:val="center"/>
      </w:pPr>
      <w:r>
        <w:rPr>
          <w:rFonts w:ascii="Calibri" w:cs="Calibri" w:eastAsia="Calibri" w:hAnsi="Calibri"/>
          <w:sz w:val="22"/>
          <w:szCs w:val="22"/>
        </w:rPr>
        <w:t xml:space="preserve">Course No.: [insert]     Revision: [Initial]     Date: [Date]</w:t>
      </w:r>
    </w:p>
    <w:p>
      <w:pPr>
        <w:spacing w:after="100"/>
        <w:jc w:val="center"/>
      </w:pPr>
      <w:r>
        <w:rPr>
          <w:rFonts w:ascii="Calibri" w:cs="Calibri" w:eastAsia="Calibri" w:hAnsi="Calibri"/>
          <w:sz w:val="22"/>
          <w:szCs w:val="22"/>
        </w:rPr>
        <w:t xml:space="preserve">Estimated seat time: 5–7 hours (full path), chunked by module</w:t>
      </w:r>
    </w:p>
    <w:p>
      <w:r>
        <w:br w:type="page"/>
      </w:r>
    </w:p>
    <w:p>
      <w:pPr>
        <w:pStyle w:val="Heading1"/>
        <w:spacing w:after="160" w:before="320"/>
      </w:pPr>
      <w:r>
        <w:rPr>
          <w:rFonts w:ascii="Calibri" w:cs="Calibri" w:eastAsia="Calibri" w:hAnsi="Calibri"/>
        </w:rPr>
        <w:t xml:space="preserve">How to Use This Course</w:t>
      </w:r>
    </w:p>
    <w:p>
      <w:pPr>
        <w:spacing w:after="120" w:line="276"/>
      </w:pPr>
      <w:r>
        <w:rPr>
          <w:rFonts w:ascii="Calibri" w:cs="Calibri" w:eastAsia="Calibri" w:hAnsi="Calibri"/>
          <w:sz w:val="22"/>
          <w:szCs w:val="22"/>
        </w:rPr>
        <w:t xml:space="preserve">Audit work fails in two characteristic ways: evidence failures (accepting a verification record that does not actually verify) and conduct failures (convening unready, under-documenting findings, closing soft). This course trains both. Each module follows the pattern: concept, worked example, exercise with seeded defects, and an annotated key. The key’s reasoning is the teaching — read it even when you found everything.</w:t>
      </w:r>
    </w:p>
    <w:p>
      <w:pPr>
        <w:spacing w:after="120" w:line="276"/>
      </w:pPr>
      <w:r>
        <w:rPr>
          <w:rFonts w:ascii="Calibri" w:cs="Calibri" w:eastAsia="Calibri" w:hAnsi="Calibri"/>
          <w:sz w:val="22"/>
          <w:szCs w:val="22"/>
        </w:rPr>
        <w:t xml:space="preserve">Two spreadsheet exercise artifacts carry deliberately seeded defects and are used in Modules 4, 5, and the capstone; obtain them from the References page locations before starting Module 4. Do not open the answer key (Appendix A) until your capstone findings list is written — the course only works once per learner, so spend it honestly.</w:t>
      </w:r>
    </w:p>
    <w:p>
      <w:pPr>
        <w:pStyle w:val="Heading2"/>
        <w:spacing w:after="120" w:before="260"/>
      </w:pPr>
      <w:r>
        <w:rPr>
          <w:rFonts w:ascii="Calibri" w:cs="Calibri" w:eastAsia="Calibri" w:hAnsi="Calibri"/>
        </w:rPr>
        <w:t xml:space="preserve">Paths by Role</w:t>
      </w:r>
    </w:p>
    <w:p>
      <w:pPr>
        <w:pStyle w:val="ListParagraph"/>
        <w:numPr>
          <w:ilvl w:val="0"/>
          <w:numId w:val="2"/>
        </w:numPr>
        <w:spacing w:after="80" w:line="276"/>
      </w:pPr>
      <w:r>
        <w:rPr>
          <w:rFonts w:ascii="Calibri" w:cs="Calibri" w:eastAsia="Calibri" w:hAnsi="Calibri"/>
          <w:sz w:val="22"/>
          <w:szCs w:val="22"/>
        </w:rPr>
        <w:t xml:space="preserve">Audit leads and co-chairs (CM): all modules. This is the full path.</w:t>
      </w:r>
    </w:p>
    <w:p>
      <w:pPr>
        <w:pStyle w:val="ListParagraph"/>
        <w:numPr>
          <w:ilvl w:val="0"/>
          <w:numId w:val="2"/>
        </w:numPr>
        <w:spacing w:after="80" w:line="276"/>
      </w:pPr>
      <w:r>
        <w:rPr>
          <w:rFonts w:ascii="Calibri" w:cs="Calibri" w:eastAsia="Calibri" w:hAnsi="Calibri"/>
          <w:sz w:val="22"/>
          <w:szCs w:val="22"/>
        </w:rPr>
        <w:t xml:space="preserve">Audit team members from engineering, test, manufacturing, and quality: Modules 1, 3, 4 or 5 (whichever matches your lane), and 6 — what adequate evidence looks like, how readiness is judged, and how findings are written.</w:t>
      </w:r>
    </w:p>
    <w:p>
      <w:pPr>
        <w:pStyle w:val="ListParagraph"/>
        <w:numPr>
          <w:ilvl w:val="0"/>
          <w:numId w:val="2"/>
        </w:numPr>
        <w:spacing w:after="80" w:line="276"/>
      </w:pPr>
      <w:r>
        <w:rPr>
          <w:rFonts w:ascii="Calibri" w:cs="Calibri" w:eastAsia="Calibri" w:hAnsi="Calibri"/>
          <w:sz w:val="22"/>
          <w:szCs w:val="22"/>
        </w:rPr>
        <w:t xml:space="preserve">Supplier-facing CM: full path plus Module 8.</w:t>
      </w:r>
    </w:p>
    <w:p>
      <w:pPr>
        <w:pStyle w:val="Heading2"/>
        <w:spacing w:after="120" w:before="260"/>
      </w:pPr>
      <w:r>
        <w:rPr>
          <w:rFonts w:ascii="Calibri" w:cs="Calibri" w:eastAsia="Calibri" w:hAnsi="Calibri"/>
        </w:rPr>
        <w:t xml:space="preserve">Prerequisite</w:t>
      </w:r>
    </w:p>
    <w:p>
      <w:pPr>
        <w:spacing w:after="120" w:line="276"/>
      </w:pPr>
      <w:r>
        <w:rPr>
          <w:rFonts w:ascii="Calibri" w:cs="Calibri" w:eastAsia="Calibri" w:hAnsi="Calibri"/>
          <w:sz w:val="22"/>
          <w:szCs w:val="22"/>
        </w:rPr>
        <w:t xml:space="preserve">The CI identification self-paced course, or equivalent working knowledge of CI designation, the interface register, and part traceability records. The capstone reuses that course’s scenario system (the Coastal Surveyor unmanned aircraft) so the two courses form one curriculum.</w:t>
      </w:r>
    </w:p>
    <w:p>
      <w:r>
        <w:br w:type="page"/>
      </w:r>
    </w:p>
    <w:p>
      <w:pPr>
        <w:pStyle w:val="Heading1"/>
        <w:spacing w:after="160" w:before="320"/>
      </w:pPr>
      <w:r>
        <w:rPr>
          <w:rFonts w:ascii="Calibri" w:cs="Calibri" w:eastAsia="Calibri" w:hAnsi="Calibri"/>
        </w:rPr>
        <w:t xml:space="preserve">References</w:t>
      </w:r>
    </w:p>
    <w:p>
      <w:pPr>
        <w:spacing w:after="120" w:line="276"/>
      </w:pPr>
      <w:r>
        <w:rPr>
          <w:rFonts w:ascii="Calibri" w:cs="Calibri" w:eastAsia="Calibri" w:hAnsi="Calibri"/>
          <w:sz w:val="22"/>
          <w:szCs w:val="22"/>
        </w:rPr>
        <w:t xml:space="preserve">Plain names are used throughout. Complete the mapping once; every reference resolves.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560"/>
      </w:tblGrid>
      <w:tr>
        <w:trPr>
          <w:tblHeader/>
        </w:trPr>
        <w:tc>
          <w:tcPr>
            <w:tcW w:type="dxa" w:w="42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Plain name used in this course</w:t>
            </w:r>
          </w:p>
        </w:tc>
        <w:tc>
          <w:tcPr>
            <w:tcW w:type="dxa" w:w="26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Your document number</w:t>
            </w:r>
          </w:p>
        </w:tc>
        <w:tc>
          <w:tcPr>
            <w:tcW w:type="dxa" w:w="25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Location</w:t>
            </w:r>
          </w:p>
        </w:tc>
      </w:tr>
      <w:tr>
        <w:tc>
          <w:tcPr>
            <w:tcW w:type="dxa" w:w="4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audit process document (FCA/PCA)</w:t>
            </w:r>
          </w:p>
        </w:tc>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[insert]</w:t>
            </w:r>
          </w:p>
        </w:tc>
        <w:tc>
          <w:tcPr>
            <w:tcW w:type="dxa" w:w="2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[insert]</w:t>
            </w:r>
          </w:p>
        </w:tc>
      </w:tr>
      <w:tr>
        <w:tc>
          <w:tcPr>
            <w:tcW w:type="dxa" w:w="4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Audit designation selection checklist (appendix to the process)</w:t>
            </w:r>
          </w:p>
        </w:tc>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[insert]</w:t>
            </w:r>
          </w:p>
        </w:tc>
        <w:tc>
          <w:tcPr>
            <w:tcW w:type="dxa" w:w="2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[insert]</w:t>
            </w:r>
          </w:p>
        </w:tc>
      </w:tr>
      <w:tr>
        <w:tc>
          <w:tcPr>
            <w:tcW w:type="dxa" w:w="4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Interactive audit-designation decision tool (browser-based)</w:t>
            </w:r>
          </w:p>
        </w:tc>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[insert]</w:t>
            </w:r>
          </w:p>
        </w:tc>
        <w:tc>
          <w:tcPr>
            <w:tcW w:type="dxa" w:w="2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[insert]</w:t>
            </w:r>
          </w:p>
        </w:tc>
      </w:tr>
      <w:tr>
        <w:tc>
          <w:tcPr>
            <w:tcW w:type="dxa" w:w="4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FCA/PCA preparation tracker workbook</w:t>
            </w:r>
          </w:p>
        </w:tc>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[insert]</w:t>
            </w:r>
          </w:p>
        </w:tc>
        <w:tc>
          <w:tcPr>
            <w:tcW w:type="dxa" w:w="2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[insert]</w:t>
            </w:r>
          </w:p>
        </w:tc>
      </w:tr>
      <w:tr>
        <w:tc>
          <w:tcPr>
            <w:tcW w:type="dxa" w:w="4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Sub-supplier flowdown matrix and guide</w:t>
            </w:r>
          </w:p>
        </w:tc>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[insert]</w:t>
            </w:r>
          </w:p>
        </w:tc>
        <w:tc>
          <w:tcPr>
            <w:tcW w:type="dxa" w:w="2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[insert]</w:t>
            </w:r>
          </w:p>
        </w:tc>
      </w:tr>
      <w:tr>
        <w:tc>
          <w:tcPr>
            <w:tcW w:type="dxa" w:w="4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Enterprise safety-floor register</w:t>
            </w:r>
          </w:p>
        </w:tc>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[insert]</w:t>
            </w:r>
          </w:p>
        </w:tc>
        <w:tc>
          <w:tcPr>
            <w:tcW w:type="dxa" w:w="2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[insert]</w:t>
            </w:r>
          </w:p>
        </w:tc>
      </w:tr>
      <w:tr>
        <w:tc>
          <w:tcPr>
            <w:tcW w:type="dxa" w:w="4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FCA exercise artifact (seeded traceability matrix)</w:t>
            </w:r>
          </w:p>
        </w:tc>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[insert]</w:t>
            </w:r>
          </w:p>
        </w:tc>
        <w:tc>
          <w:tcPr>
            <w:tcW w:type="dxa" w:w="2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[insert]</w:t>
            </w:r>
          </w:p>
        </w:tc>
      </w:tr>
      <w:tr>
        <w:tc>
          <w:tcPr>
            <w:tcW w:type="dxa" w:w="4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PCA exercise artifact (seeded unit data package)</w:t>
            </w:r>
          </w:p>
        </w:tc>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[insert]</w:t>
            </w:r>
          </w:p>
        </w:tc>
        <w:tc>
          <w:tcPr>
            <w:tcW w:type="dxa" w:w="2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[insert]</w:t>
            </w:r>
          </w:p>
        </w:tc>
      </w:tr>
      <w:tr>
        <w:tc>
          <w:tcPr>
            <w:tcW w:type="dxa" w:w="4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CI identification course gold-standard files (capstone baseline)</w:t>
            </w:r>
          </w:p>
        </w:tc>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[insert]</w:t>
            </w:r>
          </w:p>
        </w:tc>
        <w:tc>
          <w:tcPr>
            <w:tcW w:type="dxa" w:w="2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[insert]</w:t>
            </w:r>
          </w:p>
        </w:tc>
      </w:tr>
    </w:tbl>
    <w:p>
      <w:r>
        <w:br w:type="page"/>
      </w:r>
    </w:p>
    <w:p>
      <w:pPr>
        <w:pStyle w:val="Heading1"/>
        <w:spacing w:after="160" w:before="320"/>
      </w:pPr>
      <w:r>
        <w:rPr>
          <w:rFonts w:ascii="Calibri" w:cs="Calibri" w:eastAsia="Calibri" w:hAnsi="Calibri"/>
        </w:rPr>
        <w:t xml:space="preserve">Table of Contents</w:t>
      </w:r>
    </w:p>
    <w:sdt>
      <w:sdtPr>
        <w:alias w:val="Table of Contents"/>
      </w:sdtPr>
      <w:sdtContent>
        <w:p>
          <w:r>
            <w:fldChar w:fldCharType="begin" w:dirty="true"/>
            <w:instrText xml:space="preserve">TOC \h \o "1-1"</w:instrText>
            <w:fldChar w:fldCharType="separate"/>
          </w:r>
        </w:p>
        <w:p>
          <w:r>
            <w:fldChar w:fldCharType="end"/>
          </w:r>
        </w:p>
      </w:sdtContent>
    </w:sdt>
    <w:p>
      <w:r>
        <w:br w:type="page"/>
      </w:r>
    </w:p>
    <w:p>
      <w:pPr>
        <w:pStyle w:val="Heading1"/>
        <w:spacing w:after="160" w:before="320"/>
      </w:pPr>
      <w:r>
        <w:rPr>
          <w:rFonts w:ascii="Calibri" w:cs="Calibri" w:eastAsia="Calibri" w:hAnsi="Calibri"/>
        </w:rPr>
        <w:t xml:space="preserve">Module 1 — What an Audit Is, and Is Not</w:t>
      </w:r>
    </w:p>
    <w:p>
      <w:pPr>
        <w:spacing w:after="120" w:line="276"/>
      </w:pPr>
      <w:r>
        <w:rPr>
          <w:rFonts w:ascii="Calibri" w:cs="Calibri" w:eastAsia="Calibri" w:hAnsi="Calibri"/>
          <w:sz w:val="22"/>
          <w:szCs w:val="22"/>
        </w:rPr>
        <w:t xml:space="preserve">Configuration verification is continuous and embedded: functional verification happens through the test program, physical verification happens through inspection and process control on every unit, and as-designed-to-as-built reconciliation runs at scale, on data, for every configuration item. The audit is something else: a discrete, sampled validation that this machinery works, conducted on designated items and representative units, anchoring the baselines.</w:t>
      </w:r>
    </w:p>
    <w:p>
      <w:pPr>
        <w:spacing w:after="120" w:line="276"/>
      </w:pPr>
      <w:r>
        <w:rPr>
          <w:rFonts w:ascii="Calibri" w:cs="Calibri" w:eastAsia="Calibri" w:hAnsi="Calibri"/>
          <w:sz w:val="22"/>
          <w:szCs w:val="22"/>
        </w:rPr>
        <w:t xml:space="preserve">Hold both failure modes in view, because each is common:</w:t>
      </w:r>
    </w:p>
    <w:p>
      <w:pPr>
        <w:pStyle w:val="ListParagraph"/>
        <w:numPr>
          <w:ilvl w:val="0"/>
          <w:numId w:val="2"/>
        </w:numPr>
        <w:spacing w:after="80" w:line="276"/>
      </w:pPr>
      <w:r>
        <w:rPr>
          <w:rFonts w:ascii="Calibri" w:cs="Calibri" w:eastAsia="Calibri" w:hAnsi="Calibri"/>
          <w:sz w:val="22"/>
          <w:szCs w:val="22"/>
        </w:rPr>
        <w:t xml:space="preserve">Auditing as if you must re-verify everything. An auditor who tries to confirm every change was incorporated, or re-run every verification, drowns — and worse, signals that the at-scale machinery is not trusted, which invites everyone else to stop maintaining it. The audit reviews the reconciliation reports and samples product data to validate them.</w:t>
      </w:r>
    </w:p>
    <w:p>
      <w:pPr>
        <w:pStyle w:val="ListParagraph"/>
        <w:numPr>
          <w:ilvl w:val="0"/>
          <w:numId w:val="2"/>
        </w:numPr>
        <w:spacing w:after="80" w:line="276"/>
      </w:pPr>
      <w:r>
        <w:rPr>
          <w:rFonts w:ascii="Calibri" w:cs="Calibri" w:eastAsia="Calibri" w:hAnsi="Calibri"/>
          <w:sz w:val="22"/>
          <w:szCs w:val="22"/>
        </w:rPr>
        <w:t xml:space="preserve">Skipping verification because “the audit will catch it.” This inverts the model: the audit samples; whatever the sample misses ships. A program whose only verification is its audits has no verification.</w:t>
      </w:r>
    </w:p>
    <w:p>
      <w:pPr>
        <w:spacing w:after="120" w:line="276"/>
      </w:pPr>
      <w:r>
        <w:rPr>
          <w:rFonts w:ascii="Calibri" w:cs="Calibri" w:eastAsia="Calibri" w:hAnsi="Calibri"/>
          <w:sz w:val="22"/>
          <w:szCs w:val="22"/>
        </w:rPr>
        <w:t xml:space="preserve">The audit’s unique products are the ones nothing else produces: the formally documented reconciliation of requirements to test evidence, the examined as-built unit, the documented non-compliances, and — after the physical audit — the product baseline itself, after which every change goes through formal change action.</w:t>
      </w:r>
    </w:p>
    <w:p>
      <w:pPr>
        <w:shd w:fill="EDF0F7" w:val="clear"/>
        <w:spacing w:after="60" w:before="160"/>
      </w:pPr>
      <w:r>
        <w:rPr>
          <w:rFonts w:ascii="Calibri" w:cs="Calibri" w:eastAsia="Calibri" w:hAnsi="Calibri"/>
          <w:b/>
          <w:bCs/>
          <w:color w:val="1F3864"/>
          <w:sz w:val="22"/>
          <w:szCs w:val="22"/>
        </w:rPr>
        <w:t xml:space="preserve">Self-check</w:t>
      </w:r>
    </w:p>
    <w:p>
      <w:pPr>
        <w:shd w:fill="EDF0F7" w:val="clear"/>
        <w:spacing w:after="160" w:line="276"/>
      </w:pPr>
      <w:r>
        <w:rPr>
          <w:rFonts w:ascii="Calibri" w:cs="Calibri" w:eastAsia="Calibri" w:hAnsi="Calibri"/>
          <w:sz w:val="22"/>
          <w:szCs w:val="22"/>
        </w:rPr>
        <w:t xml:space="preserve">A colleague says: “We don’t need to review the reconciliation reports at the audit — we’ll just check the unit ourselves.” What is wrong with each half of that sentence? Compare: refusing the reports discards the at-scale evidence the audit exists to validate; “checking the unit ourselves” substitutes a one-unit inspection for validation of the process that controls all units. The audit does both — reviews the reports, and samples the unit to test whether the reports tell the truth.</w:t>
      </w:r>
    </w:p>
    <w:p>
      <w:r>
        <w:br w:type="page"/>
      </w:r>
    </w:p>
    <w:p>
      <w:pPr>
        <w:pStyle w:val="Heading1"/>
        <w:spacing w:after="160" w:before="320"/>
      </w:pPr>
      <w:r>
        <w:rPr>
          <w:rFonts w:ascii="Calibri" w:cs="Calibri" w:eastAsia="Calibri" w:hAnsi="Calibri"/>
        </w:rPr>
        <w:t xml:space="preserve">Module 2 — Designation and Scope</w:t>
      </w:r>
    </w:p>
    <w:p>
      <w:pPr>
        <w:spacing w:after="120" w:line="276"/>
      </w:pPr>
      <w:r>
        <w:rPr>
          <w:rFonts w:ascii="Calibri" w:cs="Calibri" w:eastAsia="Calibri" w:hAnsi="Calibri"/>
          <w:sz w:val="22"/>
          <w:szCs w:val="22"/>
        </w:rPr>
        <w:t xml:space="preserve">Audits are conducted for designated items, not for everything. Designation comes from two sources: the contract (including every customer-controlled item whose product baseline the customer will establish), and the program’s own risk-based assessment using the audit designation selection checklist — safety criticality first, then design maturity, production risk, history, and reconciliation-health indicators.</w:t>
      </w:r>
    </w:p>
    <w:p>
      <w:pPr>
        <w:spacing w:after="120" w:line="276"/>
      </w:pPr>
      <w:r>
        <w:rPr>
          <w:rFonts w:ascii="Calibri" w:cs="Calibri" w:eastAsia="Calibri" w:hAnsi="Calibri"/>
          <w:sz w:val="22"/>
          <w:szCs w:val="22"/>
        </w:rPr>
        <w:t xml:space="preserve">Three teaches, then cases:</w:t>
      </w:r>
    </w:p>
    <w:p>
      <w:pPr>
        <w:pStyle w:val="ListParagraph"/>
        <w:numPr>
          <w:ilvl w:val="0"/>
          <w:numId w:val="2"/>
        </w:numPr>
        <w:spacing w:after="80" w:line="276"/>
      </w:pPr>
      <w:r>
        <w:rPr>
          <w:rFonts w:ascii="Calibri" w:cs="Calibri" w:eastAsia="Calibri" w:hAnsi="Calibri"/>
          <w:sz w:val="22"/>
          <w:szCs w:val="22"/>
        </w:rPr>
        <w:t xml:space="preserve">Safety-critical items are presumptively designated; omission requires system safety concurrence in writing.</w:t>
      </w:r>
    </w:p>
    <w:p>
      <w:pPr>
        <w:pStyle w:val="ListParagraph"/>
        <w:numPr>
          <w:ilvl w:val="0"/>
          <w:numId w:val="2"/>
        </w:numPr>
        <w:spacing w:after="80" w:line="276"/>
      </w:pPr>
      <w:r>
        <w:rPr>
          <w:rFonts w:ascii="Calibri" w:cs="Calibri" w:eastAsia="Calibri" w:hAnsi="Calibri"/>
          <w:sz w:val="22"/>
          <w:szCs w:val="22"/>
        </w:rPr>
        <w:t xml:space="preserve">Designation is dated: it re-runs on triggers — substantive design or process change, a new supplier, a safety event, reconciliation anomalies. Awarding work to a new supplier is itself a trigger, which means placing a subcontract can create the designation that imposes audit obligations on that same subcontract.</w:t>
      </w:r>
    </w:p>
    <w:p>
      <w:pPr>
        <w:pStyle w:val="ListParagraph"/>
        <w:numPr>
          <w:ilvl w:val="0"/>
          <w:numId w:val="2"/>
        </w:numPr>
        <w:spacing w:after="80" w:line="276"/>
      </w:pPr>
      <w:r>
        <w:rPr>
          <w:rFonts w:ascii="Calibri" w:cs="Calibri" w:eastAsia="Calibri" w:hAnsi="Calibri"/>
          <w:sz w:val="22"/>
          <w:szCs w:val="22"/>
        </w:rPr>
        <w:t xml:space="preserve">“Not designated” never means “not verified” — the continuous machinery still applies. It only means no discrete audit event is scheduled for that item.</w:t>
      </w:r>
    </w:p>
    <w:p>
      <w:pPr>
        <w:spacing w:after="120" w:line="276"/>
      </w:pPr>
      <w:r>
        <w:rPr>
          <w:rFonts w:ascii="Calibri" w:cs="Calibri" w:eastAsia="Calibri" w:hAnsi="Calibri"/>
          <w:sz w:val="22"/>
          <w:szCs w:val="22"/>
        </w:rPr>
        <w:t xml:space="preserve">Run these three through the interactive audit-designation decision tool and reconcile your manual answer: (1) a heritage bracket assembly, unchanged design, clean history, stable supplier; (2) a flight-critical actuator moving to a new manufacturing source next quarter; (3) a software item whose reconciliation reports show a growing backlog of unincorporated changes.</w:t>
      </w:r>
    </w:p>
    <w:p>
      <w:pPr>
        <w:shd w:fill="EDF0F7" w:val="clear"/>
        <w:spacing w:after="60" w:before="160"/>
      </w:pPr>
      <w:r>
        <w:rPr>
          <w:rFonts w:ascii="Calibri" w:cs="Calibri" w:eastAsia="Calibri" w:hAnsi="Calibri"/>
          <w:b/>
          <w:bCs/>
          <w:color w:val="1F3864"/>
          <w:sz w:val="22"/>
          <w:szCs w:val="22"/>
        </w:rPr>
        <w:t xml:space="preserve">Expected outcomes</w:t>
      </w:r>
    </w:p>
    <w:p>
      <w:pPr>
        <w:shd w:fill="EDF0F7" w:val="clear"/>
        <w:spacing w:after="160" w:line="276"/>
      </w:pPr>
      <w:r>
        <w:rPr>
          <w:rFonts w:ascii="Calibri" w:cs="Calibri" w:eastAsia="Calibri" w:hAnsi="Calibri"/>
          <w:sz w:val="22"/>
          <w:szCs w:val="22"/>
        </w:rPr>
        <w:t xml:space="preserve">(1) Not designated — no criteria fire; record the assessment anyway, because the documented negative is what makes the screen auditable. (2) Designated — the source change is the trigger; expect at least a delta physical audit scoped to the new source’s build. (3) Designated — reconciliation-health anomalies are precisely the condition audits exist to detect; the audit scope should target change incorporation.</w:t>
      </w:r>
    </w:p>
    <w:p>
      <w:r>
        <w:br w:type="page"/>
      </w:r>
    </w:p>
    <w:p>
      <w:pPr>
        <w:pStyle w:val="Heading1"/>
        <w:spacing w:after="160" w:before="320"/>
      </w:pPr>
      <w:r>
        <w:rPr>
          <w:rFonts w:ascii="Calibri" w:cs="Calibri" w:eastAsia="Calibri" w:hAnsi="Calibri"/>
        </w:rPr>
        <w:t xml:space="preserve">Module 3 — Planning and Readiness</w:t>
      </w:r>
    </w:p>
    <w:p>
      <w:pPr>
        <w:spacing w:after="120" w:line="276"/>
      </w:pPr>
      <w:r>
        <w:rPr>
          <w:rFonts w:ascii="Calibri" w:cs="Calibri" w:eastAsia="Calibri" w:hAnsi="Calibri"/>
          <w:sz w:val="22"/>
          <w:szCs w:val="22"/>
        </w:rPr>
        <w:t xml:space="preserve">Entry criteria are a gate, not a wish list. The preparation tracker workbook exists to make readiness visible weeks out; this module trains the go/no-go judgment at the end of it.</w:t>
      </w:r>
    </w:p>
    <w:p>
      <w:pPr>
        <w:pStyle w:val="Heading2"/>
        <w:spacing w:after="120" w:before="260"/>
      </w:pPr>
      <w:r>
        <w:rPr>
          <w:rFonts w:ascii="Calibri" w:cs="Calibri" w:eastAsia="Calibri" w:hAnsi="Calibri"/>
        </w:rPr>
        <w:t xml:space="preserve">Exercise — Convene, Slip, or De-scope</w:t>
      </w:r>
    </w:p>
    <w:p>
      <w:pPr>
        <w:spacing w:after="120" w:line="276"/>
      </w:pPr>
      <w:r>
        <w:rPr>
          <w:rFonts w:ascii="Calibri" w:cs="Calibri" w:eastAsia="Calibri" w:hAnsi="Calibri"/>
          <w:sz w:val="22"/>
          <w:szCs w:val="22"/>
        </w:rPr>
        <w:t xml:space="preserve">A physical configuration audit is scheduled in two weeks. The tracker shows: audit unit selected and staged (complete); functional audit minutes available (complete); drawing index delivered (complete); the as-built record for the unit delivered but the reconciliation report still “in work,” promised in ten days; the approved parts list delivered; manufacturing access confirmed; the final draft product specification not yet available — design engineering estimates three weeks. The customer team has booked travel. Decide: convene as scheduled, slip, or convene with reduced scope — and write the two-sentence justification you would give the program manager.</w:t>
      </w:r>
    </w:p>
    <w:p>
      <w:pPr>
        <w:shd w:fill="EDF0F7" w:val="clear"/>
        <w:spacing w:after="60" w:before="160"/>
      </w:pPr>
      <w:r>
        <w:rPr>
          <w:rFonts w:ascii="Calibri" w:cs="Calibri" w:eastAsia="Calibri" w:hAnsi="Calibri"/>
          <w:b/>
          <w:bCs/>
          <w:color w:val="1F3864"/>
          <w:sz w:val="22"/>
          <w:szCs w:val="22"/>
        </w:rPr>
        <w:t xml:space="preserve">Answer</w:t>
      </w:r>
    </w:p>
    <w:p>
      <w:pPr>
        <w:shd w:fill="EDF0F7" w:val="clear"/>
        <w:spacing w:after="160" w:line="276"/>
      </w:pPr>
      <w:r>
        <w:rPr>
          <w:rFonts w:ascii="Calibri" w:cs="Calibri" w:eastAsia="Calibri" w:hAnsi="Calibri"/>
          <w:sz w:val="22"/>
          <w:szCs w:val="22"/>
        </w:rPr>
        <w:t xml:space="preserve">Slip or formally de-scope — convening as scheduled fails on the specification, and the honest answer is usually slip. The reconciliation report at ten days is tight but inside the window; the product specification at three weeks is not, and it is not peripheral: the physical audit exists to verify that the product configuration documentation — of which that specification is the spine — matches the validated unit. Convening without it audits the unit against an incomplete truth standard. If schedule pressure forces the date, the disciplined alternative is a formally scoped partial audit with the specification-dependent portions deferred to a documented delta audit — scoped in the minutes, not discovered later. What is never acceptable: convening “complete” and quietly treating the missing specification as a routine action item. The teach: readiness below one hundred percent on entry criteria at audit start is a schedule conversation, not a footnote.</w:t>
      </w:r>
    </w:p>
    <w:p>
      <w:r>
        <w:br w:type="page"/>
      </w:r>
    </w:p>
    <w:p>
      <w:pPr>
        <w:pStyle w:val="Heading1"/>
        <w:spacing w:after="160" w:before="320"/>
      </w:pPr>
      <w:r>
        <w:rPr>
          <w:rFonts w:ascii="Calibri" w:cs="Calibri" w:eastAsia="Calibri" w:hAnsi="Calibri"/>
        </w:rPr>
        <w:t xml:space="preserve">Module 4 — Functional Audit Conduct: The Traceability Reconciliation</w:t>
      </w:r>
    </w:p>
    <w:p>
      <w:pPr>
        <w:pStyle w:val="Heading2"/>
        <w:spacing w:after="120" w:before="260"/>
      </w:pPr>
      <w:r>
        <w:rPr>
          <w:rFonts w:ascii="Calibri" w:cs="Calibri" w:eastAsia="Calibri" w:hAnsi="Calibri"/>
        </w:rPr>
        <w:t xml:space="preserve">Concept</w:t>
      </w:r>
    </w:p>
    <w:p>
      <w:pPr>
        <w:spacing w:after="120" w:line="276"/>
      </w:pPr>
      <w:r>
        <w:rPr>
          <w:rFonts w:ascii="Calibri" w:cs="Calibri" w:eastAsia="Calibri" w:hAnsi="Calibri"/>
          <w:sz w:val="22"/>
          <w:szCs w:val="22"/>
        </w:rPr>
        <w:t xml:space="preserve">The functional audit’s core act is walking each requirement (or the agreed sample) through its chain: specification requirement → test plan → test procedure → test report or analysis/inspection record → result, with every open deficiency tied to its report number. The auditor’s skill is recognizing when a link in that chain does not hold. Five recognition patterns, each with a micro-example; you will hunt all five in the exercise artifact.</w:t>
      </w:r>
    </w:p>
    <w:p>
      <w:pPr>
        <w:pStyle w:val="Heading3"/>
        <w:spacing w:after="100" w:before="200"/>
      </w:pPr>
      <w:r>
        <w:rPr>
          <w:rFonts w:ascii="Calibri" w:cs="Calibri" w:eastAsia="Calibri" w:hAnsi="Calibri"/>
        </w:rPr>
        <w:t xml:space="preserve">Pattern 1 — Method substitution</w:t>
      </w:r>
    </w:p>
    <w:p>
      <w:pPr>
        <w:spacing w:after="120" w:line="276"/>
      </w:pPr>
      <w:r>
        <w:rPr>
          <w:rFonts w:ascii="Calibri" w:cs="Calibri" w:eastAsia="Calibri" w:hAnsi="Calibri"/>
          <w:sz w:val="22"/>
          <w:szCs w:val="22"/>
        </w:rPr>
        <w:t xml:space="preserve">The specification demands verification by test; the matrix shows analysis. Analysis is not a lesser test — it is a different method, and the method was a requirement. A model correlated to vendor data may be excellent engineering and still be a non-compliance, because the specification said demonstrate. Either the verification is redone by test, or the specification’s method requirement is formally changed — by change action, not by the matrix quietly disagreeing with the spec.</w:t>
      </w:r>
    </w:p>
    <w:p>
      <w:pPr>
        <w:pStyle w:val="Heading3"/>
        <w:spacing w:after="100" w:before="200"/>
      </w:pPr>
      <w:r>
        <w:rPr>
          <w:rFonts w:ascii="Calibri" w:cs="Calibri" w:eastAsia="Calibri" w:hAnsi="Calibri"/>
        </w:rPr>
        <w:t xml:space="preserve">Pattern 2 — Chronology violation</w:t>
      </w:r>
    </w:p>
    <w:p>
      <w:pPr>
        <w:spacing w:after="120" w:line="276"/>
      </w:pPr>
      <w:r>
        <w:rPr>
          <w:rFonts w:ascii="Calibri" w:cs="Calibri" w:eastAsia="Calibri" w:hAnsi="Calibri"/>
          <w:sz w:val="22"/>
          <w:szCs w:val="22"/>
        </w:rPr>
        <w:t xml:space="preserve">A test report dated before the procedure revision it claims to have run. Whatever was executed on the report’s date, it was not that procedure revision. The result may even be valid — but the record does not establish it, and the audit is about what the record establishes.</w:t>
      </w:r>
    </w:p>
    <w:p>
      <w:pPr>
        <w:pStyle w:val="Heading3"/>
        <w:spacing w:after="100" w:before="200"/>
      </w:pPr>
      <w:r>
        <w:rPr>
          <w:rFonts w:ascii="Calibri" w:cs="Calibri" w:eastAsia="Calibri" w:hAnsi="Calibri"/>
        </w:rPr>
        <w:t xml:space="preserve">Pattern 3 — Result without evidence</w:t>
      </w:r>
    </w:p>
    <w:p>
      <w:pPr>
        <w:spacing w:after="120" w:line="276"/>
      </w:pPr>
      <w:r>
        <w:rPr>
          <w:rFonts w:ascii="Calibri" w:cs="Calibri" w:eastAsia="Calibri" w:hAnsi="Calibri"/>
          <w:sz w:val="22"/>
          <w:szCs w:val="22"/>
        </w:rPr>
        <w:t xml:space="preserve">“Pass” with no report, no data, a log entry at best. A result that cannot be traced to recorded evidence is an assertion, not a verification. The finding is not “the test failed” — it is “the verification is not established.”</w:t>
      </w:r>
    </w:p>
    <w:p>
      <w:pPr>
        <w:pStyle w:val="Heading3"/>
        <w:spacing w:after="100" w:before="200"/>
      </w:pPr>
      <w:r>
        <w:rPr>
          <w:rFonts w:ascii="Calibri" w:cs="Calibri" w:eastAsia="Calibri" w:hAnsi="Calibri"/>
        </w:rPr>
        <w:t xml:space="preserve">Pattern 4 — Broken cross-reference</w:t>
      </w:r>
    </w:p>
    <w:p>
      <w:pPr>
        <w:spacing w:after="120" w:line="276"/>
      </w:pPr>
      <w:r>
        <w:rPr>
          <w:rFonts w:ascii="Calibri" w:cs="Calibri" w:eastAsia="Calibri" w:hAnsi="Calibri"/>
          <w:sz w:val="22"/>
          <w:szCs w:val="22"/>
        </w:rPr>
        <w:t xml:space="preserve">A deficiency report number attached to the wrong requirement, or a requirement whose open deficiency is missing from its row. The matrix is the audit’s master document; a cross-reference defect means the matrix cannot be trusted as an index of what is open.</w:t>
      </w:r>
    </w:p>
    <w:p>
      <w:pPr>
        <w:pStyle w:val="Heading3"/>
        <w:spacing w:after="100" w:before="200"/>
      </w:pPr>
      <w:r>
        <w:rPr>
          <w:rFonts w:ascii="Calibri" w:cs="Calibri" w:eastAsia="Calibri" w:hAnsi="Calibri"/>
        </w:rPr>
        <w:t xml:space="preserve">Pattern 5 — The sampled-out safety requirement</w:t>
      </w:r>
    </w:p>
    <w:p>
      <w:pPr>
        <w:spacing w:after="120" w:line="276"/>
      </w:pPr>
      <w:r>
        <w:rPr>
          <w:rFonts w:ascii="Calibri" w:cs="Calibri" w:eastAsia="Calibri" w:hAnsi="Calibri"/>
          <w:sz w:val="22"/>
          <w:szCs w:val="22"/>
        </w:rPr>
        <w:t xml:space="preserve">Requirement sampling is legitimate and agreed — but safety-critical hazard-control requirements are included in the sample, never sampled out. A matrix that shows a hazard-control requirement as “not in sample” has made a safety decision disguised as a statistics decision.</w:t>
      </w:r>
    </w:p>
    <w:p>
      <w:pPr>
        <w:shd w:fill="EDF0F7" w:val="clear"/>
        <w:spacing w:after="60" w:before="160"/>
      </w:pPr>
      <w:r>
        <w:rPr>
          <w:rFonts w:ascii="Calibri" w:cs="Calibri" w:eastAsia="Calibri" w:hAnsi="Calibri"/>
          <w:b/>
          <w:bCs/>
          <w:color w:val="1F3864"/>
          <w:sz w:val="22"/>
          <w:szCs w:val="22"/>
        </w:rPr>
        <w:t xml:space="preserve">Exercise</w:t>
      </w:r>
    </w:p>
    <w:p>
      <w:pPr>
        <w:shd w:fill="EDF0F7" w:val="clear"/>
        <w:spacing w:after="160" w:line="276"/>
      </w:pPr>
      <w:r>
        <w:rPr>
          <w:rFonts w:ascii="Calibri" w:cs="Calibri" w:eastAsia="Calibri" w:hAnsi="Calibri"/>
          <w:sz w:val="22"/>
          <w:szCs w:val="22"/>
        </w:rPr>
        <w:t xml:space="preserve">Open the FCA exercise artifact (seeded traceability matrix, recovery subsystem). Fifteen requirements; five seeded defects; the Read Me sheet gives the context you need (which requirements the specification requires by test, which requirement is the hazard control, and the deficiency log). Find all five, note the requirement each sits on, and draft one sentence per defect stating the finding. Keys are in Appendix A — after the capstone, not now, if you intend to use this artifact for the capstone in one sitting.</w:t>
      </w:r>
    </w:p>
    <w:p>
      <w:r>
        <w:br w:type="page"/>
      </w:r>
    </w:p>
    <w:p>
      <w:pPr>
        <w:pStyle w:val="Heading1"/>
        <w:spacing w:after="160" w:before="320"/>
      </w:pPr>
      <w:r>
        <w:rPr>
          <w:rFonts w:ascii="Calibri" w:cs="Calibri" w:eastAsia="Calibri" w:hAnsi="Calibri"/>
        </w:rPr>
        <w:t xml:space="preserve">Module 5 — Physical Audit Conduct: The As-Built Examination</w:t>
      </w:r>
    </w:p>
    <w:p>
      <w:pPr>
        <w:pStyle w:val="Heading2"/>
        <w:spacing w:after="120" w:before="260"/>
      </w:pPr>
      <w:r>
        <w:rPr>
          <w:rFonts w:ascii="Calibri" w:cs="Calibri" w:eastAsia="Calibri" w:hAnsi="Calibri"/>
        </w:rPr>
        <w:t xml:space="preserve">Concept</w:t>
      </w:r>
    </w:p>
    <w:p>
      <w:pPr>
        <w:spacing w:after="120" w:line="276"/>
      </w:pPr>
      <w:r>
        <w:rPr>
          <w:rFonts w:ascii="Calibri" w:cs="Calibri" w:eastAsia="Calibri" w:hAnsi="Calibri"/>
          <w:sz w:val="22"/>
          <w:szCs w:val="22"/>
        </w:rPr>
        <w:t xml:space="preserve">The physical audit reconciles the examined unit against its product configuration documentation: item to drawings to parts lists; installed parts against the approved parts list; incorporated changes against approved effectivity; the reconciliation report against what the examination actually finds; unit identifiers, life data, and safety designations present and coherent; and differences between this unit and the functional-audit unit identified and certified as non-degrading. Five recognition patterns:</w:t>
      </w:r>
    </w:p>
    <w:p>
      <w:pPr>
        <w:pStyle w:val="Heading3"/>
        <w:spacing w:after="100" w:before="200"/>
      </w:pPr>
      <w:r>
        <w:rPr>
          <w:rFonts w:ascii="Calibri" w:cs="Calibri" w:eastAsia="Calibri" w:hAnsi="Calibri"/>
        </w:rPr>
        <w:t xml:space="preserve">Pattern 1 — The unapproved part</w:t>
      </w:r>
    </w:p>
    <w:p>
      <w:pPr>
        <w:spacing w:after="120" w:line="276"/>
      </w:pPr>
      <w:r>
        <w:rPr>
          <w:rFonts w:ascii="Calibri" w:cs="Calibri" w:eastAsia="Calibri" w:hAnsi="Calibri"/>
          <w:sz w:val="22"/>
          <w:szCs w:val="22"/>
        </w:rPr>
        <w:t xml:space="preserve">An installed part number absent from the approved parts list. Maybe it is a legitimate alternate that never made it onto the list — the finding stands either way, because the list is the control and the control failed. The disposition question (accept the part, update the list, or pull the part) is the program’s; documenting the discrepancy is the audit’s.</w:t>
      </w:r>
    </w:p>
    <w:p>
      <w:pPr>
        <w:pStyle w:val="Heading3"/>
        <w:spacing w:after="100" w:before="200"/>
      </w:pPr>
      <w:r>
        <w:rPr>
          <w:rFonts w:ascii="Calibri" w:cs="Calibri" w:eastAsia="Calibri" w:hAnsi="Calibri"/>
        </w:rPr>
        <w:t xml:space="preserve">Pattern 2 — The reconciliation miss</w:t>
      </w:r>
    </w:p>
    <w:p>
      <w:pPr>
        <w:spacing w:after="120" w:line="276"/>
      </w:pPr>
      <w:r>
        <w:rPr>
          <w:rFonts w:ascii="Calibri" w:cs="Calibri" w:eastAsia="Calibri" w:hAnsi="Calibri"/>
          <w:sz w:val="22"/>
          <w:szCs w:val="22"/>
        </w:rPr>
        <w:t xml:space="preserve">The as-built record shows one thing, the design documentation another, and the reconciliation report says “no delta.” This is the most important defect class in the audit, because it impeaches the machinery: one missed delta in the sample means the at-scale process that clears every unit has a hole. Expect this finding to be classified major and to trigger scrutiny of the process, not just the record.</w:t>
      </w:r>
    </w:p>
    <w:p>
      <w:pPr>
        <w:pStyle w:val="Heading3"/>
        <w:spacing w:after="100" w:before="200"/>
      </w:pPr>
      <w:r>
        <w:rPr>
          <w:rFonts w:ascii="Calibri" w:cs="Calibri" w:eastAsia="Calibri" w:hAnsi="Calibri"/>
        </w:rPr>
        <w:t xml:space="preserve">Pattern 3 — The blank life field</w:t>
      </w:r>
    </w:p>
    <w:p>
      <w:pPr>
        <w:spacing w:after="120" w:line="276"/>
      </w:pPr>
      <w:r>
        <w:rPr>
          <w:rFonts w:ascii="Calibri" w:cs="Calibri" w:eastAsia="Calibri" w:hAnsi="Calibri"/>
          <w:sz w:val="22"/>
          <w:szCs w:val="22"/>
        </w:rPr>
        <w:t xml:space="preserve">A life-limited item with the consumed-life field empty. Not a paperwork gap: consumed life is the number the entire life-tracking barrier hangs on, it must be established at delivery, and it survives overhaul the way a serial number survives modification. Blank at the audit means unknown in the field.</w:t>
      </w:r>
    </w:p>
    <w:p>
      <w:pPr>
        <w:pStyle w:val="Heading3"/>
        <w:spacing w:after="100" w:before="200"/>
      </w:pPr>
      <w:r>
        <w:rPr>
          <w:rFonts w:ascii="Calibri" w:cs="Calibri" w:eastAsia="Calibri" w:hAnsi="Calibri"/>
        </w:rPr>
        <w:t xml:space="preserve">Pattern 4 — Effectivity violation</w:t>
      </w:r>
    </w:p>
    <w:p>
      <w:pPr>
        <w:spacing w:after="120" w:line="276"/>
      </w:pPr>
      <w:r>
        <w:rPr>
          <w:rFonts w:ascii="Calibri" w:cs="Calibri" w:eastAsia="Calibri" w:hAnsi="Calibri"/>
          <w:sz w:val="22"/>
          <w:szCs w:val="22"/>
        </w:rPr>
        <w:t xml:space="preserve">A change incorporated on a unit before its approved effectivity begins. The hardware may even be better for it — and it is still a unit built to a configuration no approval covers. The as-built record, the change record, and the effectivity must reconcile, or the unit’s configuration is not what any document says it is.</w:t>
      </w:r>
    </w:p>
    <w:p>
      <w:pPr>
        <w:pStyle w:val="Heading3"/>
        <w:spacing w:after="100" w:before="200"/>
      </w:pPr>
      <w:r>
        <w:rPr>
          <w:rFonts w:ascii="Calibri" w:cs="Calibri" w:eastAsia="Calibri" w:hAnsi="Calibri"/>
        </w:rPr>
        <w:t xml:space="preserve">Pattern 5 — The undispositioned difference</w:t>
      </w:r>
    </w:p>
    <w:p>
      <w:pPr>
        <w:spacing w:after="120" w:line="276"/>
      </w:pPr>
      <w:r>
        <w:rPr>
          <w:rFonts w:ascii="Calibri" w:cs="Calibri" w:eastAsia="Calibri" w:hAnsi="Calibri"/>
          <w:sz w:val="22"/>
          <w:szCs w:val="22"/>
        </w:rPr>
        <w:t xml:space="preserve">A difference between the functional-audit unit and the physical-audit unit, identified but never certified as non-degrading. Identification without disposition is half the requirement: the certification is what carries the functional audit’s results across to this configuration. An empty certification field means the two audits are not yet connected.</w:t>
      </w:r>
    </w:p>
    <w:p>
      <w:pPr>
        <w:shd w:fill="EDF0F7" w:val="clear"/>
        <w:spacing w:after="60" w:before="160"/>
      </w:pPr>
      <w:r>
        <w:rPr>
          <w:rFonts w:ascii="Calibri" w:cs="Calibri" w:eastAsia="Calibri" w:hAnsi="Calibri"/>
          <w:b/>
          <w:bCs/>
          <w:color w:val="1F3864"/>
          <w:sz w:val="22"/>
          <w:szCs w:val="22"/>
        </w:rPr>
        <w:t xml:space="preserve">Exercise</w:t>
      </w:r>
    </w:p>
    <w:p>
      <w:pPr>
        <w:shd w:fill="EDF0F7" w:val="clear"/>
        <w:spacing w:after="160" w:line="276"/>
      </w:pPr>
      <w:r>
        <w:rPr>
          <w:rFonts w:ascii="Calibri" w:cs="Calibri" w:eastAsia="Calibri" w:hAnsi="Calibri"/>
          <w:sz w:val="22"/>
          <w:szCs w:val="22"/>
        </w:rPr>
        <w:t xml:space="preserve">Open the PCA exercise artifact (seeded unit data package, recovery subsystem serial 0007). Six sheets; five seeded defects spanning them; the Read Me gives the context (functional-audit unit serial, life-limited items, change effectivities). Reconcile the package the way the audit team would — across sheets, not within them; every defect in this package is visible only by comparing two sheets. Draft one sentence per defect. Keys in Appendix A.</w:t>
      </w:r>
    </w:p>
    <w:p>
      <w:r>
        <w:br w:type="page"/>
      </w:r>
    </w:p>
    <w:p>
      <w:pPr>
        <w:pStyle w:val="Heading1"/>
        <w:spacing w:after="160" w:before="320"/>
      </w:pPr>
      <w:r>
        <w:rPr>
          <w:rFonts w:ascii="Calibri" w:cs="Calibri" w:eastAsia="Calibri" w:hAnsi="Calibri"/>
        </w:rPr>
        <w:t xml:space="preserve">Module 6 — Findings: Classification and Writing</w:t>
      </w:r>
    </w:p>
    <w:p>
      <w:pPr>
        <w:pStyle w:val="Heading2"/>
        <w:spacing w:after="120" w:before="260"/>
      </w:pPr>
      <w:r>
        <w:rPr>
          <w:rFonts w:ascii="Calibri" w:cs="Calibri" w:eastAsia="Calibri" w:hAnsi="Calibri"/>
        </w:rPr>
        <w:t xml:space="preserve">Classification</w:t>
      </w:r>
    </w:p>
    <w:p>
      <w:pPr>
        <w:spacing w:after="120" w:line="276"/>
      </w:pPr>
      <w:r>
        <w:rPr>
          <w:rFonts w:ascii="Calibri" w:cs="Calibri" w:eastAsia="Calibri" w:hAnsi="Calibri"/>
          <w:sz w:val="22"/>
          <w:szCs w:val="22"/>
        </w:rPr>
        <w:t xml:space="preserve">Major: production definition documentation or design data incorrect or incomplete; systematic breakdown of process control; non-adherence to specification, interface, or statement-of-work requirements; required verification data missing or incomplete. Minor: non-systematic errors — typographical mistakes, isolated clerical defects — in documentation or records. The dividing question: does the defect impeach a control or a requirement, or is it noise in an otherwise-functioning record?</w:t>
      </w:r>
    </w:p>
    <w:p>
      <w:pPr>
        <w:pStyle w:val="Heading2"/>
        <w:spacing w:after="120" w:before="260"/>
      </w:pPr>
      <w:r>
        <w:rPr>
          <w:rFonts w:ascii="Calibri" w:cs="Calibri" w:eastAsia="Calibri" w:hAnsi="Calibri"/>
        </w:rPr>
        <w:t xml:space="preserve">Classification battery</w:t>
      </w:r>
    </w:p>
    <w:p>
      <w:pPr>
        <w:spacing w:after="120" w:line="276"/>
      </w:pPr>
      <w:r>
        <w:rPr>
          <w:rFonts w:ascii="Calibri" w:cs="Calibri" w:eastAsia="Calibri" w:hAnsi="Calibri"/>
          <w:sz w:val="22"/>
          <w:szCs w:val="22"/>
        </w:rPr>
        <w:t xml:space="preserve">Classify each, then compare: (1) test report cites wrong document number for the procedure, procedure itself correct and executed — minor (clerical, non-systematic). (2) reconciliation report cleared a delta the examination found — major (impeaches the process). (3) one drawing note misspells a material designation, material itself correct per the parts list — minor. (4) verification by analysis where the spec requires test — major (non-adherence to a specification requirement). (5) three of five sampled manufacturing instructions omit an authorized change — major (systematic: the incorporation process, not one record). (6) consumed-life field blank on a lifed item — major (required data missing, safety-bearing). (7) minutes attendee list missing two names — minor. (8) safety-critical requirement sampled out of the verification sample — major, with safety routing.</w:t>
      </w:r>
    </w:p>
    <w:p>
      <w:pPr>
        <w:pStyle w:val="Heading2"/>
        <w:spacing w:after="120" w:before="260"/>
      </w:pPr>
      <w:r>
        <w:rPr>
          <w:rFonts w:ascii="Calibri" w:cs="Calibri" w:eastAsia="Calibri" w:hAnsi="Calibri"/>
        </w:rPr>
        <w:t xml:space="preserve">Writing findings</w:t>
      </w:r>
    </w:p>
    <w:p>
      <w:pPr>
        <w:spacing w:after="120" w:line="276"/>
      </w:pPr>
      <w:r>
        <w:rPr>
          <w:rFonts w:ascii="Calibri" w:cs="Calibri" w:eastAsia="Calibri" w:hAnsi="Calibri"/>
          <w:sz w:val="22"/>
          <w:szCs w:val="22"/>
        </w:rPr>
        <w:t xml:space="preserve">A finding has four parts: condition (what is), criteria (what was required, cited), evidence (where you saw it — document, revision, serial), and impact (why it matters). One defect, written three ways:</w:t>
      </w:r>
    </w:p>
    <w:p>
      <w:pPr>
        <w:pStyle w:val="ListParagraph"/>
        <w:numPr>
          <w:ilvl w:val="0"/>
          <w:numId w:val="2"/>
        </w:numPr>
        <w:spacing w:after="80" w:line="276"/>
      </w:pPr>
      <w:r>
        <w:rPr>
          <w:rFonts w:ascii="Calibri" w:cs="Calibri" w:eastAsia="Calibri" w:hAnsi="Calibri"/>
          <w:sz w:val="22"/>
          <w:szCs w:val="22"/>
        </w:rPr>
        <w:t xml:space="preserve">Vague (useless): “Traceability matrix has issues with REC-004.” No criteria, no evidence, nothing actionable.</w:t>
      </w:r>
    </w:p>
    <w:p>
      <w:pPr>
        <w:pStyle w:val="ListParagraph"/>
        <w:numPr>
          <w:ilvl w:val="0"/>
          <w:numId w:val="2"/>
        </w:numPr>
        <w:spacing w:after="80" w:line="276"/>
      </w:pPr>
      <w:r>
        <w:rPr>
          <w:rFonts w:ascii="Calibri" w:cs="Calibri" w:eastAsia="Calibri" w:hAnsi="Calibri"/>
          <w:sz w:val="22"/>
          <w:szCs w:val="22"/>
        </w:rPr>
        <w:t xml:space="preserve">Editorializing (worse than useless): “Engineering ignored the spec and lazily substituted analysis for testing on REC-004.” Attributes motive, poisons the closure conversation, and still fails to cite the requirement.</w:t>
      </w:r>
    </w:p>
    <w:p>
      <w:pPr>
        <w:pStyle w:val="ListParagraph"/>
        <w:numPr>
          <w:ilvl w:val="0"/>
          <w:numId w:val="2"/>
        </w:numPr>
        <w:spacing w:after="80" w:line="276"/>
      </w:pPr>
      <w:r>
        <w:rPr>
          <w:rFonts w:ascii="Calibri" w:cs="Calibri" w:eastAsia="Calibri" w:hAnsi="Calibri"/>
          <w:sz w:val="22"/>
          <w:szCs w:val="22"/>
        </w:rPr>
        <w:t xml:space="preserve">Correct: “Condition: requirement REC-004 (canopy inflation within 2.0 s) is recorded as verified by analysis (AN-1400-011). Criteria: subsystem specification paragraph 3.3.2 requires verification by test; the specification’s verification method has not been changed by approved change action. Evidence: traceability matrix row REC-004, verification method columns. Impact: a deployment performance requirement of a safety-significant subsystem is unverified by its required method; the functional audit cannot certify this requirement as accomplished.”</w:t>
      </w:r>
    </w:p>
    <w:p>
      <w:pPr>
        <w:shd w:fill="EDF0F7" w:val="clear"/>
        <w:spacing w:after="60" w:before="160"/>
      </w:pPr>
      <w:r>
        <w:rPr>
          <w:rFonts w:ascii="Calibri" w:cs="Calibri" w:eastAsia="Calibri" w:hAnsi="Calibri"/>
          <w:b/>
          <w:bCs/>
          <w:color w:val="1F3864"/>
          <w:sz w:val="22"/>
          <w:szCs w:val="22"/>
        </w:rPr>
        <w:t xml:space="preserve">Writing exercise</w:t>
      </w:r>
    </w:p>
    <w:p>
      <w:pPr>
        <w:shd w:fill="EDF0F7" w:val="clear"/>
        <w:spacing w:after="160" w:line="276"/>
      </w:pPr>
      <w:r>
        <w:rPr>
          <w:rFonts w:ascii="Calibri" w:cs="Calibri" w:eastAsia="Calibri" w:hAnsi="Calibri"/>
          <w:sz w:val="22"/>
          <w:szCs w:val="22"/>
        </w:rPr>
        <w:t xml:space="preserve">Rewrite these two into four-part form, then compare against Appendix A: (a) “The igniter part isn’t on the parts list, someone needs to fix the list.” (b) “QA obviously never checked the pyro cartridge paperwork since the life field is empty.” Grade yourself on: no motive attribution, criteria actually cited, evidence locatable by a stranger, impact stated as consequence not opinion.</w:t>
      </w:r>
    </w:p>
    <w:p>
      <w:r>
        <w:br w:type="page"/>
      </w:r>
    </w:p>
    <w:p>
      <w:pPr>
        <w:pStyle w:val="Heading1"/>
        <w:spacing w:after="160" w:before="320"/>
      </w:pPr>
      <w:r>
        <w:rPr>
          <w:rFonts w:ascii="Calibri" w:cs="Calibri" w:eastAsia="Calibri" w:hAnsi="Calibri"/>
        </w:rPr>
        <w:t xml:space="preserve">Module 7 — Closure, Certification, and Delta Audits</w:t>
      </w:r>
    </w:p>
    <w:p>
      <w:pPr>
        <w:pStyle w:val="ListParagraph"/>
        <w:numPr>
          <w:ilvl w:val="0"/>
          <w:numId w:val="2"/>
        </w:numPr>
        <w:spacing w:after="80" w:line="276"/>
      </w:pPr>
      <w:r>
        <w:rPr>
          <w:rFonts w:ascii="Calibri" w:cs="Calibri" w:eastAsia="Calibri" w:hAnsi="Calibri"/>
          <w:sz w:val="22"/>
          <w:szCs w:val="22"/>
        </w:rPr>
        <w:t xml:space="preserve">Minutes are delivered finalized within the contracted window (sixty days is the common ceiling); daily minutes are reviewed jointly during the audit so the final version contains no surprises.</w:t>
      </w:r>
    </w:p>
    <w:p>
      <w:pPr>
        <w:pStyle w:val="ListParagraph"/>
        <w:numPr>
          <w:ilvl w:val="0"/>
          <w:numId w:val="2"/>
        </w:numPr>
        <w:spacing w:after="80" w:line="276"/>
      </w:pPr>
      <w:r>
        <w:rPr>
          <w:rFonts w:ascii="Calibri" w:cs="Calibri" w:eastAsia="Calibri" w:hAnsi="Calibri"/>
          <w:sz w:val="22"/>
          <w:szCs w:val="22"/>
        </w:rPr>
        <w:t xml:space="preserve">Closure requires evidence, not claims: an action item closes on the corrective artifact (the revised document, the re-run test, the updated record), reviewed — not on an email asserting completion. “Closed — will fix in next revision” is not closed; it is open with a due date.</w:t>
      </w:r>
    </w:p>
    <w:p>
      <w:pPr>
        <w:pStyle w:val="ListParagraph"/>
        <w:numPr>
          <w:ilvl w:val="0"/>
          <w:numId w:val="2"/>
        </w:numPr>
        <w:spacing w:after="80" w:line="276"/>
      </w:pPr>
      <w:r>
        <w:rPr>
          <w:rFonts w:ascii="Calibri" w:cs="Calibri" w:eastAsia="Calibri" w:hAnsi="Calibri"/>
          <w:sz w:val="22"/>
          <w:szCs w:val="22"/>
        </w:rPr>
        <w:t xml:space="preserve">Contingent approval is not approval: it is approval withheld pending the completion of named actions. Treating it as a pass with homework is how open items reach production. Track contingently approved audits as open until the disposition converts.</w:t>
      </w:r>
    </w:p>
    <w:p>
      <w:pPr>
        <w:pStyle w:val="ListParagraph"/>
        <w:numPr>
          <w:ilvl w:val="0"/>
          <w:numId w:val="2"/>
        </w:numPr>
        <w:spacing w:after="80" w:line="276"/>
      </w:pPr>
      <w:r>
        <w:rPr>
          <w:rFonts w:ascii="Calibri" w:cs="Calibri" w:eastAsia="Calibri" w:hAnsi="Calibri"/>
          <w:sz w:val="22"/>
          <w:szCs w:val="22"/>
        </w:rPr>
        <w:t xml:space="preserve">Delta audits are scoped in writing before they occur, cover exactly the open portion (the deferred verification, the incomplete package), and their results are added to or formally supersede the original minutes — never an informal “we looked at it later.”</w:t>
      </w:r>
    </w:p>
    <w:p>
      <w:pPr>
        <w:pStyle w:val="ListParagraph"/>
        <w:numPr>
          <w:ilvl w:val="0"/>
          <w:numId w:val="2"/>
        </w:numPr>
        <w:spacing w:after="80" w:line="276"/>
      </w:pPr>
      <w:r>
        <w:rPr>
          <w:rFonts w:ascii="Calibri" w:cs="Calibri" w:eastAsia="Calibri" w:hAnsi="Calibri"/>
          <w:sz w:val="22"/>
          <w:szCs w:val="22"/>
        </w:rPr>
        <w:t xml:space="preserve">Certification is joint and honest: complete/successful means no open worksheets; conditional means agreed resolutions with tasks outstanding. Certifying complete with known opens is the audit-world equivalent of the blank life field — a record that no longer tells the truth.</w:t>
      </w:r>
    </w:p>
    <w:p>
      <w:pPr>
        <w:shd w:fill="EDF0F7" w:val="clear"/>
        <w:spacing w:after="60" w:before="160"/>
      </w:pPr>
      <w:r>
        <w:rPr>
          <w:rFonts w:ascii="Calibri" w:cs="Calibri" w:eastAsia="Calibri" w:hAnsi="Calibri"/>
          <w:b/>
          <w:bCs/>
          <w:color w:val="1F3864"/>
          <w:sz w:val="22"/>
          <w:szCs w:val="22"/>
        </w:rPr>
        <w:t xml:space="preserve">Self-check</w:t>
      </w:r>
    </w:p>
    <w:p>
      <w:pPr>
        <w:shd w:fill="EDF0F7" w:val="clear"/>
        <w:spacing w:after="160" w:line="276"/>
      </w:pPr>
      <w:r>
        <w:rPr>
          <w:rFonts w:ascii="Calibri" w:cs="Calibri" w:eastAsia="Calibri" w:hAnsi="Calibri"/>
          <w:sz w:val="22"/>
          <w:szCs w:val="22"/>
        </w:rPr>
        <w:t xml:space="preserve">A team proposes closing a major finding because the supplier emailed that the parts list “has been updated.” What do you require before closure? Compare: the revised parts list itself, at its new revision, showing the part — plus, because the finding was major (control failure), evidence of the extent check: were other units built with unapproved parts, and how was that determined?</w:t>
      </w:r>
    </w:p>
    <w:p>
      <w:r>
        <w:br w:type="page"/>
      </w:r>
    </w:p>
    <w:p>
      <w:pPr>
        <w:pStyle w:val="Heading1"/>
        <w:spacing w:after="160" w:before="320"/>
      </w:pPr>
      <w:r>
        <w:rPr>
          <w:rFonts w:ascii="Calibri" w:cs="Calibri" w:eastAsia="Calibri" w:hAnsi="Calibri"/>
        </w:rPr>
        <w:t xml:space="preserve">Module 8 — Supplier-Conducted and Supplier-Supported Audits</w:t>
      </w:r>
    </w:p>
    <w:p>
      <w:pPr>
        <w:spacing w:after="120" w:line="276"/>
      </w:pPr>
      <w:r>
        <w:rPr>
          <w:rFonts w:ascii="Calibri" w:cs="Calibri" w:eastAsia="Calibri" w:hAnsi="Calibri"/>
          <w:sz w:val="22"/>
          <w:szCs w:val="22"/>
        </w:rPr>
        <w:t xml:space="preserve">When a designated item is supplier-developed, the audit role follows the supplier’s work type per the flowdown matrix and guide: developers of source-controlled or full-development items conduct the item-level audits at their facility; software developers conduct the software functional audit and the witnessed build verification; build-to-print suppliers support the physical audit with facility access, as-built records, and manufacturing instructions; design agents provide data support.</w:t>
      </w:r>
    </w:p>
    <w:p>
      <w:pPr>
        <w:spacing w:after="120" w:line="276"/>
      </w:pPr>
      <w:r>
        <w:rPr>
          <w:rFonts w:ascii="Calibri" w:cs="Calibri" w:eastAsia="Calibri" w:hAnsi="Calibri"/>
          <w:sz w:val="22"/>
          <w:szCs w:val="22"/>
        </w:rPr>
        <w:t xml:space="preserve">The rule that governs all of it: ceremony is tailorable, substance is not. An internally chaired supplier audit with internal certification is legitimate; an audit that skips the traceability matrix, the approved-parts verification, the documented non-compliances, or the unit-difference certification is not an audit, whatever it is called. The floor requirements that attach to designated items on safety-significant product lines attach at the supplier’s tier exactly as they do at yours.</w:t>
      </w:r>
    </w:p>
    <w:p>
      <w:pPr>
        <w:pStyle w:val="ListParagraph"/>
        <w:numPr>
          <w:ilvl w:val="0"/>
          <w:numId w:val="2"/>
        </w:numPr>
        <w:spacing w:after="80" w:line="276"/>
      </w:pPr>
      <w:r>
        <w:rPr>
          <w:rFonts w:ascii="Calibri" w:cs="Calibri" w:eastAsia="Calibri" w:hAnsi="Calibri"/>
          <w:sz w:val="22"/>
          <w:szCs w:val="22"/>
        </w:rPr>
        <w:t xml:space="preserve">Contract mechanics: designation can arrive after award, so supplier statements of work carry a standing conditional audit clause with the audit deliverables cited as triggered items — negotiating audit obligations after designation is negotiating from weakness.</w:t>
      </w:r>
    </w:p>
    <w:p>
      <w:pPr>
        <w:pStyle w:val="ListParagraph"/>
        <w:numPr>
          <w:ilvl w:val="0"/>
          <w:numId w:val="2"/>
        </w:numPr>
        <w:spacing w:after="80" w:line="276"/>
      </w:pPr>
      <w:r>
        <w:rPr>
          <w:rFonts w:ascii="Calibri" w:cs="Calibri" w:eastAsia="Calibri" w:hAnsi="Calibri"/>
          <w:sz w:val="22"/>
          <w:szCs w:val="22"/>
        </w:rPr>
        <w:t xml:space="preserve">Findings routing: supplier audit findings feed the supplier’s effectiveness record; safety-relevant findings additionally route into the safety data stream; and a reconciliation-miss finding at a supplier is an input to re-assessing audit designation for everything else that supplier builds.</w:t>
      </w:r>
    </w:p>
    <w:p>
      <w:pPr>
        <w:shd w:fill="EDF0F7" w:val="clear"/>
        <w:spacing w:after="60" w:before="160"/>
      </w:pPr>
      <w:r>
        <w:rPr>
          <w:rFonts w:ascii="Calibri" w:cs="Calibri" w:eastAsia="Calibri" w:hAnsi="Calibri"/>
          <w:b/>
          <w:bCs/>
          <w:color w:val="1F3864"/>
          <w:sz w:val="22"/>
          <w:szCs w:val="22"/>
        </w:rPr>
        <w:t xml:space="preserve">Self-check</w:t>
      </w:r>
    </w:p>
    <w:p>
      <w:pPr>
        <w:shd w:fill="EDF0F7" w:val="clear"/>
        <w:spacing w:after="160" w:line="276"/>
      </w:pPr>
      <w:r>
        <w:rPr>
          <w:rFonts w:ascii="Calibri" w:cs="Calibri" w:eastAsia="Calibri" w:hAnsi="Calibri"/>
          <w:sz w:val="22"/>
          <w:szCs w:val="22"/>
        </w:rPr>
        <w:t xml:space="preserve">A supplier proposes conducting their designated item’s physical audit “streamlined — we’ll skip the parts-list cross-check since our ERP controls parts automatically.” Answer before comparing: the proposal tailors substance, not ceremony — the approved-parts verification is exactly the check that validates the ERP’s control, and “the system prevents it” is the claim the audit exists to test. Decline; offer instead to sample rather than exhaustively check, which is a legitimate ceremony tailoring.</w:t>
      </w:r>
    </w:p>
    <w:p>
      <w:r>
        <w:br w:type="page"/>
      </w:r>
    </w:p>
    <w:p>
      <w:pPr>
        <w:pStyle w:val="Heading1"/>
        <w:spacing w:after="160" w:before="320"/>
      </w:pPr>
      <w:r>
        <w:rPr>
          <w:rFonts w:ascii="Calibri" w:cs="Calibri" w:eastAsia="Calibri" w:hAnsi="Calibri"/>
        </w:rPr>
        <w:t xml:space="preserve">Module 9 — Capstone</w:t>
      </w:r>
    </w:p>
    <w:p>
      <w:pPr>
        <w:spacing w:after="120" w:line="276"/>
      </w:pPr>
      <w:r>
        <w:rPr>
          <w:rFonts w:ascii="Calibri" w:cs="Calibri" w:eastAsia="Calibri" w:hAnsi="Calibri"/>
          <w:sz w:val="22"/>
          <w:szCs w:val="22"/>
        </w:rPr>
        <w:t xml:space="preserve">You are the audit lead for the recovery subsystem of the Coastal Surveyor unmanned aircraft — the safety-critical subsystem from the CI identification course, whose gold-standard index and interface register are your baseline truth. The functional audit convenes on the traceability matrix in the FCA exercise artifact; the physical audit examines unit serial 0007 using the PCA exercise artifact.</w:t>
      </w:r>
    </w:p>
    <w:p>
      <w:pPr>
        <w:pStyle w:val="Heading2"/>
        <w:spacing w:after="120" w:before="260"/>
      </w:pPr>
      <w:r>
        <w:rPr>
          <w:rFonts w:ascii="Calibri" w:cs="Calibri" w:eastAsia="Calibri" w:hAnsi="Calibri"/>
        </w:rPr>
        <w:t xml:space="preserve">Tasks</w:t>
      </w:r>
    </w:p>
    <w:p>
      <w:pPr>
        <w:pStyle w:val="ListParagraph"/>
        <w:numPr>
          <w:ilvl w:val="0"/>
          <w:numId w:val="2"/>
        </w:numPr>
        <w:spacing w:after="80" w:line="276"/>
      </w:pPr>
      <w:r>
        <w:rPr>
          <w:rFonts w:ascii="Calibri" w:cs="Calibri" w:eastAsia="Calibri" w:hAnsi="Calibri"/>
          <w:sz w:val="22"/>
          <w:szCs w:val="22"/>
        </w:rPr>
        <w:t xml:space="preserve">Task 1: Audit both artifacts and produce a findings list: every seeded defect, each written in four-part form (condition, criteria, evidence, impact) at one to three sentences per part.</w:t>
      </w:r>
    </w:p>
    <w:p>
      <w:pPr>
        <w:pStyle w:val="ListParagraph"/>
        <w:numPr>
          <w:ilvl w:val="0"/>
          <w:numId w:val="2"/>
        </w:numPr>
        <w:spacing w:after="80" w:line="276"/>
      </w:pPr>
      <w:r>
        <w:rPr>
          <w:rFonts w:ascii="Calibri" w:cs="Calibri" w:eastAsia="Calibri" w:hAnsi="Calibri"/>
          <w:sz w:val="22"/>
          <w:szCs w:val="22"/>
        </w:rPr>
        <w:t xml:space="preserve">Task 2: Classify each finding major or minor, with one clause of justification.</w:t>
      </w:r>
    </w:p>
    <w:p>
      <w:pPr>
        <w:pStyle w:val="ListParagraph"/>
        <w:numPr>
          <w:ilvl w:val="0"/>
          <w:numId w:val="2"/>
        </w:numPr>
        <w:spacing w:after="80" w:line="276"/>
      </w:pPr>
      <w:r>
        <w:rPr>
          <w:rFonts w:ascii="Calibri" w:cs="Calibri" w:eastAsia="Calibri" w:hAnsi="Calibri"/>
          <w:sz w:val="22"/>
          <w:szCs w:val="22"/>
        </w:rPr>
        <w:t xml:space="preserve">Task 3: Write one complete request-for-action for the finding you judge most serious, including the closure plan you would propose, the closure evidence you would require, and — if your choice is safety-relevant — the routing it triggers.</w:t>
      </w:r>
    </w:p>
    <w:p>
      <w:pPr>
        <w:pStyle w:val="ListParagraph"/>
        <w:numPr>
          <w:ilvl w:val="0"/>
          <w:numId w:val="2"/>
        </w:numPr>
        <w:spacing w:after="80" w:line="276"/>
      </w:pPr>
      <w:r>
        <w:rPr>
          <w:rFonts w:ascii="Calibri" w:cs="Calibri" w:eastAsia="Calibri" w:hAnsi="Calibri"/>
          <w:sz w:val="22"/>
          <w:szCs w:val="22"/>
        </w:rPr>
        <w:t xml:space="preserve">Task 4: State the audit disposition you would recommend (approval / contingent approval / disapproval) for each audit, in two sentences each.</w:t>
      </w:r>
    </w:p>
    <w:p>
      <w:pPr>
        <w:pStyle w:val="Heading2"/>
        <w:spacing w:after="120" w:before="260"/>
      </w:pPr>
      <w:r>
        <w:rPr>
          <w:rFonts w:ascii="Calibri" w:cs="Calibri" w:eastAsia="Calibri" w:hAnsi="Calibri"/>
        </w:rPr>
        <w:t xml:space="preserve">Self-Grading</w:t>
      </w:r>
    </w:p>
    <w:p>
      <w:pPr>
        <w:spacing w:after="120" w:line="276"/>
      </w:pPr>
      <w:r>
        <w:rPr>
          <w:rFonts w:ascii="Calibri" w:cs="Calibri" w:eastAsia="Calibri" w:hAnsi="Calibri"/>
          <w:sz w:val="22"/>
          <w:szCs w:val="22"/>
        </w:rPr>
        <w:t xml:space="preserve">Appendix A holds the full defect key with expected finding language and classifications; Appendix B holds the quiz. Grade on: found all ten; classifications match (or your justification identifies a defensible difference); the request-for-action would survive a stranger executing it; the dispositions follow from your own findings rather than from optimism.</w:t>
      </w:r>
    </w:p>
    <w:p>
      <w:pPr>
        <w:pStyle w:val="Heading2"/>
        <w:spacing w:after="120" w:before="260"/>
      </w:pPr>
      <w:r>
        <w:rPr>
          <w:rFonts w:ascii="Calibri" w:cs="Calibri" w:eastAsia="Calibri" w:hAnsi="Calibri"/>
        </w:rPr>
        <w:t xml:space="preserve">Final Quiz</w:t>
      </w:r>
    </w:p>
    <w:p>
      <w:pPr>
        <w:pStyle w:val="ListParagraph"/>
        <w:numPr>
          <w:ilvl w:val="0"/>
          <w:numId w:val="2"/>
        </w:numPr>
        <w:spacing w:after="80" w:line="276"/>
      </w:pPr>
      <w:r>
        <w:rPr>
          <w:rFonts w:ascii="Calibri" w:cs="Calibri" w:eastAsia="Calibri" w:hAnsi="Calibri"/>
          <w:sz w:val="22"/>
          <w:szCs w:val="22"/>
        </w:rPr>
        <w:t xml:space="preserve">1. How many defects did you find in each artifact, and which single finding impeaches the at-scale reconciliation process rather than one record?</w:t>
      </w:r>
    </w:p>
    <w:p>
      <w:pPr>
        <w:pStyle w:val="ListParagraph"/>
        <w:numPr>
          <w:ilvl w:val="0"/>
          <w:numId w:val="2"/>
        </w:numPr>
        <w:spacing w:after="80" w:line="276"/>
      </w:pPr>
      <w:r>
        <w:rPr>
          <w:rFonts w:ascii="Calibri" w:cs="Calibri" w:eastAsia="Calibri" w:hAnsi="Calibri"/>
          <w:sz w:val="22"/>
          <w:szCs w:val="22"/>
        </w:rPr>
        <w:t xml:space="preserve">2. Which finding requires safety-organization routing in addition to the normal action-item path, and why?</w:t>
      </w:r>
    </w:p>
    <w:p>
      <w:pPr>
        <w:pStyle w:val="ListParagraph"/>
        <w:numPr>
          <w:ilvl w:val="0"/>
          <w:numId w:val="2"/>
        </w:numPr>
        <w:spacing w:after="80" w:line="276"/>
      </w:pPr>
      <w:r>
        <w:rPr>
          <w:rFonts w:ascii="Calibri" w:cs="Calibri" w:eastAsia="Calibri" w:hAnsi="Calibri"/>
          <w:sz w:val="22"/>
          <w:szCs w:val="22"/>
        </w:rPr>
        <w:t xml:space="preserve">3. Which physical-package defect is invisible unless two specific sheets are compared, and which two?</w:t>
      </w:r>
    </w:p>
    <w:p>
      <w:pPr>
        <w:pStyle w:val="ListParagraph"/>
        <w:numPr>
          <w:ilvl w:val="0"/>
          <w:numId w:val="2"/>
        </w:numPr>
        <w:spacing w:after="80" w:line="276"/>
      </w:pPr>
      <w:r>
        <w:rPr>
          <w:rFonts w:ascii="Calibri" w:cs="Calibri" w:eastAsia="Calibri" w:hAnsi="Calibri"/>
          <w:sz w:val="22"/>
          <w:szCs w:val="22"/>
        </w:rPr>
        <w:t xml:space="preserve">4. What disposition did you recommend for the functional audit, and what single fact drives it?</w:t>
      </w:r>
    </w:p>
    <w:p>
      <w:pPr>
        <w:pStyle w:val="ListParagraph"/>
        <w:numPr>
          <w:ilvl w:val="0"/>
          <w:numId w:val="2"/>
        </w:numPr>
        <w:spacing w:after="80" w:line="276"/>
      </w:pPr>
      <w:r>
        <w:rPr>
          <w:rFonts w:ascii="Calibri" w:cs="Calibri" w:eastAsia="Calibri" w:hAnsi="Calibri"/>
          <w:sz w:val="22"/>
          <w:szCs w:val="22"/>
        </w:rPr>
        <w:t xml:space="preserve">5. Which finding would still be a finding even if the installed hardware turns out to be perfectly good — and what does that teach about what audits verify?</w:t>
      </w:r>
    </w:p>
    <w:p>
      <w:r>
        <w:br w:type="page"/>
      </w:r>
    </w:p>
    <w:p>
      <w:pPr>
        <w:pStyle w:val="Heading1"/>
        <w:spacing w:after="160" w:before="320"/>
      </w:pPr>
      <w:r>
        <w:rPr>
          <w:rFonts w:ascii="Calibri" w:cs="Calibri" w:eastAsia="Calibri" w:hAnsi="Calibri"/>
        </w:rPr>
        <w:t xml:space="preserve">Appendix A — Seeded Defect Key</w:t>
      </w:r>
    </w:p>
    <w:p>
      <w:pPr>
        <w:spacing w:after="120" w:line="276"/>
        <w:rPr>
          <w:b/>
          <w:bCs/>
        </w:rPr>
      </w:pPr>
      <w:r>
        <w:rPr>
          <w:rFonts w:ascii="Calibri" w:cs="Calibri" w:eastAsia="Calibri" w:hAnsi="Calibri"/>
          <w:b/>
          <w:bCs/>
          <w:sz w:val="22"/>
          <w:szCs w:val="22"/>
        </w:rPr>
        <w:t xml:space="preserve">Do not read before completing the capstone.</w:t>
      </w:r>
    </w:p>
    <w:p>
      <w:pPr>
        <w:pStyle w:val="Heading2"/>
        <w:spacing w:after="120" w:before="260"/>
      </w:pPr>
      <w:r>
        <w:rPr>
          <w:rFonts w:ascii="Calibri" w:cs="Calibri" w:eastAsia="Calibri" w:hAnsi="Calibri"/>
        </w:rPr>
        <w:t xml:space="preserve">FCA exercise artifact (traceability matrix) — five defects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000"/>
        <w:gridCol w:w="3060"/>
      </w:tblGrid>
      <w:tr>
        <w:trPr>
          <w:tblHeader/>
        </w:trPr>
        <w:tc>
          <w:tcPr>
            <w:tcW w:type="dxa" w:w="13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Location</w:t>
            </w:r>
          </w:p>
        </w:tc>
        <w:tc>
          <w:tcPr>
            <w:tcW w:type="dxa" w:w="50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Defect and expected finding</w:t>
            </w:r>
          </w:p>
        </w:tc>
        <w:tc>
          <w:tcPr>
            <w:tcW w:type="dxa" w:w="30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Classification</w:t>
            </w:r>
          </w:p>
        </w:tc>
      </w:tr>
      <w:tr>
        <w:tc>
          <w:tcPr>
            <w:tcW w:type="dxa" w:w="13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REC-004</w:t>
            </w:r>
          </w:p>
        </w:tc>
        <w:tc>
          <w:tcPr>
            <w:tcW w:type="dxa" w:w="50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Method substitution: specification paragraph 3.3.2 requires test; matrix shows verification by analysis (AN-1400-011) with no approved change to the method. Finding: requirement unverified by required method.</w:t>
            </w:r>
          </w:p>
        </w:tc>
        <w:tc>
          <w:tcPr>
            <w:tcW w:type="dxa" w:w="30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Major — non-adherence to a specification requirement</w:t>
            </w:r>
          </w:p>
        </w:tc>
      </w:tr>
      <w:tr>
        <w:tc>
          <w:tcPr>
            <w:tcW w:type="dxa" w:w="13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REC-007</w:t>
            </w:r>
          </w:p>
        </w:tc>
        <w:tc>
          <w:tcPr>
            <w:tcW w:type="dxa" w:w="50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Chronology violation: report TR-1400-012 dated 2026-02-10 cites procedure Rev B released 2026-03-01. Whatever ran on 2026-02-10 was not Rev B; the record does not establish the verification.</w:t>
            </w:r>
          </w:p>
        </w:tc>
        <w:tc>
          <w:tcPr>
            <w:tcW w:type="dxa" w:w="30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Major — verification data incomplete/incorrect</w:t>
            </w:r>
          </w:p>
        </w:tc>
      </w:tr>
      <w:tr>
        <w:tc>
          <w:tcPr>
            <w:tcW w:type="dxa" w:w="13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REC-009</w:t>
            </w:r>
          </w:p>
        </w:tc>
        <w:tc>
          <w:tcPr>
            <w:tcW w:type="dxa" w:w="50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Result without evidence: “Pass” with no test report; test-stand log only. Verification not established by recorded data.</w:t>
            </w:r>
          </w:p>
        </w:tc>
        <w:tc>
          <w:tcPr>
            <w:tcW w:type="dxa" w:w="30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Major — required verification data missing</w:t>
            </w:r>
          </w:p>
        </w:tc>
      </w:tr>
      <w:tr>
        <w:tc>
          <w:tcPr>
            <w:tcW w:type="dxa" w:w="13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REC-011 / REC-013</w:t>
            </w:r>
          </w:p>
        </w:tc>
        <w:tc>
          <w:tcPr>
            <w:tcW w:type="dxa" w:w="50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Broken cross-reference: DR-0042 is attached to REC-011 but the deficiency log assigns it to REC-013; REC-013’s open failure carries no report number, and REC-011’s actual deficiency is DR-0043. The matrix cannot be trusted as the index of open items.</w:t>
            </w:r>
          </w:p>
        </w:tc>
        <w:tc>
          <w:tcPr>
            <w:tcW w:type="dxa" w:w="30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Major if systematic across the matrix; minor if isolated clerical — the audit checks which, and here two rows are affected, so treat as major pending extent check</w:t>
            </w:r>
          </w:p>
        </w:tc>
      </w:tr>
      <w:tr>
        <w:tc>
          <w:tcPr>
            <w:tcW w:type="dxa" w:w="13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REC-014</w:t>
            </w:r>
          </w:p>
        </w:tc>
        <w:tc>
          <w:tcPr>
            <w:tcW w:type="dxa" w:w="50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Safety-critical hazard-control requirement (arming inhibit) sampled out — not verified in the sample. Safety requirements are included in the sample, never excluded.</w:t>
            </w:r>
          </w:p>
        </w:tc>
        <w:tc>
          <w:tcPr>
            <w:tcW w:type="dxa" w:w="30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Major — with routing to the safety organization; this is the capstone’s most serious finding</w:t>
            </w:r>
          </w:p>
        </w:tc>
      </w:tr>
    </w:tbl>
    <w:p>
      <w:pPr>
        <w:pStyle w:val="Heading2"/>
        <w:spacing w:after="120" w:before="260"/>
      </w:pPr>
      <w:r>
        <w:rPr>
          <w:rFonts w:ascii="Calibri" w:cs="Calibri" w:eastAsia="Calibri" w:hAnsi="Calibri"/>
        </w:rPr>
        <w:t xml:space="preserve">PCA exercise artifact (unit data package) — five defects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000"/>
        <w:gridCol w:w="3060"/>
      </w:tblGrid>
      <w:tr>
        <w:trPr>
          <w:tblHeader/>
        </w:trPr>
        <w:tc>
          <w:tcPr>
            <w:tcW w:type="dxa" w:w="13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Location</w:t>
            </w:r>
          </w:p>
        </w:tc>
        <w:tc>
          <w:tcPr>
            <w:tcW w:type="dxa" w:w="50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Defect and expected finding</w:t>
            </w:r>
          </w:p>
        </w:tc>
        <w:tc>
          <w:tcPr>
            <w:tcW w:type="dxa" w:w="30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Classification</w:t>
            </w:r>
          </w:p>
        </w:tc>
      </w:tr>
      <w:tr>
        <w:tc>
          <w:tcPr>
            <w:tcW w:type="dxa" w:w="13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As-built item 5 vs. parts list</w:t>
            </w:r>
          </w:p>
        </w:tc>
        <w:tc>
          <w:tcPr>
            <w:tcW w:type="dxa" w:w="50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Unapproved part: IGN-556-B installed; approved parts list carries only IGN-556-A. (Related to change C-1400-009 — see the effectivity defect — but the list control failed regardless.)</w:t>
            </w:r>
          </w:p>
        </w:tc>
        <w:tc>
          <w:tcPr>
            <w:tcW w:type="dxa" w:w="30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Major — approved-parts control non-adherence</w:t>
            </w:r>
          </w:p>
        </w:tc>
      </w:tr>
      <w:tr>
        <w:tc>
          <w:tcPr>
            <w:tcW w:type="dxa" w:w="13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As-built item 2 vs. drawing index vs. reconciliation report</w:t>
            </w:r>
          </w:p>
        </w:tc>
        <w:tc>
          <w:tcPr>
            <w:tcW w:type="dxa" w:w="50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Reconciliation miss: bridle installed as BRD-210-002 against index BRD-210-001; reconciliation report row 2 states “no delta.” Impeaches the at-scale reconciliation process, not just this record.</w:t>
            </w:r>
          </w:p>
        </w:tc>
        <w:tc>
          <w:tcPr>
            <w:tcW w:type="dxa" w:w="30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Major — systematic process question; extent check across other units required</w:t>
            </w:r>
          </w:p>
        </w:tc>
      </w:tr>
      <w:tr>
        <w:tc>
          <w:tcPr>
            <w:tcW w:type="dxa" w:w="13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As-built item 3</w:t>
            </w:r>
          </w:p>
        </w:tc>
        <w:tc>
          <w:tcPr>
            <w:tcW w:type="dxa" w:w="50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Blank life field: pyrotechnic cartridge lot L2605, life-limited, five-year limit, consumed-life-at-delivery empty. Life tracking barrier has no starting value.</w:t>
            </w:r>
          </w:p>
        </w:tc>
        <w:tc>
          <w:tcPr>
            <w:tcW w:type="dxa" w:w="30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Major — required safety-bearing data missing</w:t>
            </w:r>
          </w:p>
        </w:tc>
      </w:tr>
      <w:tr>
        <w:tc>
          <w:tcPr>
            <w:tcW w:type="dxa" w:w="13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Change list, C-1400-009</w:t>
            </w:r>
          </w:p>
        </w:tc>
        <w:tc>
          <w:tcPr>
            <w:tcW w:type="dxa" w:w="50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Effectivity violation: change approved effective unit 0009 onward; recorded incorporated on unit 0007. Unit built to a configuration its approval does not cover — and note this defect explains the IGN-556-B installation, which is why the two findings cross-reference rather than merge.</w:t>
            </w:r>
          </w:p>
        </w:tc>
        <w:tc>
          <w:tcPr>
            <w:tcW w:type="dxa" w:w="30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Major — change/effectivity control non-adherence</w:t>
            </w:r>
          </w:p>
        </w:tc>
      </w:tr>
      <w:tr>
        <w:tc>
          <w:tcPr>
            <w:tcW w:type="dxa" w:w="13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Unit differences sheet, row 2</w:t>
            </w:r>
          </w:p>
        </w:tc>
        <w:tc>
          <w:tcPr>
            <w:tcW w:type="dxa" w:w="50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Undispositioned difference: igniter build -A (functional-audit unit) vs. -B (this unit) identified but certification field blank. The functional audit’s results are not yet carried across to this configuration.</w:t>
            </w:r>
          </w:p>
        </w:tc>
        <w:tc>
          <w:tcPr>
            <w:tcW w:type="dxa" w:w="30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Major — required certification incomplete; also blocks clean disposition of the physical audit</w:t>
            </w:r>
          </w:p>
        </w:tc>
      </w:tr>
    </w:tbl>
    <w:p>
      <w:pPr>
        <w:pStyle w:val="Heading2"/>
        <w:spacing w:after="120" w:before="260"/>
      </w:pPr>
      <w:r>
        <w:rPr>
          <w:rFonts w:ascii="Calibri" w:cs="Calibri" w:eastAsia="Calibri" w:hAnsi="Calibri"/>
        </w:rPr>
        <w:t xml:space="preserve">Module 6 writing exercise — model rewrites</w:t>
      </w:r>
    </w:p>
    <w:p>
      <w:pPr>
        <w:pStyle w:val="ListParagraph"/>
        <w:numPr>
          <w:ilvl w:val="0"/>
          <w:numId w:val="2"/>
        </w:numPr>
        <w:spacing w:after="80" w:line="276"/>
      </w:pPr>
      <w:r>
        <w:rPr>
          <w:rFonts w:ascii="Calibri" w:cs="Calibri" w:eastAsia="Calibri" w:hAnsi="Calibri"/>
          <w:sz w:val="22"/>
          <w:szCs w:val="22"/>
        </w:rPr>
        <w:t xml:space="preserve">(a) Condition: as-built record for unit REC-030-0007, item 5, shows igniter assembly IGN-556-B installed. Criteria: the approved parts list for the subsystem authorizes IGN-556-A only. Evidence: as-built record item 5; approved parts list item 5. Impact: a part not under approved-parts control is installed in a safety-critical subsystem; disposition of the part and an extent check across delivered units are required.</w:t>
      </w:r>
    </w:p>
    <w:p>
      <w:pPr>
        <w:pStyle w:val="ListParagraph"/>
        <w:numPr>
          <w:ilvl w:val="0"/>
          <w:numId w:val="2"/>
        </w:numPr>
        <w:spacing w:after="80" w:line="276"/>
      </w:pPr>
      <w:r>
        <w:rPr>
          <w:rFonts w:ascii="Calibri" w:cs="Calibri" w:eastAsia="Calibri" w:hAnsi="Calibri"/>
          <w:sz w:val="22"/>
          <w:szCs w:val="22"/>
        </w:rPr>
        <w:t xml:space="preserve">(b) Condition: the consumed-life-at-delivery field for pyrotechnic cartridge lot L2605 (life-limited, five-year limit) is blank in the as-built record. Criteria: part traceability records for life-limited items require assigned life limit and life consumed at delivery. Evidence: as-built record item 3. Impact: field life tracking for an energetic, lifed component has no established starting value; the record must be completed from lot data before delivery and the recording gap’s cause corrected. (Note what the rewrite removed: any claim about what QA did or did not do.)</w:t>
      </w:r>
    </w:p>
    <w:p>
      <w:r>
        <w:br w:type="page"/>
      </w:r>
    </w:p>
    <w:p>
      <w:pPr>
        <w:pStyle w:val="Heading1"/>
        <w:spacing w:after="160" w:before="320"/>
      </w:pPr>
      <w:r>
        <w:rPr>
          <w:rFonts w:ascii="Calibri" w:cs="Calibri" w:eastAsia="Calibri" w:hAnsi="Calibri"/>
        </w:rPr>
        <w:t xml:space="preserve">Appendix B — Final Quiz Answers</w:t>
      </w:r>
    </w:p>
    <w:p>
      <w:pPr>
        <w:pStyle w:val="ListParagraph"/>
        <w:numPr>
          <w:ilvl w:val="0"/>
          <w:numId w:val="2"/>
        </w:numPr>
        <w:spacing w:after="80" w:line="276"/>
      </w:pPr>
      <w:r>
        <w:rPr>
          <w:rFonts w:ascii="Calibri" w:cs="Calibri" w:eastAsia="Calibri" w:hAnsi="Calibri"/>
          <w:sz w:val="22"/>
          <w:szCs w:val="22"/>
        </w:rPr>
        <w:t xml:space="preserve">1. Five in each artifact, ten total. The reconciliation miss (bridle -002 cleared as “no delta”) is the process-impeaching finding: one missed delta in a sampled unit means the machinery that clears every unit has a hole, which is why its closure requires an extent check, not a record fix.</w:t>
      </w:r>
    </w:p>
    <w:p>
      <w:pPr>
        <w:pStyle w:val="ListParagraph"/>
        <w:numPr>
          <w:ilvl w:val="0"/>
          <w:numId w:val="2"/>
        </w:numPr>
        <w:spacing w:after="80" w:line="276"/>
      </w:pPr>
      <w:r>
        <w:rPr>
          <w:rFonts w:ascii="Calibri" w:cs="Calibri" w:eastAsia="Calibri" w:hAnsi="Calibri"/>
          <w:sz w:val="22"/>
          <w:szCs w:val="22"/>
        </w:rPr>
        <w:t xml:space="preserve">2. The sampled-out arming-inhibit requirement. It is a hazard-control requirement excluded from verification sampling — a safety decision made by omission — so it routes to the safety organization in addition to the normal request-for-action path.</w:t>
      </w:r>
    </w:p>
    <w:p>
      <w:pPr>
        <w:pStyle w:val="ListParagraph"/>
        <w:numPr>
          <w:ilvl w:val="0"/>
          <w:numId w:val="2"/>
        </w:numPr>
        <w:spacing w:after="80" w:line="276"/>
      </w:pPr>
      <w:r>
        <w:rPr>
          <w:rFonts w:ascii="Calibri" w:cs="Calibri" w:eastAsia="Calibri" w:hAnsi="Calibri"/>
          <w:sz w:val="22"/>
          <w:szCs w:val="22"/>
        </w:rPr>
        <w:t xml:space="preserve">3. The effectivity violation: visible only by comparing the change list (effectivity unit 0009 onward, incorporated “yes”) against the unit identity in the as-built record (this is unit 0007). Every defect in the package requires a cross-sheet comparison by design; this one names its two sheets most cleanly.</w:t>
      </w:r>
    </w:p>
    <w:p>
      <w:pPr>
        <w:pStyle w:val="ListParagraph"/>
        <w:numPr>
          <w:ilvl w:val="0"/>
          <w:numId w:val="2"/>
        </w:numPr>
        <w:spacing w:after="80" w:line="276"/>
      </w:pPr>
      <w:r>
        <w:rPr>
          <w:rFonts w:ascii="Calibri" w:cs="Calibri" w:eastAsia="Calibri" w:hAnsi="Calibri"/>
          <w:sz w:val="22"/>
          <w:szCs w:val="22"/>
        </w:rPr>
        <w:t xml:space="preserve">4. Disapproval, or at most contingent approval with the arming-inhibit verification as a named condition — driven by the single fact that a safety-critical requirement stands unverified. An audit cannot certify performance against the approved documentation while a hazard-control requirement is outside the verification record.</w:t>
      </w:r>
    </w:p>
    <w:p>
      <w:pPr>
        <w:pStyle w:val="ListParagraph"/>
        <w:numPr>
          <w:ilvl w:val="0"/>
          <w:numId w:val="2"/>
        </w:numPr>
        <w:spacing w:after="80" w:line="276"/>
      </w:pPr>
      <w:r>
        <w:rPr>
          <w:rFonts w:ascii="Calibri" w:cs="Calibri" w:eastAsia="Calibri" w:hAnsi="Calibri"/>
          <w:sz w:val="22"/>
          <w:szCs w:val="22"/>
        </w:rPr>
        <w:t xml:space="preserve">5. The unapproved igniter part. Even if IGN-556-B proves superior hardware, the finding stands, because the audit verifies control, not luck: the approved-parts list failed to govern what was installed, and a control that fails benignly this time is the same control that fails malignantly next time. That is the course’s closing sentence for a reason.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FCA/PCA Self-Paced Course — Page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1F3864"/>
      <w:sz w:val="30"/>
      <w:szCs w:val="30"/>
    </w:rPr>
  </w:style>
  <w:style w:type="paragraph" w:styleId="Heading2">
    <w:name w:val="Heading 2"/>
    <w:basedOn w:val="Normal"/>
    <w:next w:val="Normal"/>
    <w:qFormat/>
    <w:pPr>
      <w:spacing w:after="120" w:before="260"/>
    </w:pPr>
    <w:rPr>
      <w:rFonts w:ascii="Calibri" w:cs="Calibri" w:eastAsia="Calibri" w:hAnsi="Calibri"/>
      <w:b/>
      <w:bCs/>
      <w:color w:val="1F3864"/>
      <w:sz w:val="25"/>
      <w:szCs w:val="25"/>
    </w:rPr>
  </w:style>
  <w:style w:type="paragraph" w:styleId="Heading3">
    <w:name w:val="Heading 3"/>
    <w:basedOn w:val="Normal"/>
    <w:next w:val="Normal"/>
    <w:qFormat/>
    <w:pPr>
      <w:spacing w:after="100" w:before="200"/>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2026-07-19T02:32:29.614Z</dcterms:created>
  <dcterms:modified xsi:type="dcterms:W3CDTF">2026-07-19T02:32:29.626Z</dcterms:modified>
</cp:coreProperties>
</file>

<file path=docProps/custom.xml><?xml version="1.0" encoding="utf-8"?>
<Properties xmlns="http://schemas.openxmlformats.org/officeDocument/2006/custom-properties" xmlns:vt="http://schemas.openxmlformats.org/officeDocument/2006/docPropsVTypes"/>
</file>