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Cs/>
          <w:i/>
        </w:rPr>
        <w:t xml:space="preserve">&lt;</w:t>
      </w:r>
      <w:r>
        <w:rPr>
          <w:bCs/>
          <w:b/>
          <w:iCs/>
          <w:i/>
        </w:rPr>
        <w:t xml:space="preserve">Replace Organization with applicable office title</w:t>
      </w:r>
      <w:r>
        <w:rPr>
          <w:iCs/>
          <w:i/>
        </w:rPr>
        <w:t xml:space="preserve">&gt;</w:t>
      </w:r>
    </w:p>
    <w:p>
      <w:pPr>
        <w:pStyle w:val="BodyText"/>
      </w:pPr>
      <w:r>
        <w:rPr>
          <w:bCs/>
          <w:b/>
        </w:rPr>
        <w:t xml:space="preserve">Life Cycle</w:t>
      </w:r>
    </w:p>
    <w:p>
      <w:pPr>
        <w:pStyle w:val="BodyText"/>
      </w:pPr>
      <w:r>
        <w:rPr>
          <w:bCs/>
          <w:b/>
        </w:rPr>
        <w:t xml:space="preserve">Configuration Management Plan</w:t>
      </w:r>
    </w:p>
    <w:p>
      <w:pPr>
        <w:pStyle w:val="BodyText"/>
      </w:pPr>
      <w:r>
        <w:rPr>
          <w:bCs/>
          <w:b/>
        </w:rPr>
        <w:t xml:space="preserve">(CMP)</w:t>
      </w:r>
    </w:p>
    <w:p>
      <w:pPr>
        <w:pStyle w:val="BodyText"/>
      </w:pPr>
      <w:r>
        <w:rPr>
          <w:iCs/>
          <w:i/>
        </w:rPr>
        <w:t xml:space="preserve">&lt;</w:t>
      </w:r>
      <w:r>
        <w:rPr>
          <w:bCs/>
          <w:b/>
          <w:iCs/>
          <w:i/>
        </w:rPr>
        <w:t xml:space="preserve">Insert organizational logo</w:t>
      </w:r>
      <w:r>
        <w:rPr>
          <w:iCs/>
          <w:i/>
        </w:rPr>
        <w:t xml:space="preserve">&gt;</w:t>
      </w:r>
    </w:p>
    <w:p>
      <w:pPr>
        <w:pStyle w:val="BodyText"/>
      </w:pPr>
      <w:r>
        <w:t xml:space="preserve">*&lt;</w:t>
      </w:r>
      <w:r>
        <w:rPr>
          <w:bCs/>
          <w:b/>
        </w:rPr>
        <w:t xml:space="preserve">Enter Release Date DD MMM YYYY</w:t>
      </w:r>
      <w:r>
        <w:t xml:space="preserve">&gt;** — release date must be post approval date*</w:t>
      </w:r>
    </w:p>
    <w:p>
      <w:pPr>
        <w:pStyle w:val="BodyText"/>
      </w:pPr>
      <w:r>
        <w:rPr>
          <w:iCs/>
          <w:i/>
        </w:rPr>
        <w:t xml:space="preserve">&lt;</w:t>
      </w:r>
      <w:r>
        <w:rPr>
          <w:bCs/>
          <w:b/>
          <w:iCs/>
          <w:i/>
        </w:rPr>
        <w:t xml:space="preserve">Enter Version.Revision number v##.##</w:t>
      </w:r>
      <w:r>
        <w:rPr>
          <w:iCs/>
          <w:i/>
        </w:rPr>
        <w:t xml:space="preserve">&gt;</w:t>
      </w:r>
    </w:p>
    <w:p>
      <w:pPr>
        <w:pStyle w:val="BodyText"/>
      </w:pPr>
      <w:r>
        <w:rPr>
          <w:iCs/>
          <w:i/>
        </w:rPr>
        <w:t xml:space="preserve">&lt;</w:t>
      </w:r>
      <w:r>
        <w:rPr>
          <w:bCs/>
          <w:b/>
          <w:iCs/>
          <w:i/>
        </w:rPr>
        <w:t xml:space="preserve">Insert the distribution and destruction statements applicable to your organization just above the footer. Select the distribution statement per your data-rights and classification rules.</w:t>
      </w:r>
      <w:r>
        <w:rPr>
          <w:iCs/>
          <w:i/>
        </w:rPr>
        <w:t xml:space="preserve">&gt;</w:t>
      </w:r>
    </w:p>
    <w:bookmarkStart w:id="20" w:name="how-to-use-this-template"/>
    <w:p>
      <w:pPr>
        <w:pStyle w:val="Heading1"/>
      </w:pPr>
      <w:r>
        <w:rPr>
          <w:bCs/>
          <w:b/>
        </w:rPr>
        <w:t xml:space="preserve">How to Use This Template</w:t>
      </w:r>
    </w:p>
    <w:p>
      <w:pPr>
        <w:pStyle w:val="FirstParagraph"/>
      </w:pPr>
      <w:r>
        <w:t xml:space="preserve">This template is derived from the Configuration Management Plan example in GEIA-HB-649 (Appendix G) and extended with the CM requirements that serve as safety barriers, traceable to EIA-649-1A. It represents a minimum set of data required for compliance; the organization may provide additional data to ensure the information is clear, concise, and valid.</w:t>
      </w:r>
    </w:p>
    <w:p>
      <w:pPr>
        <w:pStyle w:val="BodyText"/>
      </w:pPr>
      <w:r>
        <w:t xml:space="preserve">Blue text in angle brackets gives directions within the template.</w:t>
      </w:r>
      <w:r>
        <w:t xml:space="preserve"> </w:t>
      </w:r>
      <w:r>
        <w:rPr>
          <w:iCs/>
          <w:i/>
        </w:rPr>
        <w:t xml:space="preserve">&lt;</w:t>
      </w:r>
      <w:r>
        <w:rPr>
          <w:bCs/>
          <w:b/>
          <w:iCs/>
          <w:i/>
        </w:rPr>
        <w:t xml:space="preserve">like this</w:t>
      </w:r>
      <w:r>
        <w:rPr>
          <w:iCs/>
          <w:i/>
        </w:rPr>
        <w:t xml:space="preserve">&gt;</w:t>
      </w:r>
    </w:p>
    <w:p>
      <w:pPr>
        <w:pStyle w:val="BodyText"/>
      </w:pPr>
      <w:r>
        <w:t xml:space="preserve">Red text gives sample entries. i.e. like this</w:t>
      </w:r>
    </w:p>
    <w:p>
      <w:pPr>
        <w:pStyle w:val="BodyText"/>
      </w:pPr>
      <w:r>
        <w:t xml:space="preserve">There should be no blue or red text in your submitted document; remove all instructions and samples before release.</w:t>
      </w:r>
    </w:p>
    <w:p>
      <w:pPr>
        <w:pStyle w:val="BodyText"/>
      </w:pPr>
      <w:r>
        <w:t xml:space="preserve">Sections 1 through 6 follow the GEIA-HB-649 CMP structure. Section 7 and Appendix Q are additions: they cover the CM requirements that serve as barriers or mitigation controls against undesirable safety consequences. These are performed on all safety-significant product lines, or replaced by documented equivalent controls. Each safety barrier requirement is referenced by its EIA-649-1A clause number and requirement text (paraphrased; the governing text is the standard itself). Every row in Section 7 must be completed, and the traceability matrix in Appendix Q must be maintained under configuration control.</w:t>
      </w:r>
    </w:p>
    <w:bookmarkEnd w:id="20"/>
    <w:bookmarkStart w:id="21" w:name="signature-page"/>
    <w:p>
      <w:pPr>
        <w:pStyle w:val="Heading1"/>
      </w:pPr>
      <w:r>
        <w:rPr>
          <w:bCs/>
          <w:b/>
        </w:rPr>
        <w:t xml:space="preserve">Signature Page</w:t>
      </w:r>
    </w:p>
    <w:p>
      <w:pPr>
        <w:pStyle w:val="FirstParagraph"/>
      </w:pPr>
      <w:r>
        <w:t xml:space="preserve">NOTE: Three signatures recommended.</w:t>
      </w:r>
    </w:p>
    <w:p>
      <w:pPr>
        <w:pStyle w:val="BodyText"/>
      </w:pPr>
      <w:r>
        <w:rPr>
          <w:bCs/>
          <w:b/>
        </w:rPr>
        <w:t xml:space="preserve">OWNER:</w:t>
      </w:r>
    </w:p>
    <w:p>
      <w:r>
        <w:pict>
          <v:rect style="width:0;height:1.5pt" o:hralign="center" o:hrstd="t" o:hr="t"/>
        </w:pict>
      </w:r>
    </w:p>
    <w:p>
      <w:pPr>
        <w:pStyle w:val="FirstParagraph"/>
      </w:pPr>
      <w:r>
        <w:t xml:space="preserve">Configuration Manager,</w:t>
      </w:r>
      <w:r>
        <w:t xml:space="preserve"> </w:t>
      </w:r>
      <w:r>
        <w:t xml:space="preserve"> </w:t>
      </w:r>
      <w:r>
        <w:t xml:space="preserve">Date</w:t>
      </w:r>
    </w:p>
    <w:p>
      <w:pPr>
        <w:pStyle w:val="BodyText"/>
      </w:pPr>
      <w:r>
        <w:rPr>
          <w:bCs/>
          <w:b/>
        </w:rPr>
        <w:t xml:space="preserve">USER:</w:t>
      </w:r>
    </w:p>
    <w:p>
      <w:pPr>
        <w:pStyle w:val="BodyText"/>
      </w:pPr>
      <w:r>
        <w:rPr>
          <w:iCs/>
          <w:i/>
        </w:rPr>
        <w:t xml:space="preserve">&lt;</w:t>
      </w:r>
      <w:r>
        <w:rPr>
          <w:bCs/>
          <w:b/>
          <w:iCs/>
          <w:i/>
        </w:rPr>
        <w:t xml:space="preserve">Select a designated user from your organization that is jointly responsible to achieve consistent conformance and authorized to make CM business decisions, i.e. Project Manager, Systems Engineer, Deputy Program Manager</w:t>
      </w:r>
      <w:r>
        <w:rPr>
          <w:iCs/>
          <w:i/>
        </w:rPr>
        <w:t xml:space="preserve">&gt;</w:t>
      </w:r>
    </w:p>
    <w:p>
      <w:r>
        <w:pict>
          <v:rect style="width:0;height:1.5pt" o:hralign="center" o:hrstd="t" o:hr="t"/>
        </w:pict>
      </w:r>
    </w:p>
    <w:p>
      <w:pPr>
        <w:pStyle w:val="FirstParagraph"/>
      </w:pPr>
      <w:r>
        <w:t xml:space="preserve">,</w:t>
      </w:r>
    </w:p>
    <w:p>
      <w:pPr>
        <w:pStyle w:val="BodyText"/>
      </w:pPr>
      <w:r>
        <w:t xml:space="preserve">,</w:t>
      </w:r>
      <w:r>
        <w:t xml:space="preserve"> </w:t>
      </w:r>
      <w:r>
        <w:t xml:space="preserve"> </w:t>
      </w:r>
      <w:r>
        <w:t xml:space="preserve">Date</w:t>
      </w:r>
    </w:p>
    <w:p>
      <w:pPr>
        <w:pStyle w:val="BodyText"/>
      </w:pPr>
      <w:r>
        <w:rPr>
          <w:bCs/>
          <w:b/>
        </w:rPr>
        <w:t xml:space="preserve">APPROVER:</w:t>
      </w:r>
    </w:p>
    <w:p>
      <w:r>
        <w:pict>
          <v:rect style="width:0;height:1.5pt" o:hralign="center" o:hrstd="t" o:hr="t"/>
        </w:pict>
      </w:r>
    </w:p>
    <w:p>
      <w:pPr>
        <w:pStyle w:val="FirstParagraph"/>
      </w:pPr>
      <w:r>
        <w:t xml:space="preserve">Program Manager,</w:t>
      </w:r>
      <w:r>
        <w:t xml:space="preserve"> </w:t>
      </w:r>
      <w:r>
        <w:t xml:space="preserve"> </w:t>
      </w:r>
      <w:r>
        <w:t xml:space="preserve">Date</w:t>
      </w:r>
    </w:p>
    <w:bookmarkEnd w:id="21"/>
    <w:bookmarkStart w:id="22" w:name="change-record"/>
    <w:p>
      <w:pPr>
        <w:pStyle w:val="Heading1"/>
      </w:pPr>
      <w:r>
        <w:rPr>
          <w:bCs/>
          <w:b/>
        </w:rPr>
        <w:t xml:space="preserve">Change Record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Version.Revision</w:t>
            </w:r>
          </w:p>
        </w:tc>
        <w:tc>
          <w:tcPr/>
          <w:p>
            <w:pPr>
              <w:pStyle w:val="Compact"/>
              <w:jc w:val="left"/>
            </w:pPr>
            <w:r>
              <w:rPr>
                <w:bCs/>
                <w:b/>
              </w:rPr>
              <w:t xml:space="preserve">Date</w:t>
            </w:r>
          </w:p>
        </w:tc>
        <w:tc>
          <w:tcPr/>
          <w:p>
            <w:pPr>
              <w:pStyle w:val="Compact"/>
              <w:jc w:val="left"/>
            </w:pPr>
            <w:r>
              <w:rPr>
                <w:bCs/>
                <w:b/>
              </w:rPr>
              <w:t xml:space="preserve">Action Code</w:t>
            </w:r>
          </w:p>
        </w:tc>
        <w:tc>
          <w:tcPr/>
          <w:p>
            <w:pPr>
              <w:pStyle w:val="Compact"/>
              <w:jc w:val="left"/>
            </w:pPr>
            <w:r>
              <w:rPr>
                <w:bCs/>
                <w:b/>
              </w:rPr>
              <w:t xml:space="preserve">Description of Change</w:t>
            </w:r>
          </w:p>
        </w:tc>
        <w:tc>
          <w:tcPr/>
          <w:p>
            <w:pPr>
              <w:pStyle w:val="Compact"/>
              <w:jc w:val="left"/>
            </w:pPr>
            <w:r>
              <w:rPr>
                <w:bCs/>
                <w:b/>
              </w:rPr>
              <w:t xml:space="preserve">Change Request No.</w:t>
            </w:r>
            <w:r>
              <w:t xml:space="preserve">*</w:t>
            </w:r>
          </w:p>
        </w:tc>
        <w:tc>
          <w:tcPr/>
          <w:p>
            <w:pPr>
              <w:pStyle w:val="Compact"/>
              <w:jc w:val="left"/>
            </w:pPr>
            <w:r>
              <w:rPr>
                <w:bCs/>
                <w:b/>
              </w:rPr>
              <w:t xml:space="preserve">Changed By</w:t>
            </w:r>
          </w:p>
        </w:tc>
      </w:tr>
      <w:tr>
        <w:tc>
          <w:tcPr/>
          <w:p>
            <w:pPr>
              <w:pStyle w:val="Compact"/>
              <w:jc w:val="left"/>
            </w:pPr>
            <w:r>
              <w:rPr>
                <w:iCs/>
                <w:i/>
              </w:rPr>
              <w:t xml:space="preserve">&lt;</w:t>
            </w:r>
            <w:r>
              <w:rPr>
                <w:bCs/>
                <w:b/>
                <w:iCs/>
                <w:i/>
              </w:rPr>
              <w:t xml:space="preserve">version.revision</w:t>
            </w:r>
            <w:r>
              <w:rPr>
                <w:iCs/>
                <w:i/>
              </w:rPr>
              <w:t xml:space="preserve">&gt;</w:t>
            </w:r>
            <w:r>
              <w:t xml:space="preserve"> </w:t>
            </w:r>
            <w:r>
              <w:t xml:space="preserve">i.e. 00.01</w:t>
            </w:r>
          </w:p>
        </w:tc>
        <w:tc>
          <w:tcPr/>
          <w:p>
            <w:pPr>
              <w:pStyle w:val="Compact"/>
              <w:jc w:val="left"/>
            </w:pPr>
            <w:r>
              <w:rPr>
                <w:iCs/>
                <w:i/>
              </w:rPr>
              <w:t xml:space="preserve">&lt;</w:t>
            </w:r>
            <w:r>
              <w:rPr>
                <w:bCs/>
                <w:b/>
                <w:iCs/>
                <w:i/>
              </w:rPr>
              <w:t xml:space="preserve">date of change</w:t>
            </w:r>
            <w:r>
              <w:rPr>
                <w:iCs/>
                <w:i/>
              </w:rPr>
              <w:t xml:space="preserve">&gt;</w:t>
            </w:r>
          </w:p>
        </w:tc>
        <w:tc>
          <w:tcPr/>
          <w:p>
            <w:pPr>
              <w:pStyle w:val="Compact"/>
              <w:jc w:val="left"/>
            </w:pPr>
            <w:r>
              <w:rPr>
                <w:iCs/>
                <w:i/>
              </w:rPr>
              <w:t xml:space="preserve">&lt;</w:t>
            </w:r>
            <w:r>
              <w:rPr>
                <w:bCs/>
                <w:b/>
                <w:iCs/>
                <w:i/>
              </w:rPr>
              <w:t xml:space="preserve">A, C, D</w:t>
            </w:r>
            <w:r>
              <w:rPr>
                <w:iCs/>
                <w:i/>
              </w:rPr>
              <w:t xml:space="preserve">&gt;</w:t>
            </w:r>
          </w:p>
        </w:tc>
        <w:tc>
          <w:tcPr/>
          <w:p>
            <w:pPr>
              <w:pStyle w:val="Compact"/>
              <w:jc w:val="left"/>
            </w:pPr>
            <w:r>
              <w:rPr>
                <w:iCs/>
                <w:i/>
              </w:rPr>
              <w:t xml:space="preserve">&lt;</w:t>
            </w:r>
            <w:r>
              <w:rPr>
                <w:bCs/>
                <w:b/>
                <w:iCs/>
                <w:i/>
              </w:rPr>
              <w:t xml:space="preserve">Summary of change and sections affected</w:t>
            </w:r>
            <w:r>
              <w:rPr>
                <w:iCs/>
                <w:i/>
              </w:rPr>
              <w:t xml:space="preserve">&gt;</w:t>
            </w:r>
          </w:p>
        </w:tc>
        <w:tc>
          <w:tcPr/>
          <w:p>
            <w:pPr>
              <w:pStyle w:val="Compact"/>
              <w:jc w:val="left"/>
            </w:pPr>
            <w:r>
              <w:rPr>
                <w:iCs/>
                <w:i/>
              </w:rPr>
              <w:t xml:space="preserve">&lt;</w:t>
            </w:r>
            <w:r>
              <w:rPr>
                <w:bCs/>
                <w:b/>
                <w:iCs/>
                <w:i/>
              </w:rPr>
              <w:t xml:space="preserve">CR number</w:t>
            </w:r>
            <w:r>
              <w:rPr>
                <w:iCs/>
                <w:i/>
              </w:rPr>
              <w:t xml:space="preserve">&gt;</w:t>
            </w:r>
          </w:p>
        </w:tc>
        <w:tc>
          <w:tcPr/>
          <w:p>
            <w:pPr>
              <w:pStyle w:val="Compact"/>
              <w:jc w:val="left"/>
            </w:pPr>
            <w:r>
              <w:rPr>
                <w:iCs/>
                <w:i/>
              </w:rPr>
              <w:t xml:space="preserve">&lt;</w:t>
            </w:r>
            <w:r>
              <w:rPr>
                <w:bCs/>
                <w:b/>
                <w:iCs/>
                <w:i/>
              </w:rPr>
              <w:t xml:space="preserve">name</w:t>
            </w:r>
            <w:r>
              <w:rPr>
                <w:iCs/>
                <w:i/>
              </w:rPr>
              <w:t xml:space="preserve">&gt;</w:t>
            </w:r>
          </w:p>
        </w:tc>
      </w:tr>
    </w:tbl>
    <w:p>
      <w:pPr>
        <w:pStyle w:val="BodyText"/>
      </w:pPr>
      <w:r>
        <w:t xml:space="preserve">Action Code Legend: A – Add, C – Change, D – Delete. *Enter NR in the Change Request Number column for all draft documents.</w:t>
      </w:r>
    </w:p>
    <w:p>
      <w:pPr>
        <w:pStyle w:val="BodyText"/>
      </w:pPr>
      <w:r>
        <w:t xml:space="preserve">Please submit any comments or updates to the Configuration Manager</w:t>
      </w:r>
      <w:r>
        <w:t xml:space="preserve"> </w:t>
      </w:r>
      <w:r>
        <w:t xml:space="preserve"> </w:t>
      </w:r>
      <w:r>
        <w:t xml:space="preserve">at</w:t>
      </w:r>
      <w:r>
        <w:t xml:space="preserve"> </w:t>
      </w:r>
      <w:r>
        <w:t xml:space="preserve">,</w:t>
      </w:r>
      <w:r>
        <w:t xml:space="preserve"> </w:t>
      </w:r>
      <w:r>
        <w:t xml:space="preserve">.</w:t>
      </w:r>
    </w:p>
    <w:bookmarkEnd w:id="22"/>
    <w:bookmarkStart w:id="23" w:name="table-of-contents"/>
    <w:p>
      <w:pPr>
        <w:pStyle w:val="Heading1"/>
      </w:pPr>
      <w:r>
        <w:rPr>
          <w:bCs/>
          <w:b/>
        </w:rPr>
        <w:t xml:space="preserve">Table of Contents</w:t>
      </w:r>
    </w:p>
    <w:bookmarkEnd w:id="23"/>
    <w:bookmarkStart w:id="34" w:name="executive-summary"/>
    <w:p>
      <w:pPr>
        <w:pStyle w:val="Heading1"/>
      </w:pPr>
      <w:r>
        <w:rPr>
          <w:bCs/>
          <w:b/>
        </w:rPr>
        <w:t xml:space="preserve">1.0 Executive Summary</w:t>
      </w:r>
    </w:p>
    <w:bookmarkStart w:id="24" w:name="introduction"/>
    <w:p>
      <w:pPr>
        <w:pStyle w:val="Heading2"/>
      </w:pPr>
      <w:r>
        <w:rPr>
          <w:bCs/>
          <w:b/>
        </w:rPr>
        <w:t xml:space="preserve">1.1 Introduction</w:t>
      </w:r>
    </w:p>
    <w:p>
      <w:pPr>
        <w:pStyle w:val="FirstParagraph"/>
      </w:pPr>
      <w:r>
        <w:rPr>
          <w:iCs/>
          <w:i/>
        </w:rPr>
        <w:t xml:space="preserve">&lt;</w:t>
      </w:r>
      <w:r>
        <w:rPr>
          <w:bCs/>
          <w:b/>
          <w:iCs/>
          <w:i/>
        </w:rPr>
        <w:t xml:space="preserve">Provide a general idea of what this document is about and include a brief overview of how the CMP relates to the program or project</w:t>
      </w:r>
      <w:r>
        <w:rPr>
          <w:iCs/>
          <w:i/>
        </w:rPr>
        <w:t xml:space="preserve">&gt;</w:t>
      </w:r>
    </w:p>
    <w:p>
      <w:pPr>
        <w:pStyle w:val="BodyText"/>
      </w:pPr>
      <w:r>
        <w:t xml:space="preserve">i.e. This Configuration Management Plan (CMP) specifies the requirements for performing CM in Program XYZ. It assigns responsibilities, defines roles, and promulgates the approach to satisfying the requirements of the Life Cycle CM Organizational Standard Process and other higher-level CM requirements, including the safety barrier requirements in Section 7.</w:t>
      </w:r>
    </w:p>
    <w:bookmarkEnd w:id="24"/>
    <w:bookmarkStart w:id="25" w:name="scope"/>
    <w:p>
      <w:pPr>
        <w:pStyle w:val="Heading2"/>
      </w:pPr>
      <w:r>
        <w:rPr>
          <w:bCs/>
          <w:b/>
        </w:rPr>
        <w:t xml:space="preserve">1.2 Scope</w:t>
      </w:r>
    </w:p>
    <w:p>
      <w:pPr>
        <w:pStyle w:val="FirstParagraph"/>
      </w:pPr>
      <w:r>
        <w:rPr>
          <w:iCs/>
          <w:i/>
        </w:rPr>
        <w:t xml:space="preserve">&lt;</w:t>
      </w:r>
      <w:r>
        <w:rPr>
          <w:bCs/>
          <w:b/>
          <w:iCs/>
          <w:i/>
        </w:rPr>
        <w:t xml:space="preserve">Identify the program, the contract or agreement under which this CMP is delivered, and the systems and Configuration Items it governs. Then define the participants and stakeholders bound by this document.</w:t>
      </w:r>
      <w:r>
        <w:rPr>
          <w:iCs/>
          <w:i/>
        </w:rPr>
        <w:t xml:space="preserve">&gt;</w:t>
      </w:r>
    </w:p>
    <w:p>
      <w:pPr>
        <w:pStyle w:val="BodyText"/>
      </w:pPr>
      <w:r>
        <w:rPr>
          <w:iCs/>
          <w:i/>
        </w:rPr>
        <w:t xml:space="preserve">&lt;</w:t>
      </w:r>
      <w:r>
        <w:rPr>
          <w:bCs/>
          <w:b/>
          <w:iCs/>
          <w:i/>
        </w:rPr>
        <w:t xml:space="preserve">Program and contract identification: program/project name; contract or agreement number; CDRL or data item under which this CMP is delivered; the systems, end items, and Configuration Items governed. Where the CMP governs more than one contract or product line, state that explicitly.</w:t>
      </w:r>
      <w:r>
        <w:rPr>
          <w:iCs/>
          <w:i/>
        </w:rPr>
        <w:t xml:space="preserve">&gt;</w:t>
      </w:r>
    </w:p>
    <w:p>
      <w:pPr>
        <w:pStyle w:val="BodyText"/>
      </w:pPr>
      <w:r>
        <w:t xml:space="preserve">i.e. This CMP is delivered under Contract</w:t>
      </w:r>
      <w:r>
        <w:t xml:space="preserve"> </w:t>
      </w:r>
      <w:r>
        <w:t xml:space="preserve">, CDRL</w:t>
      </w:r>
      <w:r>
        <w:t xml:space="preserve"> </w:t>
      </w:r>
      <w:r>
        <w:t xml:space="preserve">. It governs the</w:t>
      </w:r>
      <w:r>
        <w:t xml:space="preserve"> </w:t>
      </w:r>
      <w:r>
        <w:t xml:space="preserve"> </w:t>
      </w:r>
      <w:r>
        <w:t xml:space="preserve">and all Configuration Items listed in Appendix U.</w:t>
      </w:r>
    </w:p>
    <w:p>
      <w:pPr>
        <w:pStyle w:val="BodyText"/>
      </w:pPr>
      <w:r>
        <w:t xml:space="preserve">i.e. The CMP is mandatory for use by all support personnel. Contractors/suppliers, whether industry or government, shall comply with the guidance set forth in this plan when delivering end-items or documents for inclusion into any programs, products, or platforms within the technical baseline. The requirements apply to all phases of the lifecycle including installation and disposal.</w:t>
      </w:r>
    </w:p>
    <w:bookmarkEnd w:id="25"/>
    <w:bookmarkStart w:id="26" w:name="purpose"/>
    <w:p>
      <w:pPr>
        <w:pStyle w:val="Heading2"/>
      </w:pPr>
      <w:r>
        <w:rPr>
          <w:bCs/>
          <w:b/>
        </w:rPr>
        <w:t xml:space="preserve">1.3 Purpose</w:t>
      </w:r>
    </w:p>
    <w:p>
      <w:pPr>
        <w:pStyle w:val="FirstParagraph"/>
      </w:pPr>
      <w:r>
        <w:rPr>
          <w:iCs/>
          <w:i/>
        </w:rPr>
        <w:t xml:space="preserve">&lt;</w:t>
      </w:r>
      <w:r>
        <w:rPr>
          <w:bCs/>
          <w:b/>
          <w:iCs/>
          <w:i/>
        </w:rPr>
        <w:t xml:space="preserve">Define the desired results intended</w:t>
      </w:r>
      <w:r>
        <w:rPr>
          <w:iCs/>
          <w:i/>
        </w:rPr>
        <w:t xml:space="preserve">&gt;</w:t>
      </w:r>
    </w:p>
    <w:p>
      <w:pPr>
        <w:pStyle w:val="BodyText"/>
      </w:pPr>
      <w:r>
        <w:t xml:space="preserve">i.e. The purpose of the CMP is to describe how configuration management will be conducted throughout the project lifecycle: how CM is managed, roles and responsibilities, how configuration item (CI) changes are made, and how all aspects of CM are communicated to stakeholders.</w:t>
      </w:r>
    </w:p>
    <w:bookmarkEnd w:id="26"/>
    <w:bookmarkStart w:id="29" w:name="Xe63d36066d6d3b6b4d5863973d967c7525c9e74"/>
    <w:p>
      <w:pPr>
        <w:pStyle w:val="Heading2"/>
      </w:pPr>
      <w:r>
        <w:rPr>
          <w:bCs/>
          <w:b/>
        </w:rPr>
        <w:t xml:space="preserve">1.4 CM Requirements Serving as Safety Barriers</w:t>
      </w:r>
    </w:p>
    <w:p>
      <w:pPr>
        <w:pStyle w:val="FirstParagraph"/>
      </w:pPr>
      <w:r>
        <w:t xml:space="preserve">This CMP identifies the CM requirements that serve as barriers or mitigation controls against undesirable safety consequences. Each is a discrete EIA-649-1A</w:t>
      </w:r>
      <w:r>
        <w:t xml:space="preserve"> </w:t>
      </w:r>
      <w:r>
        <w:t xml:space="preserve">“</w:t>
      </w:r>
      <w:r>
        <w:t xml:space="preserve">shall</w:t>
      </w:r>
      <w:r>
        <w:t xml:space="preserve">”</w:t>
      </w:r>
      <w:r>
        <w:t xml:space="preserve"> </w:t>
      </w:r>
      <w:r>
        <w:t xml:space="preserve">statement traceable to the hazard it controls. These requirements are performed on all safety-significant product lines, or are satisfied by documented equivalent controls. Principle statements (CCM-, CSA-, CI-, CVA-) in EIA-649-1A are non-normative rationale and are not included. Each safety barrier requirement carries one of three inclusion categories: Clean (applies as written), Judgment (application requires documented organizational judgment), or Conditional (applies only when the stated condition exists). No other category is used; any requirement not marked Judgment or Conditional is Clean. Section 7 states how each is implemented; Appendix Q provides the full traceability matrix to barriers and the hazards they control.</w:t>
      </w:r>
    </w:p>
    <w:p>
      <w:pPr>
        <w:pStyle w:val="BodyText"/>
      </w:pPr>
      <w:r>
        <w:rPr>
          <w:iCs/>
          <w:i/>
        </w:rPr>
        <w:t xml:space="preserve">&lt;</w:t>
      </w:r>
      <w:r>
        <w:rPr>
          <w:bCs/>
          <w:b/>
          <w:iCs/>
          <w:i/>
        </w:rPr>
        <w:t xml:space="preserve">State the safety-significant product lines to which these requirements apply in your organization, and identify the authority that approves any documented equivalent control</w:t>
      </w:r>
      <w:r>
        <w:rPr>
          <w:iCs/>
          <w:i/>
        </w:rPr>
        <w:t xml:space="preserve">&gt;</w:t>
      </w:r>
    </w:p>
    <w:p>
      <w:pPr>
        <w:pStyle w:val="BodyText"/>
      </w:pPr>
      <w:r>
        <w:t xml:space="preserve">The disposition record — the per-requirement determination that each safety barrier requirement is performed, replaced by a documented equivalent control, or formally risk-accepted, together with its evidence or risk-acceptance reference, its health check, and its sign-off — is maintained as structured, queryable records outside this document. Appendix Q is the static traceability baseline; the disposition record is the living compliance evidence. A disposition record kept only as a table inside this plan cannot be queried, and the organizational coverage measures cannot be computed from it.</w:t>
      </w:r>
    </w:p>
    <w:p>
      <w:pPr>
        <w:pStyle w:val="BodyText"/>
      </w:pPr>
      <w:r>
        <w:rPr>
          <w:iCs/>
          <w:i/>
          <w:bCs/>
          <w:b/>
        </w:rPr>
        <w:t xml:space="preserve">&lt;</w:t>
      </w:r>
      <w:r>
        <w:rPr>
          <w:iCs/>
          <w:i/>
          <w:bCs/>
          <w:b/>
        </w:rPr>
        <w:t xml:space="preserve">Identify where the disposition record is maintained, its owner, the health check cadence, and the authority that approves each documented equivalent control and each risk acceptance.</w:t>
      </w:r>
      <w:r>
        <w:rPr>
          <w:iCs/>
          <w:i/>
          <w:bCs/>
          <w:b/>
        </w:rPr>
        <w:t xml:space="preserve">&gt;</w:t>
      </w:r>
    </w:p>
    <w:bookmarkStart w:id="27" w:name="basis-for-performance"/>
    <w:p>
      <w:pPr>
        <w:pStyle w:val="Heading3"/>
      </w:pPr>
      <w:r>
        <w:rPr>
          <w:bCs/>
          <w:b/>
        </w:rPr>
        <w:t xml:space="preserve">1.4.1 Basis for Performance</w:t>
      </w:r>
    </w:p>
    <w:p>
      <w:pPr>
        <w:pStyle w:val="FirstParagraph"/>
      </w:pPr>
      <w:r>
        <w:t xml:space="preserve">These requirements are performed because each one controls an identified hazard. Each requirement in Section 7 carries one of three dispositions on this program:</w:t>
      </w:r>
    </w:p>
    <w:p>
      <w:pPr>
        <w:numPr>
          <w:ilvl w:val="0"/>
          <w:numId w:val="1001"/>
        </w:numPr>
      </w:pPr>
      <w:r>
        <w:rPr>
          <w:bCs/>
          <w:b/>
        </w:rPr>
        <w:t xml:space="preserve">Performed</w:t>
      </w:r>
      <w:r>
        <w:t xml:space="preserve"> </w:t>
      </w:r>
      <w:r>
        <w:t xml:space="preserve">— the requirement is executed as written, and the implementation is stated in Section 7.</w:t>
      </w:r>
    </w:p>
    <w:p>
      <w:pPr>
        <w:numPr>
          <w:ilvl w:val="0"/>
          <w:numId w:val="1001"/>
        </w:numPr>
      </w:pPr>
      <w:r>
        <w:rPr>
          <w:bCs/>
          <w:b/>
        </w:rPr>
        <w:t xml:space="preserve">Documented equivalent control</w:t>
      </w:r>
      <w:r>
        <w:t xml:space="preserve"> </w:t>
      </w:r>
      <w:r>
        <w:t xml:space="preserve">— an alternative process satisfies the requirement, validated independently as achieving the same hazard control and meeting the criteria in 1.4.2.</w:t>
      </w:r>
    </w:p>
    <w:p>
      <w:pPr>
        <w:numPr>
          <w:ilvl w:val="0"/>
          <w:numId w:val="1001"/>
        </w:numPr>
      </w:pPr>
      <w:r>
        <w:rPr>
          <w:bCs/>
          <w:b/>
        </w:rPr>
        <w:t xml:space="preserve">Risk acceptance</w:t>
      </w:r>
      <w:r>
        <w:t xml:space="preserve"> </w:t>
      </w:r>
      <w:r>
        <w:t xml:space="preserve">— the requirement is not performed and no equivalent control is established. The residual risk of the hazard it controls is validated independently and accepted by the authority empowered to accept that risk under the organization’s safety risk management process — not by the CM organization, the contracts function, or a program tailoring determination.</w:t>
      </w:r>
    </w:p>
    <w:p>
      <w:pPr>
        <w:pStyle w:val="FirstParagraph"/>
      </w:pPr>
      <w:r>
        <w:t xml:space="preserve">For requirements dispositioned as performed or as equivalent control, a health check is recorded stating how the continued effectiveness of the control is monitored across the program life cycle. A control that is present but degraded is a finding, not a satisfied requirement.</w:t>
      </w:r>
    </w:p>
    <w:p>
      <w:pPr>
        <w:pStyle w:val="BodyText"/>
      </w:pPr>
      <w:r>
        <w:t xml:space="preserve">Requirements tailored or excluded by the contract are dispositioned the same way: the contractual position and the safety disposition are recorded separately, and neither substitutes for the other.</w:t>
      </w:r>
    </w:p>
    <w:p>
      <w:pPr>
        <w:pStyle w:val="BodyText"/>
      </w:pPr>
      <w:r>
        <w:t xml:space="preserve">Dispositions are re-examined at each revision of this CMP and whenever the tailoring basis changes.</w:t>
      </w:r>
    </w:p>
    <w:p>
      <w:pPr>
        <w:pStyle w:val="BodyText"/>
      </w:pPr>
      <w:r>
        <w:rPr>
          <w:iCs/>
          <w:i/>
        </w:rPr>
        <w:t xml:space="preserve">&lt;</w:t>
      </w:r>
      <w:r>
        <w:rPr>
          <w:bCs/>
          <w:b/>
          <w:iCs/>
          <w:i/>
        </w:rPr>
        <w:t xml:space="preserve">Name the organizational safety risk management process through which risk acceptances are routed, the authority that performs the independent validation for equivalent controls and risk acceptances, and the record in which each disposition and health check is captured.</w:t>
      </w:r>
      <w:r>
        <w:rPr>
          <w:iCs/>
          <w:i/>
        </w:rPr>
        <w:t xml:space="preserve">&gt;</w:t>
      </w:r>
    </w:p>
    <w:bookmarkEnd w:id="27"/>
    <w:bookmarkStart w:id="28" w:name="documented-equivalent-controls"/>
    <w:p>
      <w:pPr>
        <w:pStyle w:val="Heading3"/>
      </w:pPr>
      <w:r>
        <w:rPr>
          <w:bCs/>
          <w:b/>
        </w:rPr>
        <w:t xml:space="preserve">1.4.2 Documented Equivalent Controls</w:t>
      </w:r>
    </w:p>
    <w:p>
      <w:pPr>
        <w:pStyle w:val="FirstParagraph"/>
      </w:pPr>
      <w:r>
        <w:t xml:space="preserve">Where a requirement in Section 7 is satisfied by an alternative process rather than as written, that alternative is a documented equivalent control. An alternative qualifies only where all three of the following hold:</w:t>
      </w:r>
    </w:p>
    <w:p>
      <w:pPr>
        <w:numPr>
          <w:ilvl w:val="0"/>
          <w:numId w:val="1002"/>
        </w:numPr>
      </w:pPr>
      <w:r>
        <w:t xml:space="preserve">It controls the same hazard with equal or greater rigour. Where it achieves less, the shortfall is accepted residual risk and is routed per 1.4.1.</w:t>
      </w:r>
    </w:p>
    <w:p>
      <w:pPr>
        <w:numPr>
          <w:ilvl w:val="0"/>
          <w:numId w:val="1002"/>
        </w:numPr>
      </w:pPr>
      <w:r>
        <w:t xml:space="preserve">It is auditable against recognised criteria. An equivalence that cannot be evidenced to an auditor is not established.</w:t>
      </w:r>
    </w:p>
    <w:p>
      <w:pPr>
        <w:numPr>
          <w:ilvl w:val="0"/>
          <w:numId w:val="1002"/>
        </w:numPr>
      </w:pPr>
      <w:r>
        <w:t xml:space="preserve">The equivalence is asserted in writing before it is relied upon — which alternative satisfies which hazard, on what evidence — rather than reconstructed when challenged.</w:t>
      </w:r>
    </w:p>
    <w:p>
      <w:pPr>
        <w:pStyle w:val="FirstParagraph"/>
      </w:pPr>
      <w:r>
        <w:rPr>
          <w:iCs/>
          <w:i/>
        </w:rPr>
        <w:t xml:space="preserve">&lt;</w:t>
      </w:r>
      <w:r>
        <w:rPr>
          <w:bCs/>
          <w:b/>
          <w:iCs/>
          <w:i/>
        </w:rPr>
        <w:t xml:space="preserve">State the approval authority for equivalent controls and where the written equivalence assertions are held. Cite the specific assertion in the Section 7 Implementation cell for every requirement satisfied this way.</w:t>
      </w:r>
      <w:r>
        <w:rPr>
          <w:iCs/>
          <w:i/>
        </w:rPr>
        <w:t xml:space="preserve">&gt;</w:t>
      </w:r>
    </w:p>
    <w:bookmarkEnd w:id="28"/>
    <w:bookmarkEnd w:id="29"/>
    <w:bookmarkStart w:id="33" w:name="X01740fde745ad604ddec0bc98a9bc495581a412"/>
    <w:p>
      <w:pPr>
        <w:pStyle w:val="Heading2"/>
      </w:pPr>
      <w:r>
        <w:rPr>
          <w:bCs/>
          <w:b/>
        </w:rPr>
        <w:t xml:space="preserve">1.5 Applicable Documents, Contract Requirements and Tailoring</w:t>
      </w:r>
    </w:p>
    <w:p>
      <w:pPr>
        <w:pStyle w:val="FirstParagraph"/>
      </w:pPr>
      <w:r>
        <w:rPr>
          <w:iCs/>
          <w:i/>
        </w:rPr>
        <w:t xml:space="preserve">&lt;</w:t>
      </w:r>
      <w:r>
        <w:rPr>
          <w:bCs/>
          <w:b/>
          <w:iCs/>
          <w:i/>
        </w:rPr>
        <w:t xml:space="preserve">This section establishes what this CMP commits to. Complete it before the body sections are written; the tailoring disposition determines which requirements the rest of the plan must address.</w:t>
      </w:r>
      <w:r>
        <w:rPr>
          <w:iCs/>
          <w:i/>
        </w:rPr>
        <w:t xml:space="preserve">&gt;</w:t>
      </w:r>
    </w:p>
    <w:bookmarkStart w:id="30" w:name="contract-cm-requirements"/>
    <w:p>
      <w:pPr>
        <w:pStyle w:val="Heading3"/>
      </w:pPr>
      <w:r>
        <w:rPr>
          <w:bCs/>
          <w:b/>
        </w:rPr>
        <w:t xml:space="preserve">1.5.1 Contract CM Requirements</w:t>
      </w:r>
    </w:p>
    <w:p>
      <w:pPr>
        <w:pStyle w:val="FirstParagraph"/>
      </w:pPr>
      <w:r>
        <w:rPr>
          <w:iCs/>
          <w:i/>
        </w:rPr>
        <w:t xml:space="preserve">&lt;</w:t>
      </w:r>
      <w:r>
        <w:rPr>
          <w:bCs/>
          <w:b/>
          <w:iCs/>
          <w:i/>
        </w:rPr>
        <w:t xml:space="preserve">State the CM requirements imposed by the contract: the CM standard invoked and its revision, the contract clauses and SOW paragraphs that impose CM obligations, applicable CDRLs and their data item descriptions, and any Acquirer-specific CM requirements imposed outside the standard. EIA-649-1A 3.1(1) obligates the Supplier to comply with CM requirements as tailored in the contract; this subsection records what that tailoring is.</w:t>
      </w:r>
      <w:r>
        <w:rPr>
          <w:iCs/>
          <w:i/>
        </w:rPr>
        <w:t xml:space="preserve">&gt;</w:t>
      </w:r>
    </w:p>
    <w:p>
      <w:pPr>
        <w:pStyle w:val="BodyText"/>
      </w:pPr>
      <w:r>
        <w:t xml:space="preserve">i.e. CM requirements are imposed by Contract</w:t>
      </w:r>
      <w:r>
        <w:t xml:space="preserve"> </w:t>
      </w:r>
      <w:r>
        <w:t xml:space="preserve">, SOW paragraph &lt;x.y&gt;, invoking SAE EIA-649-1A as tailored in Attachment</w:t>
      </w:r>
      <w:r>
        <w:t xml:space="preserve"> </w:t>
      </w:r>
      <w:r>
        <w:t xml:space="preserve">. CM data is delivered under CDRL</w:t>
      </w:r>
      <w:r>
        <w:t xml:space="preserve"> </w:t>
      </w:r>
      <w:r>
        <w:t xml:space="preserve">.</w:t>
      </w:r>
    </w:p>
    <w:bookmarkEnd w:id="30"/>
    <w:bookmarkStart w:id="31" w:name="tailoring-disposition"/>
    <w:p>
      <w:pPr>
        <w:pStyle w:val="Heading3"/>
      </w:pPr>
      <w:r>
        <w:rPr>
          <w:bCs/>
          <w:b/>
        </w:rPr>
        <w:t xml:space="preserve">1.5.2 Tailoring Disposition</w:t>
      </w:r>
    </w:p>
    <w:p>
      <w:pPr>
        <w:pStyle w:val="FirstParagraph"/>
      </w:pPr>
      <w:r>
        <w:rPr>
          <w:iCs/>
          <w:i/>
        </w:rPr>
        <w:t xml:space="preserve">&lt;</w:t>
      </w:r>
      <w:r>
        <w:rPr>
          <w:bCs/>
          <w:b/>
          <w:iCs/>
          <w:i/>
        </w:rPr>
        <w:t xml:space="preserve">Record the disposition of the EIA-649-1 Annex A Tailoring Worksheet for this program: which requirements are invoked as written, which are tailored and how, and which are not invoked. Where a requirement is tailored out or modified by the contract but is also identified in Section 7 as a safety barrier requirement, state the safety disposition separately per 1.4.1 — a contractual exclusion is not a safety disposition.</w:t>
      </w:r>
      <w:r>
        <w:rPr>
          <w:iCs/>
          <w:i/>
        </w:rPr>
        <w:t xml:space="preserve">&gt;</w:t>
      </w:r>
    </w:p>
    <w:p>
      <w:pPr>
        <w:pStyle w:val="BodyText"/>
      </w:pPr>
      <w:r>
        <w:rPr>
          <w:iCs/>
          <w:i/>
        </w:rPr>
        <w:t xml:space="preserve">&lt;</w:t>
      </w:r>
      <w:r>
        <w:rPr>
          <w:bCs/>
          <w:b/>
          <w:iCs/>
          <w:i/>
        </w:rPr>
        <w:t xml:space="preserve">Record the product context on which the tailoring rationale rests: product requirements (performance, operations, maintenance and support, regulatory, industry-specific, legal and process standards); life cycle environment (phases on contract, expected product life, geographic markets, operational extremes, operating system and runtime dependencies for software, operation and repair facilities, production rate and volume); and complexity (integration with other products, number of suppliers, number of parts and assemblies, lines of source code, number and complexity of interfaces, multiple programming languages). Tailoring is appropriate to this context — sufficient control without over-burden.</w:t>
      </w:r>
      <w:r>
        <w:rPr>
          <w:iCs/>
          <w:i/>
        </w:rPr>
        <w:t xml:space="preserve">&gt;</w:t>
      </w:r>
    </w:p>
    <w:p>
      <w:pPr>
        <w:pStyle w:val="BodyText"/>
      </w:pPr>
      <w:r>
        <w:rPr>
          <w:iCs/>
          <w:i/>
        </w:rPr>
        <w:t xml:space="preserve">&lt;</w:t>
      </w:r>
      <w:r>
        <w:rPr>
          <w:bCs/>
          <w:b/>
          <w:iCs/>
          <w:i/>
        </w:rPr>
        <w:t xml:space="preserve">State affirmatively any standard commonly expected on programs of this type that is NOT invoked, with the basis. An unexplained omission reads as an oversight; a stated non-invocation reads as a decision. For example, where product decomposition is specification- and model-based rather than work-breakdown-based, state that MIL-STD-881 is not invoked and identify the decomposition bases used (see 2.3).</w:t>
      </w:r>
      <w:r>
        <w:rPr>
          <w:iCs/>
          <w:i/>
        </w:rPr>
        <w:t xml:space="preserve">&gt;</w:t>
      </w:r>
    </w:p>
    <w:bookmarkEnd w:id="31"/>
    <w:bookmarkStart w:id="32" w:name="relationship-to-other-program-plans"/>
    <w:p>
      <w:pPr>
        <w:pStyle w:val="Heading3"/>
      </w:pPr>
      <w:r>
        <w:rPr>
          <w:bCs/>
          <w:b/>
        </w:rPr>
        <w:t xml:space="preserve">1.5.3 Relationship to Other Program Plans</w:t>
      </w:r>
    </w:p>
    <w:p>
      <w:pPr>
        <w:pStyle w:val="FirstParagraph"/>
      </w:pPr>
      <w:r>
        <w:rPr>
          <w:iCs/>
          <w:i/>
        </w:rPr>
        <w:t xml:space="preserve">&lt;</w:t>
      </w:r>
      <w:r>
        <w:rPr>
          <w:bCs/>
          <w:b/>
          <w:iCs/>
          <w:i/>
        </w:rPr>
        <w:t xml:space="preserve">Identify the program plans this CMP interfaces with and state the relationship in each case — which plan governs where they overlap, and how consistency is maintained. Consider at minimum: the Systems Engineering Management Plan, the Statement of Work, the Integrated Master Plan and Integrated Master Schedule, the Quality Management System, the Safety Management System, and the software development plan where one exists.</w:t>
      </w:r>
      <w:r>
        <w:rPr>
          <w:iCs/>
          <w:i/>
        </w:rPr>
        <w:t xml:space="preserve">&gt;</w:t>
      </w:r>
    </w:p>
    <w:p>
      <w:pPr>
        <w:pStyle w:val="BodyText"/>
      </w:pPr>
      <w:r>
        <w:rPr>
          <w:iCs/>
          <w:i/>
        </w:rPr>
        <w:t xml:space="preserve">&lt;</w:t>
      </w:r>
      <w:r>
        <w:rPr>
          <w:bCs/>
          <w:b/>
          <w:iCs/>
          <w:i/>
        </w:rPr>
        <w:t xml:space="preserve">Two interfaces require specific treatment: configuration audit schedules must be established in consonance with the IMS and approved by the Acquirer (EIA-649-1A 3.5.1(1)(d)); and PCA entry and exit criteria may be determined through acceptance of the SEMP. State how each is coordinated.</w:t>
      </w:r>
      <w:r>
        <w:rPr>
          <w:iCs/>
          <w:i/>
        </w:rPr>
        <w:t xml:space="preserve">&gt;</w:t>
      </w:r>
    </w:p>
    <w:p>
      <w:pPr>
        <w:pStyle w:val="BodyText"/>
      </w:pPr>
      <w:r>
        <w:t xml:space="preserve">i.e. Where this CMP and the SEMP address the same activity, the SEMP governs the technical review structure and this CMP governs the configuration control applied at each review.</w:t>
      </w:r>
    </w:p>
    <w:bookmarkEnd w:id="32"/>
    <w:bookmarkEnd w:id="33"/>
    <w:bookmarkEnd w:id="34"/>
    <w:bookmarkStart w:id="105" w:name="X847763634cb15f0f877ed7e3c4b522f9cef7f89"/>
    <w:p>
      <w:pPr>
        <w:pStyle w:val="Heading1"/>
      </w:pPr>
      <w:r>
        <w:rPr>
          <w:bCs/>
          <w:b/>
        </w:rPr>
        <w:t xml:space="preserve">2.0 Configuration Management Functions &amp;</w:t>
      </w:r>
      <w:r>
        <w:t xml:space="preserve">** Principles**</w:t>
      </w:r>
    </w:p>
    <w:bookmarkStart w:id="38" w:name="configuration-management"/>
    <w:p>
      <w:pPr>
        <w:pStyle w:val="Heading2"/>
      </w:pPr>
      <w:r>
        <w:rPr>
          <w:bCs/>
          <w:b/>
        </w:rPr>
        <w:t xml:space="preserve">2.1 Configuration Management</w:t>
      </w:r>
    </w:p>
    <w:bookmarkStart w:id="35" w:name="function"/>
    <w:p>
      <w:pPr>
        <w:pStyle w:val="Heading3"/>
      </w:pPr>
      <w:r>
        <w:rPr>
          <w:bCs/>
          <w:b/>
        </w:rPr>
        <w:t xml:space="preserve">2.1.1 Function</w:t>
      </w:r>
    </w:p>
    <w:p>
      <w:pPr>
        <w:pStyle w:val="FirstParagraph"/>
      </w:pPr>
      <w:r>
        <w:t xml:space="preserve">A disciplined process that provides a common and structured approach necessary to minimize variation in establishing and maintaining consistency between a product or service function, requirements, performance, physical attributes and its design and operational information, applying management and planning, configuration identification, configuration control, configuration status accounting, and configuration verification and audit functions in a closed-loop process throughout its life cycle.</w:t>
      </w:r>
    </w:p>
    <w:bookmarkEnd w:id="35"/>
    <w:bookmarkStart w:id="36" w:name="principle"/>
    <w:p>
      <w:pPr>
        <w:pStyle w:val="Heading3"/>
      </w:pPr>
      <w:r>
        <w:rPr>
          <w:bCs/>
          <w:b/>
        </w:rPr>
        <w:t xml:space="preserve">2.1.2 Principle</w:t>
      </w:r>
    </w:p>
    <w:p>
      <w:pPr>
        <w:pStyle w:val="FirstParagraph"/>
      </w:pPr>
      <w:r>
        <w:t xml:space="preserve">Configuration Management implementation requires a balanced and continuous application of CM functions and their underlying principles throughout the life cycle.</w:t>
      </w:r>
    </w:p>
    <w:bookmarkEnd w:id="36"/>
    <w:bookmarkStart w:id="37" w:name="activity"/>
    <w:p>
      <w:pPr>
        <w:pStyle w:val="Heading3"/>
      </w:pPr>
      <w:r>
        <w:rPr>
          <w:bCs/>
          <w:b/>
        </w:rPr>
        <w:t xml:space="preserve">2.1.3 Activity</w:t>
      </w:r>
    </w:p>
    <w:p>
      <w:pPr>
        <w:pStyle w:val="FirstParagraph"/>
      </w:pPr>
      <w:r>
        <w:rPr>
          <w:iCs/>
          <w:i/>
        </w:rPr>
        <w:t xml:space="preserve">&lt;</w:t>
      </w:r>
      <w:r>
        <w:rPr>
          <w:bCs/>
          <w:b/>
          <w:iCs/>
          <w:i/>
        </w:rPr>
        <w:t xml:space="preserve">Provide an overview description of how Configuration Management relates to the program/project and how it will be implemented</w:t>
      </w:r>
      <w:r>
        <w:rPr>
          <w:iCs/>
          <w:i/>
        </w:rPr>
        <w:t xml:space="preserve">&gt;</w:t>
      </w:r>
    </w:p>
    <w:p>
      <w:pPr>
        <w:pStyle w:val="BodyText"/>
      </w:pPr>
      <w:r>
        <w:t xml:space="preserve">i.e. All five CM functions will be incorporated to ensure a standard approach is used to implement the CM process. This section provides overarching guidance for each CM function.</w:t>
      </w:r>
    </w:p>
    <w:bookmarkEnd w:id="37"/>
    <w:bookmarkEnd w:id="38"/>
    <w:bookmarkStart w:id="47" w:name="configuration-management-planning"/>
    <w:p>
      <w:pPr>
        <w:pStyle w:val="Heading2"/>
      </w:pPr>
      <w:r>
        <w:rPr>
          <w:bCs/>
          <w:b/>
        </w:rPr>
        <w:t xml:space="preserve">2.2 Configuration Management &amp;</w:t>
      </w:r>
      <w:r>
        <w:t xml:space="preserve">** Planning**</w:t>
      </w:r>
    </w:p>
    <w:bookmarkStart w:id="39" w:name="function-1"/>
    <w:p>
      <w:pPr>
        <w:pStyle w:val="Heading3"/>
      </w:pPr>
      <w:r>
        <w:rPr>
          <w:bCs/>
          <w:b/>
        </w:rPr>
        <w:t xml:space="preserve">2.2.1 Function</w:t>
      </w:r>
    </w:p>
    <w:p>
      <w:pPr>
        <w:pStyle w:val="FirstParagraph"/>
      </w:pPr>
      <w:r>
        <w:t xml:space="preserve">A planned, established, and managed repeatable process that is applied across all CM pillar functions, documented in a CM Plan that includes continuous improvement in all phases of a life cycle for processes, products and services.</w:t>
      </w:r>
    </w:p>
    <w:bookmarkEnd w:id="39"/>
    <w:bookmarkStart w:id="40" w:name="principle-1"/>
    <w:p>
      <w:pPr>
        <w:pStyle w:val="Heading3"/>
      </w:pPr>
      <w:r>
        <w:rPr>
          <w:bCs/>
          <w:b/>
        </w:rPr>
        <w:t xml:space="preserve">2.2.2 Principle</w:t>
      </w:r>
    </w:p>
    <w:p>
      <w:pPr>
        <w:pStyle w:val="FirstParagraph"/>
      </w:pPr>
      <w:r>
        <w:t xml:space="preserve">The organization will implement CM throughout the applicable phases of the life cycle to provide consistency among the product, platform, requirements, information, and the contractors/suppliers. Training and periodic assessment of the effectiveness of CM procedures and tools and of compliance with the CMP maintains the health of the CM process.</w:t>
      </w:r>
    </w:p>
    <w:bookmarkEnd w:id="40"/>
    <w:bookmarkStart w:id="41" w:name="activity-1"/>
    <w:p>
      <w:pPr>
        <w:pStyle w:val="Heading3"/>
      </w:pPr>
      <w:r>
        <w:rPr>
          <w:bCs/>
          <w:b/>
        </w:rPr>
        <w:t xml:space="preserve">2.2.3 Activity</w:t>
      </w:r>
    </w:p>
    <w:p>
      <w:pPr>
        <w:pStyle w:val="FirstParagraph"/>
      </w:pPr>
      <w:r>
        <w:rPr>
          <w:iCs/>
          <w:i/>
        </w:rPr>
        <w:t xml:space="preserve">&lt;</w:t>
      </w:r>
      <w:r>
        <w:rPr>
          <w:bCs/>
          <w:b/>
          <w:iCs/>
          <w:i/>
        </w:rPr>
        <w:t xml:space="preserve">Provide an overview description of how Configuration Management</w:t>
      </w:r>
      <w:r>
        <w:rPr>
          <w:bCs/>
          <w:b/>
          <w:iCs/>
          <w:i/>
        </w:rPr>
        <w:t xml:space="preserve"> </w:t>
      </w:r>
      <w:r>
        <w:rPr>
          <w:iCs/>
          <w:i/>
        </w:rPr>
        <w:t xml:space="preserve">&amp;</w:t>
      </w:r>
      <w:r>
        <w:rPr>
          <w:bCs/>
          <w:b/>
          <w:iCs/>
          <w:i/>
        </w:rPr>
        <w:t xml:space="preserve"> </w:t>
      </w:r>
      <w:r>
        <w:rPr>
          <w:bCs/>
          <w:b/>
          <w:iCs/>
          <w:i/>
        </w:rPr>
        <w:t xml:space="preserve">Planning relates to the program/project and how it will be implemented</w:t>
      </w:r>
      <w:r>
        <w:rPr>
          <w:iCs/>
          <w:i/>
        </w:rPr>
        <w:t xml:space="preserve">&gt;</w:t>
      </w:r>
    </w:p>
    <w:p>
      <w:pPr>
        <w:pStyle w:val="BodyText"/>
      </w:pPr>
      <w:r>
        <w:t xml:space="preserve">i.e. The CM process is documented throughout this plan. Continuous improvements are included as part of the periodic update cycle.</w:t>
      </w:r>
    </w:p>
    <w:p>
      <w:pPr>
        <w:pStyle w:val="BodyText"/>
      </w:pPr>
      <w:r>
        <w:rPr>
          <w:iCs/>
          <w:i/>
          <w:bCs/>
          <w:b/>
        </w:rPr>
        <w:t xml:space="preserve">&lt;</w:t>
      </w:r>
      <w:r>
        <w:rPr>
          <w:iCs/>
          <w:i/>
          <w:bCs/>
          <w:b/>
        </w:rPr>
        <w:t xml:space="preserve">Describe the CM performance measurement methodology: which enterprise-standard measures are reported (these are mandatory and comparable across programs), which additional program-specific measures are selected, and for each measure the organization whose activity is measured, the numerator and denominator, the system the data is drawn from, the reporting frequency, and the threshold. Where a measure depends on a review or signature, state what that signature attests — that review occurred, or that content is adequate — before the measure is first reported.</w:t>
      </w:r>
      <w:r>
        <w:rPr>
          <w:iCs/>
          <w:i/>
          <w:bCs/>
          <w:b/>
        </w:rPr>
        <w:t xml:space="preserve">&gt;</w:t>
      </w:r>
    </w:p>
    <w:p>
      <w:pPr>
        <w:pStyle w:val="BodyText"/>
      </w:pPr>
      <w:r>
        <w:t xml:space="preserve">i.e. Enterprise-standard CM measures are reported monthly per the organizational standard process.</w:t>
      </w:r>
    </w:p>
    <w:p>
      <w:pPr>
        <w:pStyle w:val="BodyText"/>
      </w:pPr>
      <w:r>
        <w:rPr>
          <w:iCs/>
          <w:i/>
        </w:rPr>
        <w:t xml:space="preserve">&lt;</w:t>
      </w:r>
      <w:r>
        <w:rPr>
          <w:bCs/>
          <w:b/>
          <w:iCs/>
          <w:i/>
        </w:rPr>
        <w:t xml:space="preserve">State how CM performance data is made available to the Acquirer — the mechanism (CDRL submission, portal or shared repository access, program review forum), the frequency, and who authorises release. EIA-649-1A 3.1.1(2) requires the data be made available; stating the methodology alone does not satisfy it.</w:t>
      </w:r>
      <w:r>
        <w:rPr>
          <w:iCs/>
          <w:i/>
        </w:rPr>
        <w:t xml:space="preserve">&gt;</w:t>
      </w:r>
    </w:p>
    <w:p>
      <w:pPr>
        <w:pStyle w:val="BodyText"/>
      </w:pPr>
      <w:r>
        <w:rPr>
          <w:iCs/>
          <w:i/>
        </w:rPr>
        <w:t xml:space="preserve">&lt;</w:t>
      </w:r>
      <w:r>
        <w:rPr>
          <w:bCs/>
          <w:b/>
          <w:iCs/>
          <w:i/>
        </w:rPr>
        <w:t xml:space="preserve">Where measures are in force for the establishment of a CM function — coverage across the program portfolio, or backlog burn-down — identify them and state the point at which each retires. A measure that saturates at full coverage has done its work; one that never saturates indicates the function is not maturing.</w:t>
      </w:r>
      <w:r>
        <w:rPr>
          <w:iCs/>
          <w:i/>
        </w:rPr>
        <w:t xml:space="preserve">&gt;</w:t>
      </w:r>
    </w:p>
    <w:p>
      <w:pPr>
        <w:pStyle w:val="BodyText"/>
      </w:pPr>
      <w:r>
        <w:rPr>
          <w:iCs/>
          <w:i/>
        </w:rPr>
        <w:t xml:space="preserve">&lt;</w:t>
      </w:r>
      <w:r>
        <w:rPr>
          <w:bCs/>
          <w:b/>
          <w:iCs/>
          <w:i/>
        </w:rPr>
        <w:t xml:space="preserve">Where the organization elects to report any of the measures suggested in EIA-649-1A 3.1.1 — open changes and variances awaiting Acquirer disposition, closed Supplier changes and variances, minor and major change/variance counts, change processing cycle time, average days open, percentage of change/variance requests by category, and change request rejection rate with reasons — identify them here alongside the enterprise-standard set.</w:t>
      </w:r>
      <w:r>
        <w:rPr>
          <w:iCs/>
          <w:i/>
        </w:rPr>
        <w:t xml:space="preserve">&gt;</w:t>
      </w:r>
    </w:p>
    <w:bookmarkEnd w:id="41"/>
    <w:bookmarkStart w:id="42" w:name="cm-objectives-and-level-of-cm-activity"/>
    <w:p>
      <w:pPr>
        <w:pStyle w:val="Heading3"/>
      </w:pPr>
      <w:r>
        <w:rPr>
          <w:bCs/>
          <w:b/>
        </w:rPr>
        <w:t xml:space="preserve">2.2.4 CM Objectives and Level of CM Activity</w:t>
      </w:r>
    </w:p>
    <w:p>
      <w:pPr>
        <w:pStyle w:val="FirstParagraph"/>
      </w:pPr>
      <w:r>
        <w:rPr>
          <w:iCs/>
          <w:i/>
        </w:rPr>
        <w:t xml:space="preserve">&lt;</w:t>
      </w:r>
      <w:r>
        <w:rPr>
          <w:bCs/>
          <w:b/>
          <w:iCs/>
          <w:i/>
        </w:rPr>
        <w:t xml:space="preserve">State the objectives of the CM program on this program, and the objective of each applicable CM element (configuration identification, change management, status accounting, verification and audit, and the planning and management function itself). An objective states what the element is intended to achieve on this program — not what the element is. The Function and Principle statements above are definitions; they are not objectives.</w:t>
      </w:r>
      <w:r>
        <w:rPr>
          <w:iCs/>
          <w:i/>
        </w:rPr>
        <w:t xml:space="preserve">&gt;</w:t>
      </w:r>
    </w:p>
    <w:p>
      <w:pPr>
        <w:pStyle w:val="BodyText"/>
      </w:pPr>
      <w:r>
        <w:t xml:space="preserve">i.e. The objective of configuration identification on this program is that every delivered end item can be traced to the approved configuration documentation that defines it, at any point in the life cycle, without reconstruction from manufacturing records.</w:t>
      </w:r>
    </w:p>
    <w:p>
      <w:pPr>
        <w:pStyle w:val="BodyText"/>
      </w:pPr>
      <w:r>
        <w:rPr>
          <w:iCs/>
          <w:i/>
        </w:rPr>
        <w:t xml:space="preserve">&lt;</w:t>
      </w:r>
      <w:r>
        <w:rPr>
          <w:bCs/>
          <w:b/>
          <w:iCs/>
          <w:i/>
        </w:rPr>
        <w:t xml:space="preserve">State the appropriate level of CM activity for each CM function across the life cycle: the degree of formality and the depth of control applied in each phase, and the events at which control tightens. Where control is deliberately lighter in early phases, state the basis and the point at which it increases. Use the table below or an equivalent presentation.</w:t>
      </w:r>
      <w:r>
        <w:rPr>
          <w:iCs/>
          <w:i/>
        </w:rPr>
        <w:t xml:space="preserve">&gt;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CM Function</w:t>
            </w:r>
          </w:p>
        </w:tc>
        <w:tc>
          <w:tcPr/>
          <w:p>
            <w:pPr>
              <w:pStyle w:val="Compact"/>
              <w:jc w:val="left"/>
            </w:pPr>
            <w:r>
              <w:rPr>
                <w:bCs/>
                <w:b/>
              </w:rPr>
              <w:t xml:space="preserve">Pre-baseline phases</w:t>
            </w:r>
          </w:p>
        </w:tc>
        <w:tc>
          <w:tcPr/>
          <w:p>
            <w:pPr>
              <w:pStyle w:val="Compact"/>
              <w:jc w:val="left"/>
            </w:pPr>
            <w:r>
              <w:rPr>
                <w:bCs/>
                <w:b/>
              </w:rPr>
              <w:t xml:space="preserve">Development</w:t>
            </w:r>
          </w:p>
        </w:tc>
        <w:tc>
          <w:tcPr/>
          <w:p>
            <w:pPr>
              <w:pStyle w:val="Compact"/>
              <w:jc w:val="left"/>
            </w:pPr>
            <w:r>
              <w:rPr>
                <w:bCs/>
                <w:b/>
              </w:rPr>
              <w:t xml:space="preserve">Production</w:t>
            </w:r>
          </w:p>
        </w:tc>
        <w:tc>
          <w:tcPr/>
          <w:p>
            <w:pPr>
              <w:pStyle w:val="Compact"/>
              <w:jc w:val="left"/>
            </w:pPr>
            <w:r>
              <w:rPr>
                <w:bCs/>
                <w:b/>
              </w:rPr>
              <w:t xml:space="preserve">Sustainment</w:t>
            </w:r>
          </w:p>
        </w:tc>
        <w:tc>
          <w:tcPr/>
          <w:p>
            <w:pPr>
              <w:pStyle w:val="Compact"/>
              <w:jc w:val="left"/>
            </w:pPr>
            <w:r>
              <w:rPr>
                <w:bCs/>
                <w:b/>
              </w:rPr>
              <w:t xml:space="preserve">Event(s) at which control tightens</w:t>
            </w:r>
          </w:p>
        </w:tc>
      </w:tr>
      <w:tr>
        <w:tc>
          <w:tcPr/>
          <w:p>
            <w:pPr>
              <w:pStyle w:val="Compact"/>
              <w:jc w:val="left"/>
            </w:pPr>
            <w:r>
              <w:t xml:space="preserve">Configuration Identification</w:t>
            </w:r>
          </w:p>
        </w:tc>
        <w:tc>
          <w:tcPr/>
          <w:p>
            <w:pPr>
              <w:pStyle w:val="Compact"/>
              <w:jc w:val="left"/>
            </w:pPr>
            <w:r>
              <w:rPr>
                <w:iCs/>
                <w:i/>
              </w:rPr>
              <w:t xml:space="preserve">&lt;</w:t>
            </w:r>
            <w:r>
              <w:rPr>
                <w:bCs/>
                <w:b/>
                <w:iCs/>
                <w:i/>
              </w:rPr>
              <w:t xml:space="preserve">degree of formality and depth of control</w:t>
            </w:r>
            <w:r>
              <w:rPr>
                <w:iCs/>
                <w:i/>
              </w:rPr>
              <w:t xml:space="preserve">&gt;</w:t>
            </w:r>
          </w:p>
        </w:tc>
        <w:tc>
          <w:tcPr/>
          <w:p>
            <w:pPr>
              <w:pStyle w:val="Compact"/>
            </w:pPr>
          </w:p>
        </w:tc>
        <w:tc>
          <w:tcPr/>
          <w:p>
            <w:pPr>
              <w:pStyle w:val="Compact"/>
            </w:pPr>
          </w:p>
        </w:tc>
        <w:tc>
          <w:tcPr/>
          <w:p>
            <w:pPr>
              <w:pStyle w:val="Compact"/>
            </w:pPr>
          </w:p>
        </w:tc>
        <w:tc>
          <w:tcPr/>
          <w:p>
            <w:pPr>
              <w:pStyle w:val="Compact"/>
              <w:jc w:val="left"/>
            </w:pPr>
            <w:r>
              <w:rPr>
                <w:iCs/>
                <w:i/>
              </w:rPr>
              <w:t xml:space="preserve">&lt;</w:t>
            </w:r>
            <w:r>
              <w:rPr>
                <w:bCs/>
                <w:b/>
                <w:iCs/>
                <w:i/>
              </w:rPr>
              <w:t xml:space="preserve">e.g. baseline establishment, technical review</w:t>
            </w:r>
            <w:r>
              <w:rPr>
                <w:iCs/>
                <w:i/>
              </w:rPr>
              <w:t xml:space="preserve">&gt;</w:t>
            </w:r>
          </w:p>
        </w:tc>
      </w:tr>
      <w:tr>
        <w:tc>
          <w:tcPr/>
          <w:p>
            <w:pPr>
              <w:pStyle w:val="Compact"/>
              <w:jc w:val="left"/>
            </w:pPr>
            <w:r>
              <w:t xml:space="preserve">Configuration Change Management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Configuration Status Accounting</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Configuration Verification &amp; Audit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CM Planning &amp; Management</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iCs/>
          <w:i/>
        </w:rPr>
        <w:t xml:space="preserve">&lt;</w:t>
      </w:r>
      <w:r>
        <w:rPr>
          <w:bCs/>
          <w:b/>
          <w:iCs/>
          <w:i/>
        </w:rPr>
        <w:t xml:space="preserve">Level of CM activity is not the same as the phase task lists in Section 5. Section 5 states what is done in each phase; this table states how tightly it is controlled and why.</w:t>
      </w:r>
      <w:r>
        <w:rPr>
          <w:iCs/>
          <w:i/>
        </w:rPr>
        <w:t xml:space="preserve">&gt;</w:t>
      </w:r>
    </w:p>
    <w:bookmarkEnd w:id="42"/>
    <w:bookmarkStart w:id="43" w:name="cm-resources"/>
    <w:p>
      <w:pPr>
        <w:pStyle w:val="Heading3"/>
      </w:pPr>
      <w:r>
        <w:rPr>
          <w:bCs/>
          <w:b/>
        </w:rPr>
        <w:t xml:space="preserve">2.2.5 CM Resources</w:t>
      </w:r>
    </w:p>
    <w:p>
      <w:pPr>
        <w:pStyle w:val="FirstParagraph"/>
      </w:pPr>
      <w:r>
        <w:rPr>
          <w:iCs/>
          <w:i/>
        </w:rPr>
        <w:t xml:space="preserve">&lt;</w:t>
      </w:r>
      <w:r>
        <w:rPr>
          <w:bCs/>
          <w:b/>
          <w:iCs/>
          <w:i/>
        </w:rPr>
        <w:t xml:space="preserve">Identify the CM resources applied to this program: tools, techniques, training, and methodologies. Address each of the categories below. EIA-649-1A 3.1(1)(e) requires resources to be defined in CM planning; naming a tool alone does not satisfy it.</w:t>
      </w:r>
      <w:r>
        <w:rPr>
          <w:iCs/>
          <w:i/>
        </w:rPr>
        <w:t xml:space="preserve">&gt;</w:t>
      </w:r>
    </w:p>
    <w:p>
      <w:pPr>
        <w:pStyle w:val="BodyText"/>
      </w:pPr>
      <w:r>
        <w:rPr>
          <w:iCs/>
          <w:i/>
        </w:rPr>
        <w:t xml:space="preserve">&lt;</w:t>
      </w:r>
      <w:r>
        <w:rPr>
          <w:bCs/>
          <w:b/>
          <w:iCs/>
          <w:i/>
        </w:rPr>
        <w:t xml:space="preserve">Tools and information systems: the CM system of record, the change management system, the product data or lifecycle management system, and any analysis or reporting tooling. State which system is authoritative for each class of configuration information, and identify any tool used for analysis that is not a system of record.</w:t>
      </w:r>
      <w:r>
        <w:rPr>
          <w:iCs/>
          <w:i/>
        </w:rPr>
        <w:t xml:space="preserve">&gt;</w:t>
      </w:r>
    </w:p>
    <w:p>
      <w:pPr>
        <w:pStyle w:val="BodyText"/>
      </w:pPr>
      <w:r>
        <w:rPr>
          <w:iCs/>
          <w:i/>
        </w:rPr>
        <w:t xml:space="preserve">&lt;</w:t>
      </w:r>
      <w:r>
        <w:rPr>
          <w:bCs/>
          <w:b/>
          <w:iCs/>
          <w:i/>
        </w:rPr>
        <w:t xml:space="preserve">Techniques and methodologies: the documented methods applied — for example the change impact assessment method, the audit method, the CI selection method — and where each is documented.</w:t>
      </w:r>
      <w:r>
        <w:rPr>
          <w:iCs/>
          <w:i/>
        </w:rPr>
        <w:t xml:space="preserve">&gt;</w:t>
      </w:r>
    </w:p>
    <w:p>
      <w:pPr>
        <w:pStyle w:val="BodyText"/>
      </w:pPr>
      <w:r>
        <w:rPr>
          <w:iCs/>
          <w:i/>
        </w:rPr>
        <w:t xml:space="preserve">&lt;</w:t>
      </w:r>
      <w:r>
        <w:rPr>
          <w:bCs/>
          <w:b/>
          <w:iCs/>
          <w:i/>
        </w:rPr>
        <w:t xml:space="preserve">Personnel: the level of effort by skill or role required to execute the CM activity levels stated in 2.2.4. Where CM effort is shared with other functions, state the split.</w:t>
      </w:r>
      <w:r>
        <w:rPr>
          <w:iCs/>
          <w:i/>
        </w:rPr>
        <w:t xml:space="preserve">&gt;</w:t>
      </w:r>
    </w:p>
    <w:p>
      <w:pPr>
        <w:pStyle w:val="BodyText"/>
      </w:pPr>
      <w:r>
        <w:rPr>
          <w:iCs/>
          <w:i/>
        </w:rPr>
        <w:t xml:space="preserve">&lt;</w:t>
      </w:r>
      <w:r>
        <w:rPr>
          <w:bCs/>
          <w:b/>
          <w:iCs/>
          <w:i/>
        </w:rPr>
        <w:t xml:space="preserve">Facilities: any facilities required for CM execution, including audit and repository facilities, and any Acquirer access arrangements they support.</w:t>
      </w:r>
      <w:r>
        <w:rPr>
          <w:iCs/>
          <w:i/>
        </w:rPr>
        <w:t xml:space="preserve">&gt;</w:t>
      </w:r>
    </w:p>
    <w:p>
      <w:pPr>
        <w:pStyle w:val="BodyText"/>
      </w:pPr>
      <w:r>
        <w:rPr>
          <w:iCs/>
          <w:i/>
        </w:rPr>
        <w:t xml:space="preserve">&lt;</w:t>
      </w:r>
      <w:r>
        <w:rPr>
          <w:bCs/>
          <w:b/>
          <w:iCs/>
          <w:i/>
        </w:rPr>
        <w:t xml:space="preserve">Training: the CM training programme — topics, target personnel, frequency, and how completion is recorded. State how the training assures that individuals understand their responsibility, authority, and accountability, and the procedures for performing CM, rather than only that training was delivered. Reference the training plan in Appendix A; summarise it here.</w:t>
      </w:r>
      <w:r>
        <w:rPr>
          <w:iCs/>
          <w:i/>
        </w:rPr>
        <w:t xml:space="preserve">&gt;</w:t>
      </w:r>
    </w:p>
    <w:p>
      <w:pPr>
        <w:pStyle w:val="BodyText"/>
      </w:pPr>
      <w:r>
        <w:t xml:space="preserve">i.e. CM training is delivered at onboarding and refreshed annually. Role-specific modules are assigned by the responsibilities recorded in Section 4.1. Completion is recorded in the organizational learning management system and is a prerequisite for change authority.</w:t>
      </w:r>
    </w:p>
    <w:bookmarkEnd w:id="43"/>
    <w:bookmarkStart w:id="44" w:name="Xf8eb9074509de37d8857e7511cff327136bb2ce"/>
    <w:p>
      <w:pPr>
        <w:pStyle w:val="Heading3"/>
      </w:pPr>
      <w:r>
        <w:rPr>
          <w:bCs/>
          <w:b/>
        </w:rPr>
        <w:t xml:space="preserve">2.2.6 CM Documentation Hierarchy and Process Coverage</w:t>
      </w:r>
    </w:p>
    <w:p>
      <w:pPr>
        <w:pStyle w:val="FirstParagraph"/>
      </w:pPr>
      <w:r>
        <w:rPr>
          <w:iCs/>
          <w:i/>
        </w:rPr>
        <w:t xml:space="preserve">&lt;</w:t>
      </w:r>
      <w:r>
        <w:rPr>
          <w:bCs/>
          <w:b/>
          <w:iCs/>
          <w:i/>
        </w:rPr>
        <w:t xml:space="preserve">State where this CMP sits in the organizational CM documentation hierarchy and what governs above and below it: Level I policy and directives; Level II — this CMP, defining the tailored CM capability for each of the five CM functions; Level III process documents, at least one per CM function; and Level IV work procedures instructing practitioners in specific steps. State that a change at any level is evaluated for impact at the levels below.</w:t>
      </w:r>
      <w:r>
        <w:rPr>
          <w:iCs/>
          <w:i/>
        </w:rPr>
        <w:t xml:space="preserve">&gt;</w:t>
      </w:r>
    </w:p>
    <w:p>
      <w:pPr>
        <w:pStyle w:val="BodyText"/>
      </w:pPr>
      <w:r>
        <w:rPr>
          <w:iCs/>
          <w:i/>
        </w:rPr>
        <w:t xml:space="preserve">&lt;</w:t>
      </w:r>
      <w:r>
        <w:rPr>
          <w:bCs/>
          <w:b/>
          <w:iCs/>
          <w:i/>
        </w:rPr>
        <w:t xml:space="preserve">Identify the supporting artifacts that aid execution — decision guides, decision aids and interactive tools, registers, logs, templates and training curricula — and state that a supporting artifact never substitutes for a process requirement, and that where a guide and its parent process differ, the process governs.</w:t>
      </w:r>
      <w:r>
        <w:rPr>
          <w:iCs/>
          <w:i/>
        </w:rPr>
        <w:t xml:space="preserve">&gt;</w:t>
      </w:r>
    </w:p>
    <w:p>
      <w:pPr>
        <w:pStyle w:val="BodyText"/>
      </w:pPr>
      <w:r>
        <w:rPr>
          <w:iCs/>
          <w:i/>
        </w:rPr>
        <w:t xml:space="preserve">&lt;</w:t>
      </w:r>
      <w:r>
        <w:rPr>
          <w:bCs/>
          <w:b/>
          <w:iCs/>
          <w:i/>
        </w:rPr>
        <w:t xml:space="preserve">State process coverage honestly, function by function. For each of the five CM functions, identify the Level III process document that performs it. Where a function is not yet covered by its own process document, state the interim mechanism by which that function’s requirements — including the safety barrier requirements within it — are performed and dispositioned, together with the planned date for the process document. Complete the table below.</w:t>
      </w:r>
      <w:r>
        <w:rPr>
          <w:iCs/>
          <w:i/>
        </w:rPr>
        <w:t xml:space="preserve">&gt;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CM function</w:t>
            </w:r>
          </w:p>
        </w:tc>
        <w:tc>
          <w:tcPr/>
          <w:p>
            <w:pPr>
              <w:pStyle w:val="Compact"/>
              <w:jc w:val="left"/>
            </w:pPr>
            <w:r>
              <w:rPr>
                <w:bCs/>
                <w:b/>
              </w:rPr>
              <w:t xml:space="preserve">Level III process document</w:t>
            </w:r>
          </w:p>
        </w:tc>
        <w:tc>
          <w:tcPr/>
          <w:p>
            <w:pPr>
              <w:pStyle w:val="Compact"/>
              <w:jc w:val="left"/>
            </w:pPr>
            <w:r>
              <w:rPr>
                <w:bCs/>
                <w:b/>
              </w:rPr>
              <w:t xml:space="preserve">Interim mechanism where not covered</w:t>
            </w:r>
          </w:p>
        </w:tc>
        <w:tc>
          <w:tcPr/>
          <w:p>
            <w:pPr>
              <w:pStyle w:val="Compact"/>
              <w:jc w:val="left"/>
            </w:pPr>
            <w:r>
              <w:rPr>
                <w:bCs/>
                <w:b/>
              </w:rPr>
              <w:t xml:space="preserve">Planned process date</w:t>
            </w:r>
          </w:p>
        </w:tc>
      </w:tr>
      <w:tr>
        <w:tc>
          <w:tcPr/>
          <w:p>
            <w:pPr>
              <w:pStyle w:val="Compact"/>
              <w:jc w:val="left"/>
            </w:pPr>
            <w:r>
              <w:t xml:space="preserve">CM planning and management</w:t>
            </w:r>
          </w:p>
        </w:tc>
        <w:tc>
          <w:tcPr/>
          <w:p>
            <w:pPr>
              <w:pStyle w:val="Compact"/>
              <w:jc w:val="left"/>
            </w:pPr>
            <w:r>
              <w:rPr>
                <w:iCs/>
                <w:i/>
              </w:rPr>
              <w:t xml:space="preserve">&lt;</w:t>
            </w:r>
            <w:r>
              <w:rPr>
                <w:bCs/>
                <w:b/>
                <w:iCs/>
                <w:i/>
              </w:rPr>
              <w:t xml:space="preserve"> </w:t>
            </w:r>
            <w:r>
              <w:rPr>
                <w:iCs/>
                <w:i/>
              </w:rPr>
              <w:t xml:space="preserve">&gt;</w:t>
            </w:r>
          </w:p>
        </w:tc>
        <w:tc>
          <w:tcPr/>
          <w:p>
            <w:pPr>
              <w:pStyle w:val="Compact"/>
            </w:pPr>
          </w:p>
        </w:tc>
        <w:tc>
          <w:tcPr/>
          <w:p>
            <w:pPr>
              <w:pStyle w:val="Compact"/>
            </w:pPr>
          </w:p>
        </w:tc>
      </w:tr>
      <w:tr>
        <w:tc>
          <w:tcPr/>
          <w:p>
            <w:pPr>
              <w:pStyle w:val="Compact"/>
              <w:jc w:val="left"/>
            </w:pPr>
            <w:r>
              <w:t xml:space="preserve">Configuration identification</w:t>
            </w:r>
          </w:p>
        </w:tc>
        <w:tc>
          <w:tcPr/>
          <w:p>
            <w:pPr>
              <w:pStyle w:val="Compact"/>
            </w:pPr>
          </w:p>
        </w:tc>
        <w:tc>
          <w:tcPr/>
          <w:p>
            <w:pPr>
              <w:pStyle w:val="Compact"/>
            </w:pPr>
          </w:p>
        </w:tc>
        <w:tc>
          <w:tcPr/>
          <w:p>
            <w:pPr>
              <w:pStyle w:val="Compact"/>
            </w:pPr>
          </w:p>
        </w:tc>
      </w:tr>
      <w:tr>
        <w:tc>
          <w:tcPr/>
          <w:p>
            <w:pPr>
              <w:pStyle w:val="Compact"/>
              <w:jc w:val="left"/>
            </w:pPr>
            <w:r>
              <w:t xml:space="preserve">Configuration change management</w:t>
            </w:r>
          </w:p>
        </w:tc>
        <w:tc>
          <w:tcPr/>
          <w:p>
            <w:pPr>
              <w:pStyle w:val="Compact"/>
            </w:pPr>
          </w:p>
        </w:tc>
        <w:tc>
          <w:tcPr/>
          <w:p>
            <w:pPr>
              <w:pStyle w:val="Compact"/>
            </w:pPr>
          </w:p>
        </w:tc>
        <w:tc>
          <w:tcPr/>
          <w:p>
            <w:pPr>
              <w:pStyle w:val="Compact"/>
            </w:pPr>
          </w:p>
        </w:tc>
      </w:tr>
      <w:tr>
        <w:tc>
          <w:tcPr/>
          <w:p>
            <w:pPr>
              <w:pStyle w:val="Compact"/>
              <w:jc w:val="left"/>
            </w:pPr>
            <w:r>
              <w:t xml:space="preserve">Configuration status accounting</w:t>
            </w:r>
          </w:p>
        </w:tc>
        <w:tc>
          <w:tcPr/>
          <w:p>
            <w:pPr>
              <w:pStyle w:val="Compact"/>
            </w:pPr>
          </w:p>
        </w:tc>
        <w:tc>
          <w:tcPr/>
          <w:p>
            <w:pPr>
              <w:pStyle w:val="Compact"/>
            </w:pPr>
          </w:p>
        </w:tc>
        <w:tc>
          <w:tcPr/>
          <w:p>
            <w:pPr>
              <w:pStyle w:val="Compact"/>
            </w:pPr>
          </w:p>
        </w:tc>
      </w:tr>
      <w:tr>
        <w:tc>
          <w:tcPr/>
          <w:p>
            <w:pPr>
              <w:pStyle w:val="Compact"/>
              <w:jc w:val="left"/>
            </w:pPr>
            <w:r>
              <w:t xml:space="preserve">Configuration verification and audit</w:t>
            </w:r>
          </w:p>
        </w:tc>
        <w:tc>
          <w:tcPr/>
          <w:p>
            <w:pPr>
              <w:pStyle w:val="Compact"/>
            </w:pPr>
          </w:p>
        </w:tc>
        <w:tc>
          <w:tcPr/>
          <w:p>
            <w:pPr>
              <w:pStyle w:val="Compact"/>
            </w:pPr>
          </w:p>
        </w:tc>
        <w:tc>
          <w:tcPr/>
          <w:p>
            <w:pPr>
              <w:pStyle w:val="Compact"/>
            </w:pPr>
          </w:p>
        </w:tc>
      </w:tr>
    </w:tbl>
    <w:p>
      <w:pPr>
        <w:pStyle w:val="BodyText"/>
      </w:pPr>
      <w:r>
        <w:rPr>
          <w:iCs/>
          <w:i/>
        </w:rPr>
        <w:t xml:space="preserve">&lt;</w:t>
      </w:r>
      <w:r>
        <w:rPr>
          <w:bCs/>
          <w:b/>
          <w:iCs/>
          <w:i/>
        </w:rPr>
        <w:t xml:space="preserve">A CMP that implies process coverage the organization does not have converts a capability gap into a documented nonconformance. Where the interim mechanism is this CMP itself — that is, where the relevant Section 2 subsections are the only documented statement of how the function is performed — state that plainly rather than citing a process document that does not exist.</w:t>
      </w:r>
      <w:r>
        <w:rPr>
          <w:iCs/>
          <w:i/>
        </w:rPr>
        <w:t xml:space="preserve">&gt;</w:t>
      </w:r>
    </w:p>
    <w:bookmarkEnd w:id="44"/>
    <w:bookmarkStart w:id="45" w:name="cm-tools"/>
    <w:p>
      <w:pPr>
        <w:pStyle w:val="Heading3"/>
      </w:pPr>
      <w:r>
        <w:rPr>
          <w:bCs/>
          <w:b/>
        </w:rPr>
        <w:t xml:space="preserve">2.2.7 CM Tools</w:t>
      </w:r>
    </w:p>
    <w:p>
      <w:pPr>
        <w:pStyle w:val="FirstParagraph"/>
      </w:pPr>
      <w:r>
        <w:rPr>
          <w:iCs/>
          <w:i/>
        </w:rPr>
        <w:t xml:space="preserve">&lt;</w:t>
      </w:r>
      <w:r>
        <w:rPr>
          <w:bCs/>
          <w:b/>
          <w:iCs/>
          <w:i/>
        </w:rPr>
        <w:t xml:space="preserve">Identify the tools by name. The organizational process documents are tool-agnostic; this CMP is where the tools are named. State the product lifecycle or product data management application, the MBSE modelling environment, the CSA system, the change management system, and any reconciliation or analysis tooling. For each, state which configuration information it holds and which obligations it satisfies — see 2.5.4 and 2.5.5 for the system-of-record distinction.</w:t>
      </w:r>
      <w:r>
        <w:rPr>
          <w:iCs/>
          <w:i/>
        </w:rPr>
        <w:t xml:space="preserve">&gt;</w:t>
      </w:r>
    </w:p>
    <w:p>
      <w:pPr>
        <w:pStyle w:val="BodyText"/>
      </w:pPr>
      <w:r>
        <w:rPr>
          <w:iCs/>
          <w:i/>
        </w:rPr>
        <w:t xml:space="preserve">&lt;</w:t>
      </w:r>
      <w:r>
        <w:rPr>
          <w:bCs/>
          <w:b/>
          <w:iCs/>
          <w:i/>
        </w:rPr>
        <w:t xml:space="preserve">State that CM participates in tool selection and tailoring so that the tool serves the data collection process rather than driving it.</w:t>
      </w:r>
      <w:r>
        <w:rPr>
          <w:iCs/>
          <w:i/>
        </w:rPr>
        <w:t xml:space="preserve">&gt;</w:t>
      </w:r>
    </w:p>
    <w:bookmarkEnd w:id="45"/>
    <w:bookmarkStart w:id="46" w:name="cm-process-assessment-and-improvement"/>
    <w:p>
      <w:pPr>
        <w:pStyle w:val="Heading3"/>
      </w:pPr>
      <w:r>
        <w:rPr>
          <w:bCs/>
          <w:b/>
        </w:rPr>
        <w:t xml:space="preserve">2.2.8 CM Process Assessment and Improvement</w:t>
      </w:r>
    </w:p>
    <w:p>
      <w:pPr>
        <w:pStyle w:val="FirstParagraph"/>
      </w:pPr>
      <w:r>
        <w:rPr>
          <w:iCs/>
          <w:i/>
        </w:rPr>
        <w:t xml:space="preserve">&lt;</w:t>
      </w:r>
      <w:r>
        <w:rPr>
          <w:bCs/>
          <w:b/>
          <w:iCs/>
          <w:i/>
        </w:rPr>
        <w:t xml:space="preserve">Describe how the effectiveness of CM procedures and tools, and compliance with this CMP, is periodically assessed; the assessment cadence; who performs it; and how findings are dispositioned. State whether assessments are conducted with Acquirer oversight and whether the results are agreed by both parties.</w:t>
      </w:r>
      <w:r>
        <w:rPr>
          <w:iCs/>
          <w:i/>
        </w:rPr>
        <w:t xml:space="preserve">&gt;</w:t>
      </w:r>
    </w:p>
    <w:p>
      <w:pPr>
        <w:pStyle w:val="BodyText"/>
      </w:pPr>
      <w:r>
        <w:rPr>
          <w:iCs/>
          <w:i/>
        </w:rPr>
        <w:t xml:space="preserve">&lt;</w:t>
      </w:r>
      <w:r>
        <w:rPr>
          <w:bCs/>
          <w:b/>
          <w:iCs/>
          <w:i/>
        </w:rPr>
        <w:t xml:space="preserve">Describe the improvement loop: how the measures in 2.2.3 are analysed to identify adverse trends, how a trend becomes a corrective action, who owns the action, and how the corrective action is verified as effective rather than merely closed. A measure that is reported but never acts on anything is not a performance measurement methodology.</w:t>
      </w:r>
      <w:r>
        <w:rPr>
          <w:iCs/>
          <w:i/>
        </w:rPr>
        <w:t xml:space="preserve">&gt;</w:t>
      </w:r>
    </w:p>
    <w:p>
      <w:pPr>
        <w:pStyle w:val="BodyText"/>
      </w:pPr>
      <w:r>
        <w:rPr>
          <w:iCs/>
          <w:i/>
        </w:rPr>
        <w:t xml:space="preserve">&lt;</w:t>
      </w:r>
      <w:r>
        <w:rPr>
          <w:bCs/>
          <w:b/>
          <w:iCs/>
          <w:i/>
        </w:rPr>
        <w:t xml:space="preserve">Describe how lessons learned are captured and fed back into CM planning — at minimum from configuration audit findings, status accounting analysis, and process assessments — and identify where they are recorded and who reviews them at CMP revision.</w:t>
      </w:r>
      <w:r>
        <w:rPr>
          <w:iCs/>
          <w:i/>
        </w:rPr>
        <w:t xml:space="preserve">&gt;</w:t>
      </w:r>
    </w:p>
    <w:p>
      <w:pPr>
        <w:pStyle w:val="BodyText"/>
      </w:pPr>
      <w:r>
        <w:t xml:space="preserve">i.e. Lessons learned from FCA and PCA findings are recorded against the responsible CM function and reviewed at each CMP revision; those affecting more than one program are raised to the CM Technical Process Owner for incorporation into the organizational standard process.</w:t>
      </w:r>
    </w:p>
    <w:bookmarkEnd w:id="46"/>
    <w:bookmarkEnd w:id="47"/>
    <w:bookmarkStart w:id="61" w:name="configuration-identification"/>
    <w:p>
      <w:pPr>
        <w:pStyle w:val="Heading2"/>
      </w:pPr>
      <w:r>
        <w:rPr>
          <w:bCs/>
          <w:b/>
        </w:rPr>
        <w:t xml:space="preserve">2.3 Configuration Identification</w:t>
      </w:r>
    </w:p>
    <w:bookmarkStart w:id="48" w:name="function-2"/>
    <w:p>
      <w:pPr>
        <w:pStyle w:val="Heading3"/>
      </w:pPr>
      <w:r>
        <w:rPr>
          <w:bCs/>
          <w:b/>
        </w:rPr>
        <w:t xml:space="preserve">2.3.1 Function</w:t>
      </w:r>
    </w:p>
    <w:p>
      <w:pPr>
        <w:pStyle w:val="FirstParagraph"/>
      </w:pPr>
      <w:r>
        <w:t xml:space="preserve">The CM function that selects, defines, documents, and baselines product and service attributes and assigns unique identifiers to processes, products and services, and associated configuration information throughout the lifecycle.</w:t>
      </w:r>
    </w:p>
    <w:bookmarkEnd w:id="48"/>
    <w:bookmarkStart w:id="49" w:name="principle-2"/>
    <w:p>
      <w:pPr>
        <w:pStyle w:val="Heading3"/>
      </w:pPr>
      <w:r>
        <w:rPr>
          <w:bCs/>
          <w:b/>
        </w:rPr>
        <w:t xml:space="preserve">2.3.2 Principle</w:t>
      </w:r>
    </w:p>
    <w:p>
      <w:pPr>
        <w:pStyle w:val="FirstParagraph"/>
      </w:pPr>
      <w:r>
        <w:t xml:space="preserve">Configuration identification is the basis from which the configuration of products is defined, structured, and labeled to provide traceability throughout the product life cycle. All documents reflecting product performance, functional, or physical requirements and other product information are uniquely identified in a baseline so that they can be correctly associated with the applicable configuration of the product.</w:t>
      </w:r>
    </w:p>
    <w:bookmarkEnd w:id="49"/>
    <w:bookmarkStart w:id="50" w:name="activity-2"/>
    <w:p>
      <w:pPr>
        <w:pStyle w:val="Heading3"/>
      </w:pPr>
      <w:r>
        <w:rPr>
          <w:bCs/>
          <w:b/>
        </w:rPr>
        <w:t xml:space="preserve">2.3.3 Activity</w:t>
      </w:r>
    </w:p>
    <w:p>
      <w:pPr>
        <w:pStyle w:val="FirstParagraph"/>
      </w:pPr>
      <w:r>
        <w:rPr>
          <w:iCs/>
          <w:i/>
        </w:rPr>
        <w:t xml:space="preserve">&lt;</w:t>
      </w:r>
      <w:r>
        <w:rPr>
          <w:bCs/>
          <w:b/>
          <w:iCs/>
          <w:i/>
        </w:rPr>
        <w:t xml:space="preserve">Provide an overview description of how Configuration Identification will be implemented, including CI selection, documentation typing, identifier issuance, baseline establishment, and CI hierarchy documentation</w:t>
      </w:r>
      <w:r>
        <w:rPr>
          <w:iCs/>
          <w:i/>
        </w:rPr>
        <w:t xml:space="preserve">&gt;</w:t>
      </w:r>
    </w:p>
    <w:p>
      <w:pPr>
        <w:pStyle w:val="BodyText"/>
      </w:pPr>
      <w:r>
        <w:t xml:space="preserve">i.e. This is a coordinated effort by the Program, Systems Engineers, ILS, CM Specialist, and the contractor/supplier(s). CI selection criteria are documented in Appendix B.</w:t>
      </w:r>
    </w:p>
    <w:bookmarkEnd w:id="50"/>
    <w:bookmarkStart w:id="51" w:name="Xbae14787b8ac7ba6c27c7a2ee4c2771dc791d9c"/>
    <w:p>
      <w:pPr>
        <w:pStyle w:val="Heading3"/>
      </w:pPr>
      <w:r>
        <w:rPr>
          <w:bCs/>
          <w:b/>
        </w:rPr>
        <w:t xml:space="preserve">2.3.4 Product Structure Bases and Their Alignment</w:t>
      </w:r>
    </w:p>
    <w:p>
      <w:pPr>
        <w:pStyle w:val="FirstParagraph"/>
      </w:pPr>
      <w:r>
        <w:rPr>
          <w:iCs/>
          <w:i/>
        </w:rPr>
        <w:t xml:space="preserve">&lt;</w:t>
      </w:r>
      <w:r>
        <w:rPr>
          <w:bCs/>
          <w:b/>
          <w:iCs/>
          <w:i/>
        </w:rPr>
        <w:t xml:space="preserve">Identify the bases on which the product is decomposed and state how they are kept aligned. This organization does not use a work breakdown structure; the decomposition bases are the specification hierarchy, the architecture model, and the CI hierarchy. State each one, what it organizes, and where it is maintained.</w:t>
      </w:r>
      <w:r>
        <w:rPr>
          <w:iCs/>
          <w:i/>
        </w:rPr>
        <w:t xml:space="preserve">&gt;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Basis</w:t>
            </w:r>
          </w:p>
        </w:tc>
        <w:tc>
          <w:tcPr/>
          <w:p>
            <w:pPr>
              <w:pStyle w:val="Compact"/>
              <w:jc w:val="left"/>
            </w:pPr>
            <w:r>
              <w:rPr>
                <w:bCs/>
                <w:b/>
              </w:rPr>
              <w:t xml:space="preserve">What it organizes</w:t>
            </w:r>
          </w:p>
        </w:tc>
        <w:tc>
          <w:tcPr/>
          <w:p>
            <w:pPr>
              <w:pStyle w:val="Compact"/>
              <w:jc w:val="left"/>
            </w:pPr>
            <w:r>
              <w:rPr>
                <w:bCs/>
                <w:b/>
              </w:rPr>
              <w:t xml:space="preserve">Where maintained</w:t>
            </w:r>
          </w:p>
        </w:tc>
      </w:tr>
      <w:tr>
        <w:tc>
          <w:tcPr/>
          <w:p>
            <w:pPr>
              <w:pStyle w:val="Compact"/>
              <w:jc w:val="left"/>
            </w:pPr>
            <w:r>
              <w:t xml:space="preserve">Specification hierarchy</w:t>
            </w:r>
          </w:p>
        </w:tc>
        <w:tc>
          <w:tcPr/>
          <w:p>
            <w:pPr>
              <w:pStyle w:val="Compact"/>
              <w:jc w:val="left"/>
            </w:pPr>
            <w:r>
              <w:t xml:space="preserve">Configuration documentation — system/end item specification through item performance and item detail specifications. Carries the FCD, ACD and PCD sets defined in 2.3.6</w:t>
            </w:r>
          </w:p>
        </w:tc>
        <w:tc>
          <w:tcPr/>
          <w:p>
            <w:pPr>
              <w:pStyle w:val="Compact"/>
              <w:jc w:val="left"/>
            </w:pPr>
            <w:r>
              <w:rPr>
                <w:iCs/>
                <w:i/>
              </w:rPr>
              <w:t xml:space="preserve">&lt;</w:t>
            </w:r>
            <w:r>
              <w:rPr>
                <w:bCs/>
                <w:b/>
                <w:iCs/>
                <w:i/>
              </w:rPr>
              <w:t xml:space="preserve">repository</w:t>
            </w:r>
            <w:r>
              <w:rPr>
                <w:iCs/>
                <w:i/>
              </w:rPr>
              <w:t xml:space="preserve">&gt;</w:t>
            </w:r>
          </w:p>
        </w:tc>
      </w:tr>
      <w:tr>
        <w:tc>
          <w:tcPr/>
          <w:p>
            <w:pPr>
              <w:pStyle w:val="Compact"/>
              <w:jc w:val="left"/>
            </w:pPr>
            <w:r>
              <w:t xml:space="preserve">Architecture model (MBSE)</w:t>
            </w:r>
          </w:p>
        </w:tc>
        <w:tc>
          <w:tcPr/>
          <w:p>
            <w:pPr>
              <w:pStyle w:val="Compact"/>
              <w:jc w:val="left"/>
            </w:pPr>
            <w:r>
              <w:t xml:space="preserve">Product decomposition</w:t>
            </w:r>
          </w:p>
        </w:tc>
        <w:tc>
          <w:tcPr/>
          <w:p>
            <w:pPr>
              <w:pStyle w:val="Compact"/>
              <w:jc w:val="left"/>
            </w:pPr>
            <w:r>
              <w:rPr>
                <w:iCs/>
                <w:i/>
              </w:rPr>
              <w:t xml:space="preserve">&lt;</w:t>
            </w:r>
            <w:r>
              <w:rPr>
                <w:bCs/>
                <w:b/>
                <w:iCs/>
                <w:i/>
              </w:rPr>
              <w:t xml:space="preserve">model and tool</w:t>
            </w:r>
            <w:r>
              <w:rPr>
                <w:iCs/>
                <w:i/>
              </w:rPr>
              <w:t xml:space="preserve">&gt;</w:t>
            </w:r>
          </w:p>
        </w:tc>
      </w:tr>
      <w:tr>
        <w:tc>
          <w:tcPr/>
          <w:p>
            <w:pPr>
              <w:pStyle w:val="Compact"/>
              <w:jc w:val="left"/>
            </w:pPr>
            <w:r>
              <w:t xml:space="preserve">CI hierarchy</w:t>
            </w:r>
          </w:p>
        </w:tc>
        <w:tc>
          <w:tcPr/>
          <w:p>
            <w:pPr>
              <w:pStyle w:val="Compact"/>
              <w:jc w:val="left"/>
            </w:pPr>
            <w:r>
              <w:t xml:space="preserve">Configuration management scope and control</w:t>
            </w:r>
          </w:p>
        </w:tc>
        <w:tc>
          <w:tcPr/>
          <w:p>
            <w:pPr>
              <w:pStyle w:val="Compact"/>
              <w:jc w:val="left"/>
            </w:pPr>
            <w:r>
              <w:t xml:space="preserve">CI index, extracted at Appendix U</w:t>
            </w:r>
          </w:p>
        </w:tc>
      </w:tr>
    </w:tbl>
    <w:p>
      <w:pPr>
        <w:pStyle w:val="BodyText"/>
      </w:pPr>
      <w:r>
        <w:rPr>
          <w:iCs/>
          <w:i/>
        </w:rPr>
        <w:t xml:space="preserve">&lt;</w:t>
      </w:r>
      <w:r>
        <w:rPr>
          <w:bCs/>
          <w:b/>
          <w:iCs/>
          <w:i/>
        </w:rPr>
        <w:t xml:space="preserve">State the alignment rules and the points at which alignment is verified. At minimum: the CI structure and the architecture model are two views of one decomposition and shall not diverge; every CI resolves to a specification in the specification hierarchy; and alignment is verified at each technical review and prior to each baseline establishment.</w:t>
      </w:r>
      <w:r>
        <w:rPr>
          <w:iCs/>
          <w:i/>
        </w:rPr>
        <w:t xml:space="preserve">&gt;</w:t>
      </w:r>
    </w:p>
    <w:p>
      <w:pPr>
        <w:pStyle w:val="BodyText"/>
      </w:pPr>
      <w:r>
        <w:rPr>
          <w:iCs/>
          <w:i/>
        </w:rPr>
        <w:t xml:space="preserve">&lt;</w:t>
      </w:r>
      <w:r>
        <w:rPr>
          <w:bCs/>
          <w:b/>
          <w:iCs/>
          <w:i/>
        </w:rPr>
        <w:t xml:space="preserve">Where the program is only partially modelled, state which portion follows the model and which follows the engineering product structure, and document the seam.</w:t>
      </w:r>
      <w:r>
        <w:rPr>
          <w:iCs/>
          <w:i/>
        </w:rPr>
        <w:t xml:space="preserve">&gt;</w:t>
      </w:r>
    </w:p>
    <w:bookmarkEnd w:id="51"/>
    <w:bookmarkStart w:id="52" w:name="configuration-item-selection"/>
    <w:p>
      <w:pPr>
        <w:pStyle w:val="Heading3"/>
      </w:pPr>
      <w:r>
        <w:rPr>
          <w:bCs/>
          <w:b/>
        </w:rPr>
        <w:t xml:space="preserve">2.3.5 Configuration Item Selection</w:t>
      </w:r>
    </w:p>
    <w:p>
      <w:pPr>
        <w:pStyle w:val="FirstParagraph"/>
      </w:pPr>
      <w:r>
        <w:rPr>
          <w:iCs/>
          <w:i/>
        </w:rPr>
        <w:t xml:space="preserve">&lt;</w:t>
      </w:r>
      <w:r>
        <w:rPr>
          <w:bCs/>
          <w:b/>
          <w:iCs/>
          <w:i/>
        </w:rPr>
        <w:t xml:space="preserve">State the criteria applied to select Configuration Items and the process for submitting them to the Acquirer. EIA-649-1A 3.2.1(1) requires potential CIs to be selected and submitted for Acquirer review and selection concurrence — selection alone does not satisfy it. Identify who nominates candidates, who approves the recommendation internally, and how Acquirer concurrence is obtained and recorded.</w:t>
      </w:r>
      <w:r>
        <w:rPr>
          <w:iCs/>
          <w:i/>
        </w:rPr>
        <w:t xml:space="preserve">&gt;</w:t>
      </w:r>
    </w:p>
    <w:p>
      <w:pPr>
        <w:pStyle w:val="BodyText"/>
      </w:pPr>
      <w:r>
        <w:rPr>
          <w:iCs/>
          <w:i/>
        </w:rPr>
        <w:t xml:space="preserve">&lt;</w:t>
      </w:r>
      <w:r>
        <w:rPr>
          <w:bCs/>
          <w:b/>
          <w:iCs/>
          <w:i/>
        </w:rPr>
        <w:t xml:space="preserve">State the selection criteria applied. EIA-649-1A 3.2.1(2) designates an item as a CI where it satisfies a system end use function and meets or impacts any of: criticality to system functioning; failure that might result in serious injury, loss of life or loss of primary system capability; complex or not well known technology critical to program goals; Acquirer designation; a requirement for separate type designation, versions or nomenclature; criticality or high risk with significant financial impact; or a requirement for defined logistics elements. Record any additional organizational criteria applied.</w:t>
      </w:r>
      <w:r>
        <w:rPr>
          <w:iCs/>
          <w:i/>
        </w:rPr>
        <w:t xml:space="preserve">&gt;</w:t>
      </w:r>
    </w:p>
    <w:p>
      <w:pPr>
        <w:pStyle w:val="BodyText"/>
      </w:pPr>
      <w:r>
        <w:rPr>
          <w:iCs/>
          <w:i/>
        </w:rPr>
        <w:t xml:space="preserve">&lt;</w:t>
      </w:r>
      <w:r>
        <w:rPr>
          <w:bCs/>
          <w:b/>
          <w:iCs/>
          <w:i/>
        </w:rPr>
        <w:t xml:space="preserve">Maintain a candidate CI list recording the disposition of every candidate considered, selected or not, with the rationale. A list of selected CIs shows the outcome; the candidate list shows that judgment was exercised. Identify where it is held and reference the selection criteria in Appendix B.</w:t>
      </w:r>
      <w:r>
        <w:rPr>
          <w:iCs/>
          <w:i/>
        </w:rPr>
        <w:t xml:space="preserve">&gt;</w:t>
      </w:r>
    </w:p>
    <w:p>
      <w:pPr>
        <w:pStyle w:val="BodyText"/>
      </w:pPr>
      <w:r>
        <w:rPr>
          <w:iCs/>
          <w:i/>
        </w:rPr>
        <w:t xml:space="preserve">&lt;</w:t>
      </w:r>
      <w:r>
        <w:rPr>
          <w:bCs/>
          <w:b/>
          <w:iCs/>
          <w:i/>
        </w:rPr>
        <w:t xml:space="preserve">State how the types of configuration documentation required for each CI and component are determined (EIA-649-1A 3.2.4(2)), and record the determination against each CI in the CI index. Documentation type depends on item maturity, ownership and control level: performance specifications at Acquirer-controlled levels on performance-based contracts; detail specifications, drawings and models where design disclosure is required; commercial item descriptions or form-fit-function data for privately developed items.</w:t>
      </w:r>
      <w:r>
        <w:rPr>
          <w:iCs/>
          <w:i/>
        </w:rPr>
        <w:t xml:space="preserve">&gt;</w:t>
      </w:r>
    </w:p>
    <w:bookmarkEnd w:id="52"/>
    <w:bookmarkStart w:id="54" w:name="X252de6799c057db5d4419c85d11d20f981f76fb"/>
    <w:p>
      <w:pPr>
        <w:pStyle w:val="Heading3"/>
      </w:pPr>
      <w:r>
        <w:rPr>
          <w:bCs/>
          <w:b/>
        </w:rPr>
        <w:t xml:space="preserve">2.3.6 Configuration Baselines and Configuration Documentation</w:t>
      </w:r>
    </w:p>
    <w:p>
      <w:pPr>
        <w:pStyle w:val="FirstParagraph"/>
      </w:pPr>
      <w:r>
        <w:rPr>
          <w:iCs/>
          <w:i/>
        </w:rPr>
        <w:t xml:space="preserve">&lt;</w:t>
      </w:r>
      <w:r>
        <w:rPr>
          <w:bCs/>
          <w:b/>
          <w:iCs/>
          <w:i/>
        </w:rPr>
        <w:t xml:space="preserve">This subsection defines the baselines this program establishes and the documentation that constitutes each. Complete it before Sections 5 and 7 are written; the baseline definitions are referenced throughout both.</w:t>
      </w:r>
      <w:r>
        <w:rPr>
          <w:iCs/>
          <w:i/>
        </w:rPr>
        <w:t xml:space="preserve">&gt;</w:t>
      </w:r>
    </w:p>
    <w:p>
      <w:pPr>
        <w:pStyle w:val="BodyText"/>
      </w:pPr>
      <w:r>
        <w:t xml:space="preserve">There are three configuration baseline types: Functional (FBL), Allocated (ABL) and Product (PBL). The FBL and ABL are part of the design requirements development process and are inputs to detailed design realization; the PBL is the final output of design realization. Each is maintained and configuration controlled by the acquiring or supplying activity as required by the contract.</w:t>
      </w:r>
    </w:p>
    <w:p>
      <w:pPr>
        <w:pStyle w:val="BodyText"/>
      </w:pPr>
      <w:r>
        <w:rPr>
          <w:iCs/>
          <w:i/>
        </w:rPr>
        <w:t xml:space="preserve">&lt;</w:t>
      </w:r>
      <w:r>
        <w:rPr>
          <w:bCs/>
          <w:b/>
          <w:iCs/>
          <w:i/>
        </w:rPr>
        <w:t xml:space="preserve">Complete the table below for this program. State the establishment event for each baseline, the controlling authority, and the documentation that constitutes it. Where the product baseline is established in stages, state the initial and final establishment points separately.</w:t>
      </w:r>
      <w:r>
        <w:rPr>
          <w:iCs/>
          <w:i/>
        </w:rPr>
        <w:t xml:space="preserve">&gt;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Baseline</w:t>
            </w:r>
          </w:p>
        </w:tc>
        <w:tc>
          <w:tcPr/>
          <w:p>
            <w:pPr>
              <w:pStyle w:val="Compact"/>
              <w:jc w:val="left"/>
            </w:pPr>
            <w:r>
              <w:rPr>
                <w:bCs/>
                <w:b/>
              </w:rPr>
              <w:t xml:space="preserve">Constituting documentation</w:t>
            </w:r>
          </w:p>
        </w:tc>
        <w:tc>
          <w:tcPr/>
          <w:p>
            <w:pPr>
              <w:pStyle w:val="Compact"/>
              <w:jc w:val="left"/>
            </w:pPr>
            <w:r>
              <w:rPr>
                <w:bCs/>
                <w:b/>
              </w:rPr>
              <w:t xml:space="preserve">Establishment event</w:t>
            </w:r>
          </w:p>
        </w:tc>
        <w:tc>
          <w:tcPr/>
          <w:p>
            <w:pPr>
              <w:pStyle w:val="Compact"/>
              <w:jc w:val="left"/>
            </w:pPr>
            <w:r>
              <w:rPr>
                <w:bCs/>
                <w:b/>
              </w:rPr>
              <w:t xml:space="preserve">Control authority</w:t>
            </w:r>
          </w:p>
        </w:tc>
      </w:tr>
      <w:tr>
        <w:tc>
          <w:tcPr/>
          <w:p>
            <w:pPr>
              <w:pStyle w:val="Compact"/>
              <w:jc w:val="left"/>
            </w:pPr>
            <w:r>
              <w:t xml:space="preserve">Functional (FBL)</w:t>
            </w:r>
          </w:p>
        </w:tc>
        <w:tc>
          <w:tcPr/>
          <w:p>
            <w:pPr>
              <w:pStyle w:val="Compact"/>
              <w:jc w:val="left"/>
            </w:pPr>
            <w:r>
              <w:t xml:space="preserve">Functional Configuration Documentation (FCD) — the contract and the system or end item level specification</w:t>
            </w:r>
          </w:p>
        </w:tc>
        <w:tc>
          <w:tcPr/>
          <w:p>
            <w:pPr>
              <w:pStyle w:val="Compact"/>
              <w:jc w:val="left"/>
            </w:pPr>
            <w:r>
              <w:rPr>
                <w:iCs/>
                <w:i/>
              </w:rPr>
              <w:t xml:space="preserve">&lt;</w:t>
            </w:r>
            <w:r>
              <w:rPr>
                <w:bCs/>
                <w:b/>
                <w:iCs/>
                <w:i/>
              </w:rPr>
              <w:t xml:space="preserve">e.g. SRR/SFR</w:t>
            </w:r>
            <w:r>
              <w:rPr>
                <w:iCs/>
                <w:i/>
              </w:rPr>
              <w:t xml:space="preserve">&gt;</w:t>
            </w:r>
          </w:p>
        </w:tc>
        <w:tc>
          <w:tcPr/>
          <w:p>
            <w:pPr>
              <w:pStyle w:val="Compact"/>
              <w:jc w:val="left"/>
            </w:pPr>
            <w:r>
              <w:rPr>
                <w:iCs/>
                <w:i/>
              </w:rPr>
              <w:t xml:space="preserve">&lt;</w:t>
            </w:r>
            <w:r>
              <w:rPr>
                <w:bCs/>
                <w:b/>
                <w:iCs/>
                <w:i/>
              </w:rPr>
              <w:t xml:space="preserve">Acquirer or Supplier</w:t>
            </w:r>
            <w:r>
              <w:rPr>
                <w:iCs/>
                <w:i/>
              </w:rPr>
              <w:t xml:space="preserve">&gt;</w:t>
            </w:r>
          </w:p>
        </w:tc>
      </w:tr>
      <w:tr>
        <w:tc>
          <w:tcPr/>
          <w:p>
            <w:pPr>
              <w:pStyle w:val="Compact"/>
              <w:jc w:val="left"/>
            </w:pPr>
            <w:r>
              <w:t xml:space="preserve">Allocated (ABL)</w:t>
            </w:r>
          </w:p>
        </w:tc>
        <w:tc>
          <w:tcPr/>
          <w:p>
            <w:pPr>
              <w:pStyle w:val="Compact"/>
              <w:jc w:val="left"/>
            </w:pPr>
            <w:r>
              <w:t xml:space="preserve">Allocated Configuration Documentation (ACD) — item performance specifications</w:t>
            </w:r>
          </w:p>
        </w:tc>
        <w:tc>
          <w:tcPr/>
          <w:p>
            <w:pPr>
              <w:pStyle w:val="Compact"/>
              <w:jc w:val="left"/>
            </w:pPr>
            <w:r>
              <w:rPr>
                <w:iCs/>
                <w:i/>
              </w:rPr>
              <w:t xml:space="preserve">&lt;</w:t>
            </w:r>
            <w:r>
              <w:rPr>
                <w:bCs/>
                <w:b/>
                <w:iCs/>
                <w:i/>
              </w:rPr>
              <w:t xml:space="preserve">e.g. PDR</w:t>
            </w:r>
            <w:r>
              <w:rPr>
                <w:iCs/>
                <w:i/>
              </w:rPr>
              <w:t xml:space="preserve">&gt;</w:t>
            </w:r>
          </w:p>
        </w:tc>
        <w:tc>
          <w:tcPr/>
          <w:p>
            <w:pPr>
              <w:pStyle w:val="Compact"/>
            </w:pPr>
          </w:p>
        </w:tc>
      </w:tr>
      <w:tr>
        <w:tc>
          <w:tcPr/>
          <w:p>
            <w:pPr>
              <w:pStyle w:val="Compact"/>
              <w:jc w:val="left"/>
            </w:pPr>
            <w:r>
              <w:t xml:space="preserve">Product (PBL)</w:t>
            </w:r>
          </w:p>
        </w:tc>
        <w:tc>
          <w:tcPr/>
          <w:p>
            <w:pPr>
              <w:pStyle w:val="Compact"/>
              <w:jc w:val="left"/>
            </w:pPr>
            <w:r>
              <w:t xml:space="preserve">Product Configuration Documentation (PCD) — item detail specifications, the technical data package, and associated process specifications</w:t>
            </w:r>
          </w:p>
        </w:tc>
        <w:tc>
          <w:tcPr/>
          <w:p>
            <w:pPr>
              <w:pStyle w:val="Compact"/>
              <w:jc w:val="left"/>
            </w:pPr>
            <w:r>
              <w:rPr>
                <w:iCs/>
                <w:i/>
              </w:rPr>
              <w:t xml:space="preserve">&lt;</w:t>
            </w:r>
            <w:r>
              <w:rPr>
                <w:bCs/>
                <w:b/>
                <w:iCs/>
                <w:i/>
              </w:rPr>
              <w:t xml:space="preserve">initially at completion of CDR; formalized no later than first production unit delivery or PCA completion</w:t>
            </w:r>
            <w:r>
              <w:rPr>
                <w:iCs/>
                <w:i/>
              </w:rPr>
              <w:t xml:space="preserve">&gt;</w:t>
            </w:r>
          </w:p>
        </w:tc>
        <w:tc>
          <w:tcPr/>
          <w:p>
            <w:pPr>
              <w:pStyle w:val="Compact"/>
            </w:pPr>
          </w:p>
        </w:tc>
      </w:tr>
    </w:tbl>
    <w:p>
      <w:pPr>
        <w:pStyle w:val="BodyText"/>
      </w:pPr>
      <w:r>
        <w:rPr>
          <w:bCs/>
          <w:b/>
        </w:rPr>
        <w:t xml:space="preserve">Functional Configuration Documentation (FCD)</w:t>
      </w:r>
      <w:r>
        <w:t xml:space="preserve"> </w:t>
      </w:r>
      <w:r>
        <w:t xml:space="preserve">is the information describing the system’s functional, performance, interoperability and interface requirements, together with the verifications required to demonstrate achievement of those specified requirements. It documents the FBL by describing the system’s functional, performance, interoperability and interface requirements; describing the verifications required to demonstrate achievement of those requirements; and identifying any specialized software and documenting the operating environment used to author them.</w:t>
      </w:r>
    </w:p>
    <w:p>
      <w:pPr>
        <w:pStyle w:val="BodyText"/>
      </w:pPr>
      <w:r>
        <w:rPr>
          <w:bCs/>
          <w:b/>
        </w:rPr>
        <w:t xml:space="preserve">Allocated Configuration Documentation (ACD)</w:t>
      </w:r>
      <w:r>
        <w:t xml:space="preserve"> </w:t>
      </w:r>
      <w:r>
        <w:t xml:space="preserve">is the documentation describing a CI’s functional, performance and interoperability requirements allocated from those of a system or higher-level CI, its interface requirements with interfacing CIs, and the verifications required to confirm achievement of those specified requirements. It documents the ABL of a CI by describing the functional, performance and interoperability requirements allocated to it from the system or a higher-level CI, together with its interface requirements with interfacing CIs; describing the verifications required to demonstrate achievement; and identifying any specialized software and operating environment used to author them.</w:t>
      </w:r>
    </w:p>
    <w:p>
      <w:pPr>
        <w:pStyle w:val="BodyText"/>
      </w:pPr>
      <w:r>
        <w:rPr>
          <w:bCs/>
          <w:b/>
        </w:rPr>
        <w:t xml:space="preserve">Product Configuration Documentation (PCD)</w:t>
      </w:r>
      <w:r>
        <w:t xml:space="preserve"> </w:t>
      </w:r>
      <w:r>
        <w:t xml:space="preserve">is a CI’s detailed design documentation including the verifications necessary for accepting product deliveries. Depending on the production and procurement strategy, the design information it contains may be as simple as identifying a specific part number or as complex as full design disclosure. The PCD documents the PBL of a CI by:</w:t>
      </w:r>
    </w:p>
    <w:p>
      <w:pPr>
        <w:numPr>
          <w:ilvl w:val="0"/>
          <w:numId w:val="1003"/>
        </w:numPr>
      </w:pPr>
      <w:r>
        <w:t xml:space="preserve">Describing its detailed design, including necessary physical (form, fit and function) characteristics and the functional and performance requirements selected for production test, qualification and acceptance test.</w:t>
      </w:r>
    </w:p>
    <w:p>
      <w:pPr>
        <w:numPr>
          <w:ilvl w:val="0"/>
          <w:numId w:val="1003"/>
        </w:numPr>
      </w:pPr>
      <w:r>
        <w:t xml:space="preserve">Identifying the verifications necessary for accepting product deliveries (first article and acceptance instructions).</w:t>
      </w:r>
    </w:p>
    <w:p>
      <w:pPr>
        <w:numPr>
          <w:ilvl w:val="0"/>
          <w:numId w:val="1003"/>
        </w:numPr>
      </w:pPr>
      <w:r>
        <w:t xml:space="preserve">Identifying and documenting the design of any special tooling, software, equipment and facilities required to manufacture, operate, maintain, calibrate or inspect items contained in the design.</w:t>
      </w:r>
    </w:p>
    <w:p>
      <w:pPr>
        <w:numPr>
          <w:ilvl w:val="0"/>
          <w:numId w:val="1003"/>
        </w:numPr>
      </w:pPr>
      <w:r>
        <w:t xml:space="preserve">Identifying and documenting the design of any special packaging parts required to package the CI.</w:t>
      </w:r>
    </w:p>
    <w:p>
      <w:pPr>
        <w:numPr>
          <w:ilvl w:val="0"/>
          <w:numId w:val="1003"/>
        </w:numPr>
      </w:pPr>
      <w:r>
        <w:t xml:space="preserve">Including any form, fit, function and quality assurance provisions required to accept deliveries of the CI (first article or acceptance inspection).</w:t>
      </w:r>
    </w:p>
    <w:p>
      <w:pPr>
        <w:numPr>
          <w:ilvl w:val="0"/>
          <w:numId w:val="1003"/>
        </w:numPr>
      </w:pPr>
      <w:r>
        <w:t xml:space="preserve">Including any unique process specifications required to manufacture, operate, maintain or calibrate items contained in the design.</w:t>
      </w:r>
    </w:p>
    <w:p>
      <w:pPr>
        <w:numPr>
          <w:ilvl w:val="0"/>
          <w:numId w:val="1003"/>
        </w:numPr>
      </w:pPr>
      <w:r>
        <w:t xml:space="preserve">Identifying any specialized software and documenting the operating environment used to author the detailed design.</w:t>
      </w:r>
    </w:p>
    <w:p>
      <w:pPr>
        <w:numPr>
          <w:ilvl w:val="0"/>
          <w:numId w:val="1003"/>
        </w:numPr>
      </w:pPr>
      <w:r>
        <w:t xml:space="preserve">Where required by contract, technical data providing instructions for the installation, operation, maintenance, training and support of a system or equipment.</w:t>
      </w:r>
    </w:p>
    <w:p>
      <w:pPr>
        <w:numPr>
          <w:ilvl w:val="0"/>
          <w:numId w:val="1003"/>
        </w:numPr>
      </w:pPr>
      <w:r>
        <w:t xml:space="preserve">Identifying and documenting any COTS hardware or software used in the detailed design.</w:t>
      </w:r>
    </w:p>
    <w:p>
      <w:pPr>
        <w:pStyle w:val="FirstParagraph"/>
      </w:pPr>
      <w:r>
        <w:t xml:space="preserve">Where a CI is privately developed, the PCD includes any verification provisions required to accept deliveries of the CI (first article or acceptance inspection).</w:t>
      </w:r>
    </w:p>
    <w:p>
      <w:pPr>
        <w:pStyle w:val="BodyText"/>
      </w:pPr>
      <w:r>
        <w:rPr>
          <w:iCs/>
          <w:i/>
        </w:rPr>
        <w:t xml:space="preserve">&lt;</w:t>
      </w:r>
      <w:r>
        <w:rPr>
          <w:bCs/>
          <w:b/>
          <w:iCs/>
          <w:i/>
        </w:rPr>
        <w:t xml:space="preserve">Identify the documents that constitute each documentation set on this program — by document type and, where a standard document numbering scheme applies, by number range or naming convention. The definitions above state what each set must contain; this prompt states which of your documents carry it. Where a criterion above is satisfied by a document not normally regarded as configuration documentation — for example a packaging design or a process specification — say so explicitly, since those are the elements most often omitted from a technical data package.</w:t>
      </w:r>
      <w:r>
        <w:rPr>
          <w:iCs/>
          <w:i/>
        </w:rPr>
        <w:t xml:space="preserve">&gt;</w:t>
      </w:r>
    </w:p>
    <w:p>
      <w:pPr>
        <w:pStyle w:val="BodyText"/>
      </w:pPr>
      <w:r>
        <w:rPr>
          <w:iCs/>
          <w:i/>
        </w:rPr>
        <w:t xml:space="preserve">&lt;</w:t>
      </w:r>
      <w:r>
        <w:rPr>
          <w:bCs/>
          <w:b/>
          <w:iCs/>
          <w:i/>
        </w:rPr>
        <w:t xml:space="preserve">Confirm the disposition of PCD element (h). Technical data for installation, operation, maintenance, training and support is included only where required by contract; state whether it is required here and, if so, which documents provide it.</w:t>
      </w:r>
      <w:r>
        <w:rPr>
          <w:iCs/>
          <w:i/>
        </w:rPr>
        <w:t xml:space="preserve">&gt;</w:t>
      </w:r>
    </w:p>
    <w:p>
      <w:pPr>
        <w:pStyle w:val="BodyText"/>
      </w:pPr>
      <w:r>
        <w:rPr>
          <w:iCs/>
          <w:i/>
        </w:rPr>
        <w:t xml:space="preserve">&lt;</w:t>
      </w:r>
      <w:r>
        <w:rPr>
          <w:bCs/>
          <w:b/>
          <w:iCs/>
          <w:i/>
        </w:rPr>
        <w:t xml:space="preserve">State how configuration documentation is generated for the baselines the Acquirer establishes, as tailored in the contract (EIA-649-1A 3.2.3.1(1)), and how each succeeding baseline is traced to its predecessor including the detailed extension (3.2.3.1(2)).</w:t>
      </w:r>
      <w:r>
        <w:rPr>
          <w:iCs/>
          <w:i/>
        </w:rPr>
        <w:t xml:space="preserve">&gt;</w:t>
      </w:r>
    </w:p>
    <w:p>
      <w:pPr>
        <w:pStyle w:val="BodyText"/>
      </w:pPr>
      <w:r>
        <w:rPr>
          <w:iCs/>
          <w:i/>
        </w:rPr>
        <w:t xml:space="preserve">&lt;</w:t>
      </w:r>
      <w:r>
        <w:rPr>
          <w:bCs/>
          <w:b/>
          <w:iCs/>
          <w:i/>
        </w:rPr>
        <w:t xml:space="preserve">State how current approved configuration documentation is maintained: a new revision is created after change approval, and that revision provides traceability by detailing conditions before and after the change and identifying the change as the revision authority (EIA-649-1A 3.2.3.3(1)). State any contract or TDP-scope exceptions.</w:t>
      </w:r>
      <w:r>
        <w:rPr>
          <w:iCs/>
          <w:i/>
        </w:rPr>
        <w:t xml:space="preserve">&gt;</w:t>
      </w:r>
    </w:p>
    <w:bookmarkStart w:id="53" w:name="X517e1280eff9d6d5117e2b37b7fb90dc08abfc5"/>
    <w:p>
      <w:pPr>
        <w:pStyle w:val="Heading4"/>
      </w:pPr>
      <w:r>
        <w:rPr>
          <w:bCs/>
          <w:b/>
        </w:rPr>
        <w:t xml:space="preserve">2.3.6.1 Configuration States and Their Representation</w:t>
      </w:r>
    </w:p>
    <w:p>
      <w:pPr>
        <w:pStyle w:val="FirstParagraph"/>
      </w:pPr>
      <w:r>
        <w:rPr>
          <w:iCs/>
          <w:i/>
        </w:rPr>
        <w:t xml:space="preserve">&lt;</w:t>
      </w:r>
      <w:r>
        <w:rPr>
          <w:bCs/>
          <w:b/>
          <w:iCs/>
          <w:i/>
        </w:rPr>
        <w:t xml:space="preserve">Define the configuration states this program distinguishes and how each is represented in the organization’s systems. The definitions below are the organizational convention; the bill of material terms are not EIA-649-1A terminology and are used here only to name the system representation.</w:t>
      </w:r>
      <w:r>
        <w:rPr>
          <w:iCs/>
          <w:i/>
        </w:rPr>
        <w:t xml:space="preserve">&gt;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Configuration state</w:t>
            </w:r>
          </w:p>
        </w:tc>
        <w:tc>
          <w:tcPr/>
          <w:p>
            <w:pPr>
              <w:pStyle w:val="Compact"/>
              <w:jc w:val="left"/>
            </w:pPr>
            <w:r>
              <w:rPr>
                <w:bCs/>
                <w:b/>
              </w:rPr>
              <w:t xml:space="preserve">Definition</w:t>
            </w:r>
          </w:p>
        </w:tc>
        <w:tc>
          <w:tcPr/>
          <w:p>
            <w:pPr>
              <w:pStyle w:val="Compact"/>
              <w:jc w:val="left"/>
            </w:pPr>
            <w:r>
              <w:rPr>
                <w:bCs/>
                <w:b/>
              </w:rPr>
              <w:t xml:space="preserve">Representation</w:t>
            </w:r>
          </w:p>
        </w:tc>
      </w:tr>
      <w:tr>
        <w:tc>
          <w:tcPr/>
          <w:p>
            <w:pPr>
              <w:pStyle w:val="Compact"/>
              <w:jc w:val="left"/>
            </w:pPr>
            <w:r>
              <w:t xml:space="preserve">As-designed</w:t>
            </w:r>
          </w:p>
        </w:tc>
        <w:tc>
          <w:tcPr/>
          <w:p>
            <w:pPr>
              <w:pStyle w:val="Compact"/>
              <w:jc w:val="left"/>
            </w:pPr>
            <w:r>
              <w:t xml:space="preserve">The configuration as defined by released engineering configuration documentation</w:t>
            </w:r>
          </w:p>
        </w:tc>
        <w:tc>
          <w:tcPr/>
          <w:p>
            <w:pPr>
              <w:pStyle w:val="Compact"/>
              <w:jc w:val="left"/>
            </w:pPr>
            <w:r>
              <w:t xml:space="preserve">Engineering bill of material (EBOM)</w:t>
            </w:r>
          </w:p>
        </w:tc>
      </w:tr>
      <w:tr>
        <w:tc>
          <w:tcPr/>
          <w:p>
            <w:pPr>
              <w:pStyle w:val="Compact"/>
              <w:jc w:val="left"/>
            </w:pPr>
            <w:r>
              <w:t xml:space="preserve">As-planned</w:t>
            </w:r>
          </w:p>
        </w:tc>
        <w:tc>
          <w:tcPr/>
          <w:p>
            <w:pPr>
              <w:pStyle w:val="Compact"/>
              <w:jc w:val="left"/>
            </w:pPr>
            <w:r>
              <w:t xml:space="preserve">The configuration as arranged for manufacture, reflecting the manufacturing process without altering the design definition</w:t>
            </w:r>
          </w:p>
        </w:tc>
        <w:tc>
          <w:tcPr/>
          <w:p>
            <w:pPr>
              <w:pStyle w:val="Compact"/>
              <w:jc w:val="left"/>
            </w:pPr>
            <w:r>
              <w:t xml:space="preserve">Manufacturing bill of material (MBOM)</w:t>
            </w:r>
          </w:p>
        </w:tc>
      </w:tr>
      <w:tr>
        <w:tc>
          <w:tcPr/>
          <w:p>
            <w:pPr>
              <w:pStyle w:val="Compact"/>
              <w:jc w:val="left"/>
            </w:pPr>
            <w:r>
              <w:t xml:space="preserve">As-built</w:t>
            </w:r>
          </w:p>
        </w:tc>
        <w:tc>
          <w:tcPr/>
          <w:p>
            <w:pPr>
              <w:pStyle w:val="Compact"/>
              <w:jc w:val="left"/>
            </w:pPr>
            <w:r>
              <w:t xml:space="preserve">The configuration actually manufactured for a specific unit, including approved variances</w:t>
            </w:r>
          </w:p>
        </w:tc>
        <w:tc>
          <w:tcPr/>
          <w:p>
            <w:pPr>
              <w:pStyle w:val="Compact"/>
              <w:jc w:val="left"/>
            </w:pPr>
            <w:r>
              <w:t xml:space="preserve">As-built bill of material (ABOM)</w:t>
            </w:r>
          </w:p>
        </w:tc>
      </w:tr>
      <w:tr>
        <w:tc>
          <w:tcPr/>
          <w:p>
            <w:pPr>
              <w:pStyle w:val="Compact"/>
              <w:jc w:val="left"/>
            </w:pPr>
            <w:r>
              <w:t xml:space="preserve">As-maintained / as-installed</w:t>
            </w:r>
          </w:p>
        </w:tc>
        <w:tc>
          <w:tcPr/>
          <w:p>
            <w:pPr>
              <w:pStyle w:val="Compact"/>
              <w:jc w:val="left"/>
            </w:pPr>
            <w:r>
              <w:t xml:space="preserve">The as-built configuration as further modified in service by approved retrofit, repair or replacement</w:t>
            </w:r>
          </w:p>
        </w:tc>
        <w:tc>
          <w:tcPr/>
          <w:p>
            <w:pPr>
              <w:pStyle w:val="Compact"/>
              <w:jc w:val="left"/>
            </w:pPr>
            <w:r>
              <w:rPr>
                <w:iCs/>
                <w:i/>
              </w:rPr>
              <w:t xml:space="preserve">&lt;</w:t>
            </w:r>
            <w:r>
              <w:rPr>
                <w:bCs/>
                <w:b/>
                <w:iCs/>
                <w:i/>
              </w:rPr>
              <w:t xml:space="preserve">system and record</w:t>
            </w:r>
            <w:r>
              <w:rPr>
                <w:iCs/>
                <w:i/>
              </w:rPr>
              <w:t xml:space="preserve">&gt;</w:t>
            </w:r>
          </w:p>
        </w:tc>
      </w:tr>
    </w:tbl>
    <w:p>
      <w:pPr>
        <w:pStyle w:val="BodyText"/>
      </w:pPr>
      <w:r>
        <w:rPr>
          <w:iCs/>
          <w:i/>
        </w:rPr>
        <w:t xml:space="preserve">&lt;</w:t>
      </w:r>
      <w:r>
        <w:rPr>
          <w:bCs/>
          <w:b/>
          <w:iCs/>
          <w:i/>
        </w:rPr>
        <w:t xml:space="preserve">State how differences between these states are reconciled and where the reconciliation is recorded. Where as-delivered or as-maintained configurations are distinguished from as-built on this program, define each explicitly — EIA-649-1A requires those definitions to be given in the CMP.</w:t>
      </w:r>
      <w:r>
        <w:rPr>
          <w:iCs/>
          <w:i/>
        </w:rPr>
        <w:t xml:space="preserve">&gt;</w:t>
      </w:r>
    </w:p>
    <w:p>
      <w:pPr>
        <w:pStyle w:val="BodyText"/>
      </w:pPr>
      <w:r>
        <w:rPr>
          <w:iCs/>
          <w:i/>
        </w:rPr>
        <w:t xml:space="preserve">&lt;</w:t>
      </w:r>
      <w:r>
        <w:rPr>
          <w:bCs/>
          <w:b/>
          <w:iCs/>
          <w:i/>
        </w:rPr>
        <w:t xml:space="preserve">As-planned has no defined equivalent in EIA-649-1A. Where it is used on this program, state what it governs and confirm it does not alter the design definition carried in the as-designed state.</w:t>
      </w:r>
      <w:r>
        <w:rPr>
          <w:iCs/>
          <w:i/>
        </w:rPr>
        <w:t xml:space="preserve">&gt;</w:t>
      </w:r>
    </w:p>
    <w:bookmarkEnd w:id="53"/>
    <w:bookmarkEnd w:id="54"/>
    <w:bookmarkStart w:id="56" w:name="Xab2d8bfa8eb551a5f8101bc2ebb403fc1ba2325"/>
    <w:p>
      <w:pPr>
        <w:pStyle w:val="Heading3"/>
      </w:pPr>
      <w:r>
        <w:rPr>
          <w:bCs/>
          <w:b/>
        </w:rPr>
        <w:t xml:space="preserve">2.3.7 Configuration Identifiers, Marking and Labelling</w:t>
      </w:r>
    </w:p>
    <w:p>
      <w:pPr>
        <w:pStyle w:val="FirstParagraph"/>
      </w:pPr>
      <w:r>
        <w:rPr>
          <w:iCs/>
          <w:i/>
        </w:rPr>
        <w:t xml:space="preserve">&lt;</w:t>
      </w:r>
      <w:r>
        <w:rPr>
          <w:bCs/>
          <w:b/>
          <w:iCs/>
          <w:i/>
        </w:rPr>
        <w:t xml:space="preserve">State the relationship between Configuration Item identifiers and Part or Identifying Numbers. The two are deliberately decoupled: the CI identifier follows function and the management need for separate configuration control; the PIN follows form, fit and function and changes when a modification creates a non-interchangeable condition. One PIN may map to multiple CIs where the same physical item is instantiated in subsystems performing distinct functions; multiple PINs may sit under one CI where variants share one specification basis, one verification basis and common change effectivity. Neither identical nor differing part numbers decide the CI question.</w:t>
      </w:r>
      <w:r>
        <w:rPr>
          <w:iCs/>
          <w:i/>
        </w:rPr>
        <w:t xml:space="preserve">&gt;</w:t>
      </w:r>
    </w:p>
    <w:p>
      <w:pPr>
        <w:pStyle w:val="BodyText"/>
      </w:pPr>
      <w:r>
        <w:rPr>
          <w:iCs/>
          <w:i/>
        </w:rPr>
        <w:t xml:space="preserve">&lt;</w:t>
      </w:r>
      <w:r>
        <w:rPr>
          <w:bCs/>
          <w:b/>
          <w:iCs/>
          <w:i/>
        </w:rPr>
        <w:t xml:space="preserve">State the identifier assignment scheme. EIA-649-1A 3.2(2)(e) requires identifiers in five classes — enterprise, product, unit, group and document — assigned to Configuration Items, their component parts and associated configuration documentation. Address each class, and include the design activity identifier and part or identifying number (PIN) construction including prefixes and suffixes, and serial, lot or batch number assignment.</w:t>
      </w:r>
      <w:r>
        <w:rPr>
          <w:iCs/>
          <w:i/>
        </w:rPr>
        <w:t xml:space="preserve">&gt;</w:t>
      </w:r>
    </w:p>
    <w:p>
      <w:pPr>
        <w:pStyle w:val="BodyText"/>
      </w:pPr>
      <w:r>
        <w:rPr>
          <w:iCs/>
          <w:i/>
        </w:rPr>
        <w:t xml:space="preserve">&lt;</w:t>
      </w:r>
      <w:r>
        <w:rPr>
          <w:bCs/>
          <w:b/>
          <w:iCs/>
          <w:i/>
        </w:rPr>
        <w:t xml:space="preserve">State the product unit identifier rules: serial and lot numbers are unique, consecutive and non-duplicating against a non-changing product-tracking base identifier; once assigned they are never revised or re-used; and a modified unit retains its original unit identifier even though its PIN changes. State also that nomenclature is revised where necessary to account for a non-interchangeable condition.</w:t>
      </w:r>
      <w:r>
        <w:rPr>
          <w:iCs/>
          <w:i/>
        </w:rPr>
        <w:t xml:space="preserve">&gt;</w:t>
      </w:r>
    </w:p>
    <w:p>
      <w:pPr>
        <w:pStyle w:val="BodyText"/>
      </w:pPr>
      <w:r>
        <w:rPr>
          <w:iCs/>
          <w:i/>
        </w:rPr>
        <w:t xml:space="preserve">&lt;</w:t>
      </w:r>
      <w:r>
        <w:rPr>
          <w:bCs/>
          <w:b/>
          <w:iCs/>
          <w:i/>
        </w:rPr>
        <w:t xml:space="preserve">State the rule that each CI and component is uniquely identified and assigned a unique product identifier, and that the design document identifier (CAD model, engineering drawing) is the same as, or traceable to, the PN/PIN (EIA-649-1A 3.2.4).</w:t>
      </w:r>
      <w:r>
        <w:rPr>
          <w:iCs/>
          <w:i/>
        </w:rPr>
        <w:t xml:space="preserve">&gt;</w:t>
      </w:r>
    </w:p>
    <w:p>
      <w:pPr>
        <w:pStyle w:val="BodyText"/>
      </w:pPr>
      <w:r>
        <w:rPr>
          <w:iCs/>
          <w:i/>
        </w:rPr>
        <w:t xml:space="preserve">&lt;</w:t>
      </w:r>
      <w:r>
        <w:rPr>
          <w:bCs/>
          <w:b/>
          <w:iCs/>
          <w:i/>
        </w:rPr>
        <w:t xml:space="preserve">State the interchangeability rule explicitly: whenever an item is modified to a configuration that is not interchangeable with the existing configuration, the PIN must change; and the item retains its original unit identifier — batch, lot or serial number — to preserve traceability to the original configuration (EIA-649-1A 3.2(2)(f)). State how this is enforced at change disposition and at rework.</w:t>
      </w:r>
      <w:r>
        <w:rPr>
          <w:iCs/>
          <w:i/>
        </w:rPr>
        <w:t xml:space="preserve">&gt;</w:t>
      </w:r>
    </w:p>
    <w:p>
      <w:pPr>
        <w:pStyle w:val="BodyText"/>
      </w:pPr>
      <w:r>
        <w:rPr>
          <w:iCs/>
          <w:i/>
        </w:rPr>
        <w:t xml:space="preserve">&lt;</w:t>
      </w:r>
      <w:r>
        <w:rPr>
          <w:bCs/>
          <w:b/>
          <w:iCs/>
          <w:i/>
        </w:rPr>
        <w:t xml:space="preserve">State how the CAGE Code of the design activity is included and affixed — for hardware and software, to Configuration Items, their subordinate parts and assemblies, configuration documentation, software media, and products (EIA-649-1A 3.2(2)(g)).</w:t>
      </w:r>
      <w:r>
        <w:rPr>
          <w:iCs/>
          <w:i/>
        </w:rPr>
        <w:t xml:space="preserve">&gt;</w:t>
      </w:r>
    </w:p>
    <w:p>
      <w:pPr>
        <w:pStyle w:val="BodyText"/>
      </w:pPr>
      <w:r>
        <w:rPr>
          <w:iCs/>
          <w:i/>
        </w:rPr>
        <w:t xml:space="preserve">&lt;</w:t>
      </w:r>
      <w:r>
        <w:rPr>
          <w:bCs/>
          <w:b/>
          <w:iCs/>
          <w:i/>
        </w:rPr>
        <w:t xml:space="preserve">State how items and documentation are marked or labelled with their applicable identifiers so that the item, its configuration documentation and other associated data correlate (EIA-649-1A 3.2(2)(j)). Identify the marking standard applied — MIL-STD-130, MIL-STD-1285 or MIL-STD-13231 as applicable — and the method where marking is applied by separate means.</w:t>
      </w:r>
      <w:r>
        <w:rPr>
          <w:iCs/>
          <w:i/>
        </w:rPr>
        <w:t xml:space="preserve">&gt;</w:t>
      </w:r>
    </w:p>
    <w:p>
      <w:pPr>
        <w:pStyle w:val="BodyText"/>
      </w:pPr>
      <w:r>
        <w:rPr>
          <w:iCs/>
          <w:i/>
        </w:rPr>
        <w:t xml:space="preserve">&lt;</w:t>
      </w:r>
      <w:r>
        <w:rPr>
          <w:bCs/>
          <w:b/>
          <w:iCs/>
          <w:i/>
        </w:rPr>
        <w:t xml:space="preserve">Where IUID applies: state adherence to DoD IUID directives as tailored in the contract, that IUID marking is per MIL-STD-130 when required by acquisition documents, and that the DoD IUID Registry is checked before a Unique Item Identifier is assigned to confirm it has not been previously assigned.</w:t>
      </w:r>
      <w:r>
        <w:rPr>
          <w:iCs/>
          <w:i/>
        </w:rPr>
        <w:t xml:space="preserve">&gt;</w:t>
      </w:r>
    </w:p>
    <w:p>
      <w:pPr>
        <w:pStyle w:val="BodyText"/>
      </w:pPr>
      <w:r>
        <w:rPr>
          <w:iCs/>
          <w:i/>
        </w:rPr>
        <w:t xml:space="preserve">&lt;</w:t>
      </w:r>
      <w:r>
        <w:rPr>
          <w:bCs/>
          <w:b/>
          <w:iCs/>
          <w:i/>
        </w:rPr>
        <w:t xml:space="preserve">State how Acquirer approval of type designation and nomenclature is obtained for each CI the Acquirer designates for control, tracking and logistics purposes (EIA-649-1A 3.2(2)(k)), and the nomenclature system applied.</w:t>
      </w:r>
      <w:r>
        <w:rPr>
          <w:iCs/>
          <w:i/>
        </w:rPr>
        <w:t xml:space="preserve">&gt;</w:t>
      </w:r>
    </w:p>
    <w:bookmarkStart w:id="55" w:name="Xa3d3555dbb421302549b5cf9507aeb99b1f72ec"/>
    <w:p>
      <w:pPr>
        <w:pStyle w:val="Heading4"/>
      </w:pPr>
      <w:r>
        <w:rPr>
          <w:bCs/>
          <w:b/>
        </w:rPr>
        <w:t xml:space="preserve">2.3.7.1 Software Identification, Marking and Labelling</w:t>
      </w:r>
    </w:p>
    <w:p>
      <w:pPr>
        <w:pStyle w:val="FirstParagraph"/>
      </w:pPr>
      <w:r>
        <w:rPr>
          <w:iCs/>
          <w:i/>
        </w:rPr>
        <w:t xml:space="preserve">&lt;</w:t>
      </w:r>
      <w:r>
        <w:rPr>
          <w:bCs/>
          <w:b/>
          <w:iCs/>
          <w:i/>
        </w:rPr>
        <w:t xml:space="preserve">State the format used for system product-unique identifiers assigned to elements of the software development environment — COTS development products such as compilers, linkers, loaders, binary developmental libraries, configuration settings and automation scripts. EIA-649-1A 3.2(3)(a) requires these to conform to the format specified in the CMP, so the format must be stated here rather than referenced.</w:t>
      </w:r>
      <w:r>
        <w:rPr>
          <w:iCs/>
          <w:i/>
        </w:rPr>
        <w:t xml:space="preserve">&gt;</w:t>
      </w:r>
    </w:p>
    <w:p>
      <w:pPr>
        <w:pStyle w:val="BodyText"/>
      </w:pPr>
      <w:r>
        <w:rPr>
          <w:iCs/>
          <w:i/>
        </w:rPr>
        <w:t xml:space="preserve">&lt;</w:t>
      </w:r>
      <w:r>
        <w:rPr>
          <w:bCs/>
          <w:b/>
          <w:iCs/>
          <w:i/>
        </w:rPr>
        <w:t xml:space="preserve">State: how computer software is designated as Configuration Items; how a part number representing the device with embedded code is provided where hardware and embedded code are controlled by a single altered item drawing; and how the part number and software medium carry the Supplier’s code/name identification marked separately on the device.</w:t>
      </w:r>
      <w:r>
        <w:rPr>
          <w:iCs/>
          <w:i/>
        </w:rPr>
        <w:t xml:space="preserve">&gt;</w:t>
      </w:r>
    </w:p>
    <w:p>
      <w:pPr>
        <w:pStyle w:val="BodyText"/>
      </w:pPr>
      <w:r>
        <w:rPr>
          <w:iCs/>
          <w:i/>
        </w:rPr>
        <w:t xml:space="preserve">&lt;</w:t>
      </w:r>
      <w:r>
        <w:rPr>
          <w:bCs/>
          <w:b/>
          <w:iCs/>
          <w:i/>
        </w:rPr>
        <w:t xml:space="preserve">State how software is marked and labelled: identifier and version embedded in source and executable code headers; each medium labelled with distribution statement, ITAR statement and classification with all identifiers repeated on the media; each label carrying or cross-referencing the applicable software identifiers; and the label indicating software maturity status — release candidate, or tested and verified.</w:t>
      </w:r>
      <w:r>
        <w:rPr>
          <w:iCs/>
          <w:i/>
        </w:rPr>
        <w:t xml:space="preserve">&gt;</w:t>
      </w:r>
    </w:p>
    <w:p>
      <w:pPr>
        <w:pStyle w:val="BodyText"/>
      </w:pPr>
      <w:r>
        <w:rPr>
          <w:iCs/>
          <w:i/>
        </w:rPr>
        <w:t xml:space="preserve">&lt;</w:t>
      </w:r>
      <w:r>
        <w:rPr>
          <w:bCs/>
          <w:b/>
          <w:iCs/>
          <w:i/>
        </w:rPr>
        <w:t xml:space="preserve">State the label content for deliverable Computer Software Configuration Item media: Acquirer contract number; CSCI number with a designator indicating source or executable code; design activity CAGE Code; and media number where there are multiple units per set, with copy numbers restarting from one at each new version.</w:t>
      </w:r>
      <w:r>
        <w:rPr>
          <w:iCs/>
          <w:i/>
        </w:rPr>
        <w:t xml:space="preserve">&gt;</w:t>
      </w:r>
    </w:p>
    <w:bookmarkEnd w:id="55"/>
    <w:bookmarkEnd w:id="56"/>
    <w:bookmarkStart w:id="57" w:name="engineering-release"/>
    <w:p>
      <w:pPr>
        <w:pStyle w:val="Heading3"/>
      </w:pPr>
      <w:r>
        <w:rPr>
          <w:bCs/>
          <w:b/>
        </w:rPr>
        <w:t xml:space="preserve">2.3.8 Engineering Release</w:t>
      </w:r>
    </w:p>
    <w:p>
      <w:pPr>
        <w:pStyle w:val="FirstParagraph"/>
      </w:pPr>
      <w:r>
        <w:rPr>
          <w:iCs/>
          <w:i/>
        </w:rPr>
        <w:t xml:space="preserve">&lt;</w:t>
      </w:r>
      <w:r>
        <w:rPr>
          <w:bCs/>
          <w:b/>
          <w:iCs/>
          <w:i/>
        </w:rPr>
        <w:t xml:space="preserve">State the engineering release process. EIA-649-1A 3.2.2 requires formal release records that authorize the use of new or revised configuration documentation; an engineering release system that issues initial and subsequent approved documentation including minor changes; release that authorizes the use of documentation associated with an approved configuration; and incorporation of approved configuration documentation and the Engineering Release Record into the CSA system.</w:t>
      </w:r>
      <w:r>
        <w:rPr>
          <w:iCs/>
          <w:i/>
        </w:rPr>
        <w:t xml:space="preserve">&gt;</w:t>
      </w:r>
    </w:p>
    <w:p>
      <w:pPr>
        <w:pStyle w:val="BodyText"/>
      </w:pPr>
      <w:r>
        <w:rPr>
          <w:iCs/>
          <w:i/>
        </w:rPr>
        <w:t xml:space="preserve">&lt;</w:t>
      </w:r>
      <w:r>
        <w:rPr>
          <w:bCs/>
          <w:b/>
          <w:iCs/>
          <w:i/>
        </w:rPr>
        <w:t xml:space="preserve">State what release authorizes and what it does not. Release authorizes use of the documentation; it is not approval of the change, which is a separate act.</w:t>
      </w:r>
      <w:r>
        <w:rPr>
          <w:iCs/>
          <w:i/>
        </w:rPr>
        <w:t xml:space="preserve">&gt;</w:t>
      </w:r>
    </w:p>
    <w:p>
      <w:pPr>
        <w:pStyle w:val="BodyText"/>
      </w:pPr>
      <w:r>
        <w:rPr>
          <w:iCs/>
          <w:i/>
        </w:rPr>
        <w:t xml:space="preserve">&lt;</w:t>
      </w:r>
      <w:r>
        <w:rPr>
          <w:bCs/>
          <w:b/>
          <w:iCs/>
          <w:i/>
        </w:rPr>
        <w:t xml:space="preserve">Identify the role holding configuration release authority and state that release of an affected unit may be withheld where required configuration records are incomplete. Where this plan or an associated procedure relies on a release hold as a control, the authority to apply it must be stated here or the control has no basis.</w:t>
      </w:r>
      <w:r>
        <w:rPr>
          <w:iCs/>
          <w:i/>
        </w:rPr>
        <w:t xml:space="preserve">&gt;</w:t>
      </w:r>
    </w:p>
    <w:p>
      <w:pPr>
        <w:pStyle w:val="BodyText"/>
      </w:pPr>
      <w:r>
        <w:rPr>
          <w:iCs/>
          <w:i/>
        </w:rPr>
        <w:t xml:space="preserve">&lt;</w:t>
      </w:r>
      <w:r>
        <w:rPr>
          <w:bCs/>
          <w:b/>
          <w:iCs/>
          <w:i/>
        </w:rPr>
        <w:t xml:space="preserve">State the content of a release record, including the effectivity to which the release applies — by unit, serial number, lot or time period — and how effectivity is determined and recorded.</w:t>
      </w:r>
      <w:r>
        <w:rPr>
          <w:iCs/>
          <w:i/>
        </w:rPr>
        <w:t xml:space="preserve">&gt;</w:t>
      </w:r>
    </w:p>
    <w:p>
      <w:pPr>
        <w:pStyle w:val="BodyText"/>
      </w:pPr>
      <w:r>
        <w:rPr>
          <w:iCs/>
          <w:i/>
        </w:rPr>
        <w:t xml:space="preserve">&lt;</w:t>
      </w:r>
      <w:r>
        <w:rPr>
          <w:bCs/>
          <w:b/>
          <w:iCs/>
          <w:i/>
        </w:rPr>
        <w:t xml:space="preserve">State how each item of configuration documentation — item, material and process specifications, software specifications and Software Version Descriptions — is placed under configuration control (EIA-649-1A 3.2(2)(h)).</w:t>
      </w:r>
      <w:r>
        <w:rPr>
          <w:iCs/>
          <w:i/>
        </w:rPr>
        <w:t xml:space="preserve">&gt;</w:t>
      </w:r>
    </w:p>
    <w:bookmarkEnd w:id="57"/>
    <w:bookmarkStart w:id="58" w:name="interface-identification-and-control"/>
    <w:p>
      <w:pPr>
        <w:pStyle w:val="Heading3"/>
      </w:pPr>
      <w:r>
        <w:rPr>
          <w:bCs/>
          <w:b/>
        </w:rPr>
        <w:t xml:space="preserve">2.3.9 Interface Identification and Control</w:t>
      </w:r>
    </w:p>
    <w:p>
      <w:pPr>
        <w:pStyle w:val="FirstParagraph"/>
      </w:pPr>
      <w:r>
        <w:rPr>
          <w:iCs/>
          <w:i/>
        </w:rPr>
        <w:t xml:space="preserve">&lt;</w:t>
      </w:r>
      <w:r>
        <w:rPr>
          <w:bCs/>
          <w:b/>
          <w:iCs/>
          <w:i/>
        </w:rPr>
        <w:t xml:space="preserve">State how internal and external interface requirements for the system and its Configuration Items are identified (EIA-649-1A 3.2.5.1(1)), and where they are recorded. Identify the interface register or equivalent and its coverage-check cadence.</w:t>
      </w:r>
      <w:r>
        <w:rPr>
          <w:iCs/>
          <w:i/>
        </w:rPr>
        <w:t xml:space="preserve">&gt;</w:t>
      </w:r>
    </w:p>
    <w:p>
      <w:pPr>
        <w:pStyle w:val="BodyText"/>
      </w:pPr>
      <w:r>
        <w:rPr>
          <w:iCs/>
          <w:i/>
        </w:rPr>
        <w:t xml:space="preserve">&lt;</w:t>
      </w:r>
      <w:r>
        <w:rPr>
          <w:bCs/>
          <w:b/>
          <w:iCs/>
          <w:i/>
        </w:rPr>
        <w:t xml:space="preserve">State how all interface information is incorporated into the FCD, ACD and PCD (3.2.5.1(2)), and how configuration control is maintained over interface requirements defined in baseline specifications (3.2.5.2 (3)).</w:t>
      </w:r>
      <w:r>
        <w:rPr>
          <w:iCs/>
          <w:i/>
        </w:rPr>
        <w:t xml:space="preserve">&gt;</w:t>
      </w:r>
    </w:p>
    <w:p>
      <w:pPr>
        <w:pStyle w:val="BodyText"/>
      </w:pPr>
      <w:r>
        <w:rPr>
          <w:iCs/>
          <w:i/>
        </w:rPr>
        <w:t xml:space="preserve">&lt;</w:t>
      </w:r>
      <w:r>
        <w:rPr>
          <w:bCs/>
          <w:b/>
          <w:iCs/>
          <w:i/>
        </w:rPr>
        <w:t xml:space="preserve">Where an Acquirer ICWG exists: state that a representative is provided, and that the representative is empowered to commit the interfacing sub-supplier to specific interface actions and agreements; to provide agreed draft interface control documentation at the specified period before the meeting; to update, release, control and re-release interface control documentation reflecting ICWG decisions; and to distribute released interface control documentation to other participants.</w:t>
      </w:r>
      <w:r>
        <w:rPr>
          <w:iCs/>
          <w:i/>
        </w:rPr>
        <w:t xml:space="preserve">&gt;</w:t>
      </w:r>
    </w:p>
    <w:p>
      <w:pPr>
        <w:pStyle w:val="BodyText"/>
      </w:pPr>
      <w:r>
        <w:rPr>
          <w:iCs/>
          <w:i/>
        </w:rPr>
        <w:t xml:space="preserve">&lt;</w:t>
      </w:r>
      <w:r>
        <w:rPr>
          <w:bCs/>
          <w:b/>
          <w:iCs/>
          <w:i/>
        </w:rPr>
        <w:t xml:space="preserve">State how interface changes are controlled where the interface is shared with another Supplier or program — who agrees the change, and how agreement is evidenced before the change is incorporated.</w:t>
      </w:r>
      <w:r>
        <w:rPr>
          <w:iCs/>
          <w:i/>
        </w:rPr>
        <w:t xml:space="preserve">&gt;</w:t>
      </w:r>
    </w:p>
    <w:bookmarkEnd w:id="58"/>
    <w:bookmarkStart w:id="59" w:name="export-control-and-program-protection"/>
    <w:p>
      <w:pPr>
        <w:pStyle w:val="Heading3"/>
      </w:pPr>
      <w:r>
        <w:rPr>
          <w:bCs/>
          <w:b/>
        </w:rPr>
        <w:t xml:space="preserve">2.3.10 Export Control and Program Protection</w:t>
      </w:r>
    </w:p>
    <w:p>
      <w:pPr>
        <w:pStyle w:val="FirstParagraph"/>
      </w:pPr>
      <w:r>
        <w:rPr>
          <w:iCs/>
          <w:i/>
        </w:rPr>
        <w:t xml:space="preserve">&lt;</w:t>
      </w:r>
      <w:r>
        <w:rPr>
          <w:bCs/>
          <w:b/>
          <w:iCs/>
          <w:i/>
        </w:rPr>
        <w:t xml:space="preserve">Export control applies to all programs in this organization. State how export-controlled configuration information is identified, marked and controlled through the CM process.</w:t>
      </w:r>
      <w:r>
        <w:rPr>
          <w:iCs/>
          <w:i/>
        </w:rPr>
        <w:t xml:space="preserve">&gt;</w:t>
      </w:r>
    </w:p>
    <w:p>
      <w:pPr>
        <w:pStyle w:val="BodyText"/>
      </w:pPr>
      <w:r>
        <w:rPr>
          <w:iCs/>
          <w:i/>
        </w:rPr>
        <w:t xml:space="preserve">&lt;</w:t>
      </w:r>
      <w:r>
        <w:rPr>
          <w:bCs/>
          <w:b/>
          <w:iCs/>
          <w:i/>
        </w:rPr>
        <w:t xml:space="preserve">State: the export control classification applied to configuration documentation and the authority that determines it; how the classification is recorded as an attribute of the configuration item and its documentation; how it is re-assessed when documentation is revised; and the controls applied to storage, access and transfer, including transfer to sub-suppliers and to the Acquirer.</w:t>
      </w:r>
      <w:r>
        <w:rPr>
          <w:iCs/>
          <w:i/>
        </w:rPr>
        <w:t xml:space="preserve">&gt;</w:t>
      </w:r>
    </w:p>
    <w:p>
      <w:pPr>
        <w:pStyle w:val="BodyText"/>
      </w:pPr>
      <w:r>
        <w:rPr>
          <w:iCs/>
          <w:i/>
        </w:rPr>
        <w:t xml:space="preserve">&lt;</w:t>
      </w:r>
      <w:r>
        <w:rPr>
          <w:bCs/>
          <w:b/>
          <w:iCs/>
          <w:i/>
        </w:rPr>
        <w:t xml:space="preserve">State the distribution statement scheme applied to technical documents and where it is determined. Confirm consistency with the ITAR statement required on software media labels in 2.3.7.1 — a medium and its contents must not carry inconsistent markings.</w:t>
      </w:r>
      <w:r>
        <w:rPr>
          <w:iCs/>
          <w:i/>
        </w:rPr>
        <w:t xml:space="preserve">&gt;</w:t>
      </w:r>
    </w:p>
    <w:p>
      <w:pPr>
        <w:pStyle w:val="BodyText"/>
      </w:pPr>
      <w:r>
        <w:rPr>
          <w:iCs/>
          <w:i/>
        </w:rPr>
        <w:t xml:space="preserve">&lt;</w:t>
      </w:r>
      <w:r>
        <w:rPr>
          <w:bCs/>
          <w:b/>
          <w:iCs/>
          <w:i/>
        </w:rPr>
        <w:t xml:space="preserve">Where Critical Program Information is designated on a program: state how CPI is identified in configuration documentation, how it is tracked through change and release, and how the configuration process prevents its inadvertent inclusion in configurations released for export. Where no CPI is designated, state that.</w:t>
      </w:r>
      <w:r>
        <w:rPr>
          <w:iCs/>
          <w:i/>
        </w:rPr>
        <w:t xml:space="preserve">&gt;</w:t>
      </w:r>
    </w:p>
    <w:p>
      <w:pPr>
        <w:pStyle w:val="BodyText"/>
      </w:pPr>
      <w:r>
        <w:rPr>
          <w:iCs/>
          <w:i/>
        </w:rPr>
        <w:t xml:space="preserve">&lt;</w:t>
      </w:r>
      <w:r>
        <w:rPr>
          <w:bCs/>
          <w:b/>
          <w:iCs/>
          <w:i/>
        </w:rPr>
        <w:t xml:space="preserve">Identify the CM interface to the program protection and export functions: who determines classification, who is notified when export-controlled documentation changes, and at what point in the change and release process the check occurs.</w:t>
      </w:r>
      <w:r>
        <w:rPr>
          <w:iCs/>
          <w:i/>
        </w:rPr>
        <w:t xml:space="preserve">&gt;</w:t>
      </w:r>
    </w:p>
    <w:bookmarkEnd w:id="59"/>
    <w:bookmarkStart w:id="60" w:name="Xd6edde8a0356f82f6e6823efb6b9c2117df390b"/>
    <w:p>
      <w:pPr>
        <w:pStyle w:val="Heading3"/>
      </w:pPr>
      <w:r>
        <w:rPr>
          <w:bCs/>
          <w:b/>
        </w:rPr>
        <w:t xml:space="preserve">2.3.11 Safety Barrier Requirements Applicable to this Function</w:t>
      </w:r>
    </w:p>
    <w:p>
      <w:pPr>
        <w:pStyle w:val="FirstParagraph"/>
      </w:pPr>
      <w:r>
        <w:t xml:space="preserve">Safety barrier requirements F01 (safety-critical CI selection) and F35–F37 (interface requirement identification, incorporation into FCD/ACD/PCD, and configuration control of baselined interfaces) are implemented through this function. See Section 7.1 and 7.4.</w:t>
      </w:r>
    </w:p>
    <w:bookmarkEnd w:id="60"/>
    <w:bookmarkEnd w:id="61"/>
    <w:bookmarkStart w:id="79" w:name="configuration-control"/>
    <w:p>
      <w:pPr>
        <w:pStyle w:val="Heading2"/>
      </w:pPr>
      <w:r>
        <w:rPr>
          <w:bCs/>
          <w:b/>
        </w:rPr>
        <w:t xml:space="preserve">2.4 Configuration Control</w:t>
      </w:r>
    </w:p>
    <w:bookmarkStart w:id="62" w:name="function-3"/>
    <w:p>
      <w:pPr>
        <w:pStyle w:val="Heading3"/>
      </w:pPr>
      <w:r>
        <w:rPr>
          <w:bCs/>
          <w:b/>
        </w:rPr>
        <w:t xml:space="preserve">2.4.1 Function</w:t>
      </w:r>
    </w:p>
    <w:p>
      <w:pPr>
        <w:pStyle w:val="FirstParagraph"/>
      </w:pPr>
      <w:r>
        <w:t xml:space="preserve">The CM function that ensures a consistent systematic change process establishes and maintains control of configuration baselines, and that changes to processes, products, and services are properly identified, recorded, evaluated, approved or disapproved, incorporated and verified as appropriate.</w:t>
      </w:r>
    </w:p>
    <w:bookmarkEnd w:id="62"/>
    <w:bookmarkStart w:id="63" w:name="principle-3"/>
    <w:p>
      <w:pPr>
        <w:pStyle w:val="Heading3"/>
      </w:pPr>
      <w:r>
        <w:rPr>
          <w:bCs/>
          <w:b/>
        </w:rPr>
        <w:t xml:space="preserve">2.4.2 Principle</w:t>
      </w:r>
    </w:p>
    <w:p>
      <w:pPr>
        <w:pStyle w:val="FirstParagraph"/>
      </w:pPr>
      <w:r>
        <w:t xml:space="preserve">Product and document changes are accomplished using a systematic, measurable change process. Classification of a requested change determines the appropriate level of review and the applicable change approval authority. A unique change identifier enables tracking of the change request and the status of implementation and verification of the approved change.</w:t>
      </w:r>
    </w:p>
    <w:bookmarkEnd w:id="63"/>
    <w:bookmarkStart w:id="64" w:name="activity-3"/>
    <w:p>
      <w:pPr>
        <w:pStyle w:val="Heading3"/>
      </w:pPr>
      <w:r>
        <w:rPr>
          <w:bCs/>
          <w:b/>
        </w:rPr>
        <w:t xml:space="preserve">2.4.3 Activity</w:t>
      </w:r>
    </w:p>
    <w:p>
      <w:pPr>
        <w:pStyle w:val="FirstParagraph"/>
      </w:pPr>
      <w:r>
        <w:rPr>
          <w:iCs/>
          <w:i/>
        </w:rPr>
        <w:t xml:space="preserve">&lt;</w:t>
      </w:r>
      <w:r>
        <w:rPr>
          <w:bCs/>
          <w:b/>
          <w:iCs/>
          <w:i/>
        </w:rPr>
        <w:t xml:space="preserve">Provide an overview description of how Configuration Control will be implemented, including the CCB charter, ECP/NOR processing, engineering release, and change verification</w:t>
      </w:r>
      <w:r>
        <w:rPr>
          <w:iCs/>
          <w:i/>
        </w:rPr>
        <w:t xml:space="preserve">&gt;</w:t>
      </w:r>
    </w:p>
    <w:p>
      <w:pPr>
        <w:pStyle w:val="BodyText"/>
      </w:pPr>
      <w:r>
        <w:rPr>
          <w:bCs/>
          <w:b/>
        </w:rPr>
        <w:t xml:space="preserve">Two distinct classification schemes are used in this plan and must not be conflated: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Scheme</w:t>
            </w:r>
          </w:p>
        </w:tc>
        <w:tc>
          <w:tcPr/>
          <w:p>
            <w:pPr>
              <w:pStyle w:val="Compact"/>
              <w:jc w:val="left"/>
            </w:pPr>
            <w:r>
              <w:rPr>
                <w:bCs/>
                <w:b/>
              </w:rPr>
              <w:t xml:space="preserve">Applies to</w:t>
            </w:r>
          </w:p>
        </w:tc>
        <w:tc>
          <w:tcPr/>
          <w:p>
            <w:pPr>
              <w:pStyle w:val="Compact"/>
              <w:jc w:val="left"/>
            </w:pPr>
            <w:r>
              <w:rPr>
                <w:bCs/>
                <w:b/>
              </w:rPr>
              <w:t xml:space="preserve">Categories</w:t>
            </w:r>
          </w:p>
        </w:tc>
        <w:tc>
          <w:tcPr/>
          <w:p>
            <w:pPr>
              <w:pStyle w:val="Compact"/>
              <w:jc w:val="left"/>
            </w:pPr>
            <w:r>
              <w:rPr>
                <w:bCs/>
                <w:b/>
              </w:rPr>
              <w:t xml:space="preserve">Content basis</w:t>
            </w:r>
          </w:p>
        </w:tc>
        <w:tc>
          <w:tcPr/>
          <w:p>
            <w:pPr>
              <w:pStyle w:val="Compact"/>
              <w:jc w:val="left"/>
            </w:pPr>
            <w:r>
              <w:rPr>
                <w:bCs/>
                <w:b/>
              </w:rPr>
              <w:t xml:space="preserve">Where defined</w:t>
            </w:r>
          </w:p>
        </w:tc>
      </w:tr>
      <w:tr>
        <w:tc>
          <w:tcPr/>
          <w:p>
            <w:pPr>
              <w:pStyle w:val="Compact"/>
              <w:jc w:val="left"/>
            </w:pPr>
            <w:r>
              <w:t xml:space="preserve">Engineering change classification</w:t>
            </w:r>
          </w:p>
        </w:tc>
        <w:tc>
          <w:tcPr/>
          <w:p>
            <w:pPr>
              <w:pStyle w:val="Compact"/>
              <w:jc w:val="left"/>
            </w:pPr>
            <w:r>
              <w:t xml:space="preserve">ECPs — changes to an approved baseline</w:t>
            </w:r>
          </w:p>
        </w:tc>
        <w:tc>
          <w:tcPr/>
          <w:p>
            <w:pPr>
              <w:pStyle w:val="Compact"/>
              <w:jc w:val="left"/>
            </w:pPr>
            <w:r>
              <w:t xml:space="preserve">Major (Class I) / Minor (Class II)</w:t>
            </w:r>
          </w:p>
        </w:tc>
        <w:tc>
          <w:tcPr/>
          <w:p>
            <w:pPr>
              <w:pStyle w:val="Compact"/>
              <w:jc w:val="left"/>
            </w:pPr>
            <w:r>
              <w:t xml:space="preserve">DD Form 1692 or approved equivalent</w:t>
            </w:r>
          </w:p>
        </w:tc>
        <w:tc>
          <w:tcPr/>
          <w:p>
            <w:pPr>
              <w:pStyle w:val="Compact"/>
              <w:jc w:val="left"/>
            </w:pPr>
            <w:r>
              <w:t xml:space="preserve">2.4.4</w:t>
            </w:r>
          </w:p>
        </w:tc>
      </w:tr>
      <w:tr>
        <w:tc>
          <w:tcPr/>
          <w:p>
            <w:pPr>
              <w:pStyle w:val="Compact"/>
              <w:jc w:val="left"/>
            </w:pPr>
            <w:r>
              <w:t xml:space="preserve">Variance classification</w:t>
            </w:r>
          </w:p>
        </w:tc>
        <w:tc>
          <w:tcPr/>
          <w:p>
            <w:pPr>
              <w:pStyle w:val="Compact"/>
              <w:jc w:val="left"/>
            </w:pPr>
            <w:r>
              <w:t xml:space="preserve">RFVs — departures from approved configuration information</w:t>
            </w:r>
          </w:p>
        </w:tc>
        <w:tc>
          <w:tcPr/>
          <w:p>
            <w:pPr>
              <w:pStyle w:val="Compact"/>
              <w:jc w:val="left"/>
            </w:pPr>
            <w:r>
              <w:t xml:space="preserve">Critical / Major / Minor</w:t>
            </w:r>
          </w:p>
        </w:tc>
        <w:tc>
          <w:tcPr/>
          <w:p>
            <w:pPr>
              <w:pStyle w:val="Compact"/>
              <w:jc w:val="left"/>
            </w:pPr>
            <w:r>
              <w:t xml:space="preserve">DD Form 1694</w:t>
            </w:r>
          </w:p>
        </w:tc>
        <w:tc>
          <w:tcPr/>
          <w:p>
            <w:pPr>
              <w:pStyle w:val="Compact"/>
              <w:jc w:val="left"/>
            </w:pPr>
            <w:r>
              <w:t xml:space="preserve">2.4.6</w:t>
            </w:r>
          </w:p>
        </w:tc>
      </w:tr>
    </w:tbl>
    <w:p>
      <w:pPr>
        <w:pStyle w:val="BodyText"/>
      </w:pPr>
      <w:r>
        <w:rPr>
          <w:iCs/>
          <w:i/>
        </w:rPr>
        <w:t xml:space="preserve">&lt;</w:t>
      </w:r>
      <w:r>
        <w:rPr>
          <w:bCs/>
          <w:b/>
          <w:iCs/>
          <w:i/>
        </w:rPr>
        <w:t xml:space="preserve">Both schemes use the words</w:t>
      </w:r>
      <w:r>
        <w:rPr>
          <w:bCs/>
          <w:b/>
          <w:iCs/>
          <w:i/>
        </w:rPr>
        <w:t xml:space="preserve"> </w:t>
      </w:r>
      <w:r>
        <w:rPr>
          <w:bCs/>
          <w:b/>
          <w:iCs/>
          <w:i/>
        </w:rPr>
        <w:t xml:space="preserve">“</w:t>
      </w:r>
      <w:r>
        <w:rPr>
          <w:bCs/>
          <w:b/>
          <w:iCs/>
          <w:i/>
        </w:rPr>
        <w:t xml:space="preserve">Major</w:t>
      </w:r>
      <w:r>
        <w:rPr>
          <w:bCs/>
          <w:b/>
          <w:iCs/>
          <w:i/>
        </w:rPr>
        <w:t xml:space="preserve">”</w:t>
      </w:r>
      <w:r>
        <w:rPr>
          <w:bCs/>
          <w:b/>
          <w:iCs/>
          <w:i/>
        </w:rPr>
        <w:t xml:space="preserve"> </w:t>
      </w:r>
      <w:r>
        <w:rPr>
          <w:bCs/>
          <w:b/>
          <w:iCs/>
          <w:i/>
        </w:rPr>
        <w:t xml:space="preserve">and</w:t>
      </w:r>
      <w:r>
        <w:rPr>
          <w:bCs/>
          <w:b/>
          <w:iCs/>
          <w:i/>
        </w:rPr>
        <w:t xml:space="preserve"> </w:t>
      </w:r>
      <w:r>
        <w:rPr>
          <w:bCs/>
          <w:b/>
          <w:iCs/>
          <w:i/>
        </w:rPr>
        <w:t xml:space="preserve">“</w:t>
      </w:r>
      <w:r>
        <w:rPr>
          <w:bCs/>
          <w:b/>
          <w:iCs/>
          <w:i/>
        </w:rPr>
        <w:t xml:space="preserve">Minor</w:t>
      </w:r>
      <w:r>
        <w:rPr>
          <w:bCs/>
          <w:b/>
          <w:iCs/>
          <w:i/>
        </w:rPr>
        <w:t xml:space="preserve">”</w:t>
      </w:r>
      <w:r>
        <w:rPr>
          <w:bCs/>
          <w:b/>
          <w:iCs/>
          <w:i/>
        </w:rPr>
        <w:t xml:space="preserve"> </w:t>
      </w:r>
      <w:r>
        <w:rPr>
          <w:bCs/>
          <w:b/>
          <w:iCs/>
          <w:i/>
        </w:rPr>
        <w:t xml:space="preserve">with different meanings and different approval consequences. Label the scheme explicitly wherever a classification is stated in this plan or in any record it governs.</w:t>
      </w:r>
      <w:r>
        <w:rPr>
          <w:iCs/>
          <w:i/>
        </w:rPr>
        <w:t xml:space="preserve">&gt;</w:t>
      </w:r>
    </w:p>
    <w:p>
      <w:pPr>
        <w:pStyle w:val="BodyText"/>
      </w:pPr>
      <w:r>
        <w:t xml:space="preserve">i.e. A CCB Charter details the responsibilities, voting members, operating procedures and periodicity of the CCB. A Change Request is the vehicle for recording a recommended change against hardware configuration, software configuration, baseline content, and documentation.</w:t>
      </w:r>
    </w:p>
    <w:bookmarkEnd w:id="64"/>
    <w:bookmarkStart w:id="70" w:name="X69c429dce1cf78a21446713ad83c4ad2ea70388"/>
    <w:p>
      <w:pPr>
        <w:pStyle w:val="Heading3"/>
      </w:pPr>
      <w:r>
        <w:rPr>
          <w:bCs/>
          <w:b/>
        </w:rPr>
        <w:t xml:space="preserve">2.4.4 Engineering Change Documentation, Format and Priority</w:t>
      </w:r>
    </w:p>
    <w:p>
      <w:pPr>
        <w:pStyle w:val="FirstParagraph"/>
      </w:pPr>
      <w:r>
        <w:rPr>
          <w:iCs/>
          <w:i/>
        </w:rPr>
        <w:t xml:space="preserve">&lt;</w:t>
      </w:r>
      <w:r>
        <w:rPr>
          <w:bCs/>
          <w:b/>
          <w:iCs/>
          <w:i/>
        </w:rPr>
        <w:t xml:space="preserve">State how changes to approved baselines are documented and submitted. EIA-649-1A 3.3.1(1) requires an ECP to document changes to approved baselines via their configuration documentation, submitted to the Acquirer or the Acquirer’s designated change authority.</w:t>
      </w:r>
      <w:r>
        <w:rPr>
          <w:iCs/>
          <w:i/>
        </w:rPr>
        <w:t xml:space="preserve">&gt;</w:t>
      </w:r>
    </w:p>
    <w:p>
      <w:pPr>
        <w:pStyle w:val="BodyText"/>
      </w:pPr>
      <w:r>
        <w:rPr>
          <w:iCs/>
          <w:i/>
        </w:rPr>
        <w:t xml:space="preserve">&lt;</w:t>
      </w:r>
      <w:r>
        <w:rPr>
          <w:bCs/>
          <w:b/>
          <w:iCs/>
          <w:i/>
        </w:rPr>
        <w:t xml:space="preserve">State the actions performed when an engineering change affects documentation previously approved by the Acquirer: define the need; review the product model and technical data to determine the specific changes required; prepare the ECP, Notice of Revision and supporting technical data; prepare a separate ECP for each change having its own distinct objective; incorporate the approved ECP into configuration documentation in a timely manner; implement and update documentation through the documented engineering release system; record all changes in the CSA system; verify correct implementation; identify superseding ECP revisions; provide an implementation timeline schedule for each ECP; and state the effects on the program if the ECP is not approved.</w:t>
      </w:r>
      <w:r>
        <w:rPr>
          <w:iCs/>
          <w:i/>
        </w:rPr>
        <w:t xml:space="preserve">&gt;</w:t>
      </w:r>
    </w:p>
    <w:p>
      <w:pPr>
        <w:pStyle w:val="BodyText"/>
      </w:pPr>
      <w:r>
        <w:rPr>
          <w:iCs/>
          <w:i/>
        </w:rPr>
        <w:t xml:space="preserve">&lt;</w:t>
      </w:r>
      <w:r>
        <w:rPr>
          <w:bCs/>
          <w:b/>
          <w:iCs/>
          <w:i/>
        </w:rPr>
        <w:t xml:space="preserve">State how the Acquirer is notified via ECP of changes to COTS hardware or software that may affect interface or interoperability characteristics.</w:t>
      </w:r>
      <w:r>
        <w:rPr>
          <w:iCs/>
          <w:i/>
        </w:rPr>
        <w:t xml:space="preserve">&gt;</w:t>
      </w:r>
    </w:p>
    <w:bookmarkStart w:id="65" w:name="engineering-change-classification"/>
    <w:p>
      <w:pPr>
        <w:pStyle w:val="Heading4"/>
      </w:pPr>
      <w:r>
        <w:rPr>
          <w:bCs/>
          <w:b/>
        </w:rPr>
        <w:t xml:space="preserve">2.4.4.1 Engineering Change Classification</w:t>
      </w:r>
    </w:p>
    <w:p>
      <w:pPr>
        <w:pStyle w:val="FirstParagraph"/>
      </w:pPr>
      <w:r>
        <w:rPr>
          <w:iCs/>
          <w:i/>
        </w:rPr>
        <w:t xml:space="preserve">&lt;</w:t>
      </w:r>
      <w:r>
        <w:rPr>
          <w:bCs/>
          <w:b/>
          <w:iCs/>
          <w:i/>
        </w:rPr>
        <w:t xml:space="preserve">State how Major (Class I) and Minor (Class II) classification is assigned using DD Form 1692 content or an approved equivalent, who assigns it, and who reviews it. A Minor (Class II) ECP is one whose change does not meet any Major (Class I) criterion; Minor changes are limited to administrative matters, documentation clarifications, corrections, and configuration changes that do not affect interchangeability.</w:t>
      </w:r>
      <w:r>
        <w:rPr>
          <w:iCs/>
          <w:i/>
        </w:rPr>
        <w:t xml:space="preserve">&gt;</w:t>
      </w:r>
    </w:p>
    <w:p>
      <w:pPr>
        <w:pStyle w:val="BodyText"/>
      </w:pPr>
      <w:r>
        <w:rPr>
          <w:iCs/>
          <w:i/>
        </w:rPr>
        <w:t xml:space="preserve">&lt;</w:t>
      </w:r>
      <w:r>
        <w:rPr>
          <w:bCs/>
          <w:b/>
          <w:iCs/>
          <w:i/>
        </w:rPr>
        <w:t xml:space="preserve">Identify where the full Major (Class I) criteria of EIA-649-1A 3.3.1.2(2) are applied — they run to more than thirty conditions covering physical and functional requirements, acquisition baselines owned by the Acquirer, interface and interoperability compatibility, specified safety, reliability, maintainability, durability, survivability and supportability requirements, interchangeability, software builds and versions, security including INFOSEC, OPSEC and cyber, environmental impact, life cycle cost, retrofit of delivered products, re-qualification, domain certification such as airworthiness, and non-technical contractual matters. State how the classifier is given access to the full criteria set rather than a summary.</w:t>
      </w:r>
      <w:r>
        <w:rPr>
          <w:iCs/>
          <w:i/>
        </w:rPr>
        <w:t xml:space="preserve">&gt;</w:t>
      </w:r>
    </w:p>
    <w:p>
      <w:pPr>
        <w:pStyle w:val="BodyText"/>
      </w:pPr>
      <w:r>
        <w:rPr>
          <w:iCs/>
          <w:i/>
        </w:rPr>
        <w:t xml:space="preserve">&lt;</w:t>
      </w:r>
      <w:r>
        <w:rPr>
          <w:bCs/>
          <w:b/>
          <w:iCs/>
          <w:i/>
        </w:rPr>
        <w:t xml:space="preserve">Where the product is a military derivative of a commercial product regulated by the FAA under 14 CFR Part 21 Subpart D, state that major/minor classification may carry different meaning and criteria for certification purposes, and how the two are reconciled.</w:t>
      </w:r>
      <w:r>
        <w:rPr>
          <w:iCs/>
          <w:i/>
        </w:rPr>
        <w:t xml:space="preserve">&gt;</w:t>
      </w:r>
    </w:p>
    <w:p>
      <w:pPr>
        <w:pStyle w:val="BodyText"/>
      </w:pPr>
      <w:r>
        <w:rPr>
          <w:iCs/>
          <w:i/>
        </w:rPr>
        <w:t xml:space="preserve">&lt;</w:t>
      </w:r>
      <w:r>
        <w:rPr>
          <w:bCs/>
          <w:b/>
          <w:iCs/>
          <w:i/>
        </w:rPr>
        <w:t xml:space="preserve">State the approval authority: the Acquirer is configuration approval authority for all Major (Class I) engineering changes once the Acquirer has configuration control of the baseline. State the internal authority for Minor (Class II) changes and for changes to Supplier-controlled baselines.</w:t>
      </w:r>
      <w:r>
        <w:rPr>
          <w:iCs/>
          <w:i/>
        </w:rPr>
        <w:t xml:space="preserve">&gt;</w:t>
      </w:r>
    </w:p>
    <w:p>
      <w:pPr>
        <w:pStyle w:val="BodyText"/>
      </w:pPr>
      <w:r>
        <w:rPr>
          <w:iCs/>
          <w:i/>
        </w:rPr>
        <w:t xml:space="preserve">&lt;</w:t>
      </w:r>
      <w:r>
        <w:rPr>
          <w:bCs/>
          <w:b/>
          <w:iCs/>
          <w:i/>
        </w:rPr>
        <w:t xml:space="preserve">State how Acquirer concurrence in Minor (Class II) classification is obtained; that a Minor ECP is cancelled where the Acquirer disagrees with the classification and may be revised and resubmitted as Major; that classification disagreements are submitted to the Acquirer for final decision; and that Minor changes are submitted to the Configuration Approval Authority for concurrence, approval or disapproval after classification review and prior to product delivery.</w:t>
      </w:r>
      <w:r>
        <w:rPr>
          <w:iCs/>
          <w:i/>
        </w:rPr>
        <w:t xml:space="preserve">&gt;</w:t>
      </w:r>
    </w:p>
    <w:bookmarkEnd w:id="65"/>
    <w:bookmarkStart w:id="66" w:name="ecp-format"/>
    <w:p>
      <w:pPr>
        <w:pStyle w:val="Heading4"/>
      </w:pPr>
      <w:r>
        <w:rPr>
          <w:bCs/>
          <w:b/>
        </w:rPr>
        <w:t xml:space="preserve">2.4.4.2 ECP Format</w:t>
      </w:r>
    </w:p>
    <w:p>
      <w:pPr>
        <w:pStyle w:val="FirstParagraph"/>
      </w:pPr>
      <w:r>
        <w:rPr>
          <w:iCs/>
          <w:i/>
        </w:rPr>
        <w:t xml:space="preserve">&lt;</w:t>
      </w:r>
      <w:r>
        <w:rPr>
          <w:bCs/>
          <w:b/>
          <w:iCs/>
          <w:i/>
        </w:rPr>
        <w:t xml:space="preserve">State the ECP format used. Unless otherwise negotiated, ECPs are prepared on the DD Form 1692 series or on Supplier forms provided the information requirements of the 1692 series are satisfied. Where Supplier formats are used for Major (Class I) or Minor (Class II) ECPs, Acquirer approval is required — state whether it has been obtained and reference it.</w:t>
      </w:r>
      <w:r>
        <w:rPr>
          <w:iCs/>
          <w:i/>
        </w:rPr>
        <w:t xml:space="preserve">&gt;</w:t>
      </w:r>
    </w:p>
    <w:bookmarkEnd w:id="66"/>
    <w:bookmarkStart w:id="67" w:name="engineering-change-priority"/>
    <w:p>
      <w:pPr>
        <w:pStyle w:val="Heading4"/>
      </w:pPr>
      <w:r>
        <w:rPr>
          <w:bCs/>
          <w:b/>
        </w:rPr>
        <w:t xml:space="preserve">2.4.4.3 Engineering Change Priority</w:t>
      </w:r>
    </w:p>
    <w:p>
      <w:pPr>
        <w:pStyle w:val="FirstParagraph"/>
      </w:pPr>
      <w:r>
        <w:rPr>
          <w:iCs/>
          <w:i/>
        </w:rPr>
        <w:t xml:space="preserve">&lt;</w:t>
      </w:r>
      <w:r>
        <w:rPr>
          <w:bCs/>
          <w:b/>
          <w:iCs/>
          <w:i/>
        </w:rPr>
        <w:t xml:space="preserve">State how change priority is assigned. The Acquirer uses the priority recommendation to set the timeframe for review, evaluation, ordering and implementation: emergency — 48 hours; urgent — 30 days; routine — 90 calendar days. An Emergency or Urgent priority is assigned to a Major (Class I) ECP with prior Acquirer approval; state how that approval is obtained.</w:t>
      </w:r>
      <w:r>
        <w:rPr>
          <w:iCs/>
          <w:i/>
        </w:rPr>
        <w:t xml:space="preserve">&gt;</w:t>
      </w:r>
    </w:p>
    <w:bookmarkEnd w:id="67"/>
    <w:bookmarkStart w:id="68" w:name="Xee006d6eaf864b1973b8daa16e79ab32e44888f"/>
    <w:p>
      <w:pPr>
        <w:pStyle w:val="Heading4"/>
      </w:pPr>
      <w:r>
        <w:rPr>
          <w:bCs/>
          <w:b/>
        </w:rPr>
        <w:t xml:space="preserve">2.4.4.4 Notices of Revision and Specification Change Notices</w:t>
      </w:r>
    </w:p>
    <w:p>
      <w:pPr>
        <w:pStyle w:val="FirstParagraph"/>
      </w:pPr>
      <w:r>
        <w:rPr>
          <w:iCs/>
          <w:i/>
        </w:rPr>
        <w:t xml:space="preserve">&lt;</w:t>
      </w:r>
      <w:r>
        <w:rPr>
          <w:bCs/>
          <w:b/>
          <w:iCs/>
          <w:i/>
        </w:rPr>
        <w:t xml:space="preserve">State how a Notice of Revision is submitted for each document affected by an ECP, in NOR or approved contractor format, and that all information required to disposition the NOR and its associated ECP is prepared and submitted with it (EIA-649-1A 3.3.4).</w:t>
      </w:r>
      <w:r>
        <w:rPr>
          <w:iCs/>
          <w:i/>
        </w:rPr>
        <w:t xml:space="preserve">&gt;</w:t>
      </w:r>
    </w:p>
    <w:p>
      <w:pPr>
        <w:pStyle w:val="BodyText"/>
      </w:pPr>
      <w:r>
        <w:rPr>
          <w:iCs/>
          <w:i/>
        </w:rPr>
        <w:t xml:space="preserve">&lt;</w:t>
      </w:r>
      <w:r>
        <w:rPr>
          <w:bCs/>
          <w:b/>
          <w:iCs/>
          <w:i/>
        </w:rPr>
        <w:t xml:space="preserve">State how a separate proposed Specification Change Notice is prepared for each contractual specification that would require revision, and that SCNs are submitted in conjunction with any ECP affecting a specification (EIA-649-1A 3.3.3). Where the organization does not hold interactive digital files for a specification, the proposed change is prepared in NOR format instead — state which applies here.</w:t>
      </w:r>
      <w:r>
        <w:rPr>
          <w:iCs/>
          <w:i/>
        </w:rPr>
        <w:t xml:space="preserve">&gt;</w:t>
      </w:r>
    </w:p>
    <w:bookmarkEnd w:id="68"/>
    <w:bookmarkStart w:id="69" w:name="related-engineering-changes"/>
    <w:p>
      <w:pPr>
        <w:pStyle w:val="Heading4"/>
      </w:pPr>
      <w:r>
        <w:rPr>
          <w:bCs/>
          <w:b/>
        </w:rPr>
        <w:t xml:space="preserve">2.4.4.5 Related Engineering Changes</w:t>
      </w:r>
    </w:p>
    <w:p>
      <w:pPr>
        <w:pStyle w:val="FirstParagraph"/>
      </w:pPr>
      <w:r>
        <w:rPr>
          <w:iCs/>
          <w:i/>
        </w:rPr>
        <w:t xml:space="preserve">&lt;</w:t>
      </w:r>
      <w:r>
        <w:rPr>
          <w:bCs/>
          <w:b/>
          <w:iCs/>
          <w:i/>
        </w:rPr>
        <w:t xml:space="preserve">A related engineering change occurs where a change in one item requires changes in other items to retain or attain interface match, compatibility or interoperability. State the handling for each case that applies:</w:t>
      </w:r>
      <w:r>
        <w:rPr>
          <w:iCs/>
          <w:i/>
        </w:rPr>
        <w:t xml:space="preserve">&gt;</w:t>
      </w:r>
    </w:p>
    <w:p>
      <w:pPr>
        <w:numPr>
          <w:ilvl w:val="0"/>
          <w:numId w:val="1004"/>
        </w:numPr>
        <w:pStyle w:val="Compact"/>
      </w:pPr>
      <w:r>
        <w:rPr>
          <w:iCs/>
          <w:i/>
        </w:rPr>
        <w:t xml:space="preserve">&lt;</w:t>
      </w:r>
      <w:r>
        <w:rPr>
          <w:bCs/>
          <w:b/>
          <w:iCs/>
          <w:i/>
        </w:rPr>
        <w:t xml:space="preserve">Single prime, single procuring activity: all support data and interface items are included in one basic, uniquely numbered engineering change.</w:t>
      </w:r>
      <w:r>
        <w:rPr>
          <w:iCs/>
          <w:i/>
        </w:rPr>
        <w:t xml:space="preserve">&gt;</w:t>
      </w:r>
    </w:p>
    <w:p>
      <w:pPr>
        <w:numPr>
          <w:ilvl w:val="0"/>
          <w:numId w:val="1004"/>
        </w:numPr>
        <w:pStyle w:val="Compact"/>
      </w:pPr>
      <w:r>
        <w:rPr>
          <w:iCs/>
          <w:i/>
        </w:rPr>
        <w:t xml:space="preserve">&lt;</w:t>
      </w:r>
      <w:r>
        <w:rPr>
          <w:bCs/>
          <w:b/>
          <w:iCs/>
          <w:i/>
        </w:rPr>
        <w:t xml:space="preserve">Single prime, multiple procuring activities: a number is assigned to the basic ECP, and related ECPs submitted to other procuring activities use the basic ECP number plus a separate dash number.</w:t>
      </w:r>
      <w:r>
        <w:rPr>
          <w:iCs/>
          <w:i/>
        </w:rPr>
        <w:t xml:space="preserve">&gt;</w:t>
      </w:r>
    </w:p>
    <w:p>
      <w:pPr>
        <w:numPr>
          <w:ilvl w:val="0"/>
          <w:numId w:val="1004"/>
        </w:numPr>
        <w:pStyle w:val="Compact"/>
      </w:pPr>
      <w:r>
        <w:rPr>
          <w:iCs/>
          <w:i/>
        </w:rPr>
        <w:t xml:space="preserve">&lt;</w:t>
      </w:r>
      <w:r>
        <w:rPr>
          <w:bCs/>
          <w:b/>
          <w:iCs/>
          <w:i/>
        </w:rPr>
        <w:t xml:space="preserve">Separate primes: a coordinated basic ECP is submitted, including data showing the extent and results of coordination with the related ECPs of other prime Suppliers, the impact on the other items, and cross-references between the basic and related ECPs.</w:t>
      </w:r>
      <w:r>
        <w:rPr>
          <w:iCs/>
          <w:i/>
        </w:rPr>
        <w:t xml:space="preserve">&gt;</w:t>
      </w:r>
    </w:p>
    <w:bookmarkEnd w:id="69"/>
    <w:bookmarkEnd w:id="70"/>
    <w:bookmarkStart w:id="71" w:name="X8b4fd06c85972f3366c443a78eb543bd374a301"/>
    <w:p>
      <w:pPr>
        <w:pStyle w:val="Heading3"/>
      </w:pPr>
      <w:r>
        <w:rPr>
          <w:bCs/>
          <w:b/>
        </w:rPr>
        <w:t xml:space="preserve">2.4.5 Internal Change Control and Change Impact Evaluation</w:t>
      </w:r>
    </w:p>
    <w:p>
      <w:pPr>
        <w:pStyle w:val="FirstParagraph"/>
      </w:pPr>
      <w:r>
        <w:rPr>
          <w:iCs/>
          <w:i/>
        </w:rPr>
        <w:t xml:space="preserve">&lt;</w:t>
      </w:r>
      <w:r>
        <w:rPr>
          <w:bCs/>
          <w:b/>
          <w:iCs/>
          <w:i/>
        </w:rPr>
        <w:t xml:space="preserve">State the Supplier-internal change path that precedes formal submission: how a change is initiated and given a unique change identifier, how the need is justified, who screens it, the internal review or board that dispositions it, and how changes that are internally rejected or withdrawn are closed and recorded. Not every change becomes an ECP; the plan should describe the path that determines which do.</w:t>
      </w:r>
      <w:r>
        <w:rPr>
          <w:iCs/>
          <w:i/>
        </w:rPr>
        <w:t xml:space="preserve">&gt;</w:t>
      </w:r>
    </w:p>
    <w:p>
      <w:pPr>
        <w:pStyle w:val="BodyText"/>
      </w:pPr>
      <w:r>
        <w:rPr>
          <w:iCs/>
          <w:i/>
        </w:rPr>
        <w:t xml:space="preserve">&lt;</w:t>
      </w:r>
      <w:r>
        <w:rPr>
          <w:bCs/>
          <w:b/>
          <w:iCs/>
          <w:i/>
        </w:rPr>
        <w:t xml:space="preserve">Provide or reference a flow diagram of the end-to-end change process from initiation through internal review, classification, submission, disposition, incorporation and verification. Identify the entry and exit criteria at each decision point.</w:t>
      </w:r>
      <w:r>
        <w:rPr>
          <w:iCs/>
          <w:i/>
        </w:rPr>
        <w:t xml:space="preserve">&gt;</w:t>
      </w:r>
    </w:p>
    <w:p>
      <w:pPr>
        <w:pStyle w:val="BodyText"/>
      </w:pPr>
      <w:r>
        <w:rPr>
          <w:iCs/>
          <w:i/>
        </w:rPr>
        <w:t xml:space="preserve">&lt;</w:t>
      </w:r>
      <w:r>
        <w:rPr>
          <w:bCs/>
          <w:b/>
          <w:iCs/>
          <w:i/>
        </w:rPr>
        <w:t xml:space="preserve">State the impact dimensions evaluated before a change is dispositioned. EIA-649-1A 3.3(2)(d) requires requested changes and variances to address all areas of impact, to include cost, operational, sustainment, and implementation actions — ordering material, designing tooling, manufacturing planning, interface design, support equipment, software code, producing parts, and retrofit. Add safety, interchangeability, interface compatibility and logistics support, and state who provides each assessment.</w:t>
      </w:r>
      <w:r>
        <w:rPr>
          <w:iCs/>
          <w:i/>
        </w:rPr>
        <w:t xml:space="preserve">&gt;</w:t>
      </w:r>
    </w:p>
    <w:p>
      <w:pPr>
        <w:pStyle w:val="BodyText"/>
      </w:pPr>
      <w:r>
        <w:rPr>
          <w:iCs/>
          <w:i/>
        </w:rPr>
        <w:t xml:space="preserve">&lt;</w:t>
      </w:r>
      <w:r>
        <w:rPr>
          <w:bCs/>
          <w:b/>
          <w:iCs/>
          <w:i/>
        </w:rPr>
        <w:t xml:space="preserve">State the supporting data provided with an ECP: drawings and other data such as Logistics Product Data, detailed cost proposal data, test data and analyses, quality, packaging and interchangeability factors. Where the contract references a life cycle cost or operation and support cost model, state that implementation, production and retrofit costs include all future production and spare items projected to be procured and all projected operation and support costs for the total inventory. Include a summary of any testing performed to validate concepts or new technology employed in the change, and the test data vital to the acceptance decision.</w:t>
      </w:r>
      <w:r>
        <w:rPr>
          <w:iCs/>
          <w:i/>
        </w:rPr>
        <w:t xml:space="preserve">&gt;</w:t>
      </w:r>
    </w:p>
    <w:p>
      <w:pPr>
        <w:pStyle w:val="BodyText"/>
      </w:pPr>
      <w:r>
        <w:rPr>
          <w:iCs/>
          <w:i/>
        </w:rPr>
        <w:t xml:space="preserve">&lt;</w:t>
      </w:r>
      <w:r>
        <w:rPr>
          <w:bCs/>
          <w:b/>
          <w:iCs/>
          <w:i/>
        </w:rPr>
        <w:t xml:space="preserve">State that a proposed ECP is not implemented before approval by the designated Configuration Approval Authority, and the consequence where implementation proceeds at Supplier risk.</w:t>
      </w:r>
      <w:r>
        <w:rPr>
          <w:iCs/>
          <w:i/>
        </w:rPr>
        <w:t xml:space="preserve">&gt;</w:t>
      </w:r>
    </w:p>
    <w:p>
      <w:pPr>
        <w:pStyle w:val="BodyText"/>
      </w:pPr>
      <w:r>
        <w:rPr>
          <w:iCs/>
          <w:i/>
        </w:rPr>
        <w:t xml:space="preserve">&lt;</w:t>
      </w:r>
      <w:r>
        <w:rPr>
          <w:bCs/>
          <w:b/>
          <w:iCs/>
          <w:i/>
        </w:rPr>
        <w:t xml:space="preserve">State how approved changes are tracked through incorporation and verification: incorporated into all product configuration information including the CSA system and implemented into each product, CI and component impacted in a timely manner; verified as incorporated to maintain control and consistency; and release authorization documentation prepared. State how approved variance corrective actions are implemented and verified.</w:t>
      </w:r>
      <w:r>
        <w:rPr>
          <w:iCs/>
          <w:i/>
        </w:rPr>
        <w:t xml:space="preserve">&gt;</w:t>
      </w:r>
    </w:p>
    <w:bookmarkEnd w:id="71"/>
    <w:bookmarkStart w:id="77" w:name="nonconformance-and-variance-processing"/>
    <w:p>
      <w:pPr>
        <w:pStyle w:val="Heading3"/>
      </w:pPr>
      <w:r>
        <w:rPr>
          <w:bCs/>
          <w:b/>
        </w:rPr>
        <w:t xml:space="preserve">2.4.6 Nonconformance and Variance Processing</w:t>
      </w:r>
    </w:p>
    <w:p>
      <w:pPr>
        <w:pStyle w:val="FirstParagraph"/>
      </w:pPr>
      <w:r>
        <w:rPr>
          <w:iCs/>
          <w:i/>
        </w:rPr>
        <w:t xml:space="preserve">&lt;</w:t>
      </w:r>
      <w:r>
        <w:rPr>
          <w:bCs/>
          <w:b/>
          <w:iCs/>
          <w:i/>
        </w:rPr>
        <w:t xml:space="preserve">Record the following contract-dependent determinations before completing this subsection:</w:t>
      </w:r>
      <w:r>
        <w:rPr>
          <w:iCs/>
          <w:i/>
        </w:rPr>
        <w:t xml:space="preserve">&gt;</w:t>
      </w:r>
    </w:p>
    <w:p>
      <w:pPr>
        <w:numPr>
          <w:ilvl w:val="0"/>
          <w:numId w:val="1005"/>
        </w:numPr>
        <w:pStyle w:val="Compact"/>
      </w:pPr>
      <w:r>
        <w:rPr>
          <w:iCs/>
          <w:i/>
        </w:rPr>
        <w:t xml:space="preserve">&lt;</w:t>
      </w:r>
      <w:r>
        <w:rPr>
          <w:bCs/>
          <w:b/>
          <w:iCs/>
          <w:i/>
        </w:rPr>
        <w:t xml:space="preserve">Whether disposition authority for minor variances is delegated to the Material Review Board or retained by the Acquirer or the Acquirer’s designated representative.</w:t>
      </w:r>
      <w:r>
        <w:rPr>
          <w:iCs/>
          <w:i/>
        </w:rPr>
        <w:t xml:space="preserve">&gt;</w:t>
      </w:r>
    </w:p>
    <w:p>
      <w:pPr>
        <w:numPr>
          <w:ilvl w:val="0"/>
          <w:numId w:val="1005"/>
        </w:numPr>
        <w:pStyle w:val="Compact"/>
      </w:pPr>
      <w:r>
        <w:rPr>
          <w:iCs/>
          <w:i/>
        </w:rPr>
        <w:t xml:space="preserve">&lt;</w:t>
      </w:r>
      <w:r>
        <w:rPr>
          <w:bCs/>
          <w:b/>
          <w:iCs/>
          <w:i/>
        </w:rPr>
        <w:t xml:space="preserve">Whether DD Form 1694 and DI-SESS-80640 are invoked by the contract.</w:t>
      </w:r>
      <w:r>
        <w:rPr>
          <w:iCs/>
          <w:i/>
        </w:rPr>
        <w:t xml:space="preserve">&gt;</w:t>
      </w:r>
    </w:p>
    <w:p>
      <w:pPr>
        <w:numPr>
          <w:ilvl w:val="0"/>
          <w:numId w:val="1005"/>
        </w:numPr>
        <w:pStyle w:val="Compact"/>
      </w:pPr>
      <w:r>
        <w:rPr>
          <w:iCs/>
          <w:i/>
        </w:rPr>
        <w:t xml:space="preserve">&lt;</w:t>
      </w:r>
      <w:r>
        <w:rPr>
          <w:bCs/>
          <w:b/>
          <w:iCs/>
          <w:i/>
        </w:rPr>
        <w:t xml:space="preserve">Whether the Acquirer has agreed that the nonconformance report form may serve as the submission vehicle for minor variances, and where that agreement is recorded.</w:t>
      </w:r>
      <w:r>
        <w:rPr>
          <w:iCs/>
          <w:i/>
        </w:rPr>
        <w:t xml:space="preserve">&gt;</w:t>
      </w:r>
    </w:p>
    <w:p>
      <w:pPr>
        <w:numPr>
          <w:ilvl w:val="0"/>
          <w:numId w:val="1005"/>
        </w:numPr>
        <w:pStyle w:val="Compact"/>
      </w:pPr>
      <w:r>
        <w:rPr>
          <w:iCs/>
          <w:i/>
        </w:rPr>
        <w:t xml:space="preserve">&lt;</w:t>
      </w:r>
      <w:r>
        <w:rPr>
          <w:bCs/>
          <w:b/>
          <w:iCs/>
          <w:i/>
        </w:rPr>
        <w:t xml:space="preserve">Which nonconformance and variance records are submitted to the Acquirer, and by what route.</w:t>
      </w:r>
      <w:r>
        <w:rPr>
          <w:iCs/>
          <w:i/>
        </w:rPr>
        <w:t xml:space="preserve">&gt;</w:t>
      </w:r>
    </w:p>
    <w:bookmarkStart w:id="72" w:name="when-a-variance-is-required"/>
    <w:p>
      <w:pPr>
        <w:pStyle w:val="Heading4"/>
      </w:pPr>
      <w:r>
        <w:rPr>
          <w:bCs/>
          <w:b/>
        </w:rPr>
        <w:t xml:space="preserve">2.4.6.1 When a Variance Is Required</w:t>
      </w:r>
    </w:p>
    <w:p>
      <w:pPr>
        <w:pStyle w:val="FirstParagraph"/>
      </w:pPr>
      <w:r>
        <w:rPr>
          <w:iCs/>
          <w:i/>
        </w:rPr>
        <w:t xml:space="preserve">&lt;</w:t>
      </w:r>
      <w:r>
        <w:rPr>
          <w:bCs/>
          <w:b/>
          <w:iCs/>
          <w:i/>
        </w:rPr>
        <w:t xml:space="preserve">State the trigger rule. The determining question is not whether the nonconformance is minor, but whether a still-nonconforming item will be delivered or accepted. Rework that eliminates the nonconformance normally requires no variance, though rework performed outside the normal manufacturing process is disclosed. Scrap is contract-dependent. Repair and use-as-is result in a nonconforming item being delivered or accepted, and require a variance.</w:t>
      </w:r>
      <w:r>
        <w:rPr>
          <w:iCs/>
          <w:i/>
        </w:rPr>
        <w:t xml:space="preserve">&gt;</w:t>
      </w:r>
    </w:p>
    <w:p>
      <w:pPr>
        <w:pStyle w:val="BodyText"/>
      </w:pPr>
      <w:r>
        <w:rPr>
          <w:iCs/>
          <w:i/>
        </w:rPr>
        <w:t xml:space="preserve">&lt;</w:t>
      </w:r>
      <w:r>
        <w:rPr>
          <w:bCs/>
          <w:b/>
          <w:iCs/>
          <w:i/>
        </w:rPr>
        <w:t xml:space="preserve">EIA-649-1A 3.3.2(1) requires Acquirer or designated representative approval for any Configuration Item or component, including COTS hardware or software, that is nonconforming to its requirements, by preparation and submittal of an RFV.</w:t>
      </w:r>
      <w:r>
        <w:rPr>
          <w:iCs/>
          <w:i/>
        </w:rPr>
        <w:t xml:space="preserve">&gt;</w:t>
      </w:r>
    </w:p>
    <w:bookmarkEnd w:id="72"/>
    <w:bookmarkStart w:id="73" w:name="variance-type-and-classification"/>
    <w:p>
      <w:pPr>
        <w:pStyle w:val="Heading4"/>
      </w:pPr>
      <w:r>
        <w:rPr>
          <w:bCs/>
          <w:b/>
        </w:rPr>
        <w:t xml:space="preserve">2.4.6.2 Variance Type and Classification</w:t>
      </w:r>
    </w:p>
    <w:p>
      <w:pPr>
        <w:pStyle w:val="FirstParagraph"/>
      </w:pPr>
      <w:r>
        <w:rPr>
          <w:iCs/>
          <w:i/>
        </w:rPr>
        <w:t xml:space="preserve">&lt;</w:t>
      </w:r>
      <w:r>
        <w:rPr>
          <w:bCs/>
          <w:b/>
          <w:iCs/>
          <w:i/>
        </w:rPr>
        <w:t xml:space="preserve">State the two variance types and how each is handled: Engineering Variance, also called pre-production RFV — raised before the item is produced where the need to depart is known in advance, recording the quantity affected and the extent of the proposed departure, and where the need is self-inflicted, the per-unit and total savings; and Production/Procurement Variance, also called post-production RFV — raised where a nonconformance is discovered after production, recording the quantity affected, the extent to which affected items do not meet contractual requirements, and the per-unit and total cost impact based on estimates to repair or replace.</w:t>
      </w:r>
      <w:r>
        <w:rPr>
          <w:iCs/>
          <w:i/>
        </w:rPr>
        <w:t xml:space="preserve">&gt;</w:t>
      </w:r>
    </w:p>
    <w:p>
      <w:pPr>
        <w:pStyle w:val="BodyText"/>
      </w:pPr>
      <w:r>
        <w:rPr>
          <w:iCs/>
          <w:i/>
        </w:rPr>
        <w:t xml:space="preserve">&lt;</w:t>
      </w:r>
      <w:r>
        <w:rPr>
          <w:bCs/>
          <w:b/>
          <w:iCs/>
          <w:i/>
        </w:rPr>
        <w:t xml:space="preserve">State the classification scheme used for variances — Critical, Major or Minor per DD Form 1694 content, based on the impact of the variance. This is a different scheme from ECP classification (see 2.4.3); label it explicitly wherever used.</w:t>
      </w:r>
      <w:r>
        <w:rPr>
          <w:iCs/>
          <w:i/>
        </w:rPr>
        <w:t xml:space="preserve">&gt;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Classification</w:t>
            </w:r>
          </w:p>
        </w:tc>
        <w:tc>
          <w:tcPr/>
          <w:p>
            <w:pPr>
              <w:pStyle w:val="Compact"/>
              <w:jc w:val="left"/>
            </w:pPr>
            <w:r>
              <w:rPr>
                <w:bCs/>
                <w:b/>
              </w:rPr>
              <w:t xml:space="preserve">Departure from requirements affecting</w:t>
            </w:r>
          </w:p>
        </w:tc>
      </w:tr>
      <w:tr>
        <w:tc>
          <w:tcPr/>
          <w:p>
            <w:pPr>
              <w:pStyle w:val="Compact"/>
              <w:jc w:val="left"/>
            </w:pPr>
            <w:r>
              <w:t xml:space="preserve">Critical</w:t>
            </w:r>
          </w:p>
        </w:tc>
        <w:tc>
          <w:tcPr/>
          <w:p>
            <w:pPr>
              <w:pStyle w:val="Compact"/>
              <w:jc w:val="left"/>
            </w:pPr>
            <w:r>
              <w:t xml:space="preserve">Safety; human health; environment; security, local, program or national</w:t>
            </w:r>
          </w:p>
        </w:tc>
      </w:tr>
      <w:tr>
        <w:tc>
          <w:tcPr/>
          <w:p>
            <w:pPr>
              <w:pStyle w:val="Compact"/>
              <w:jc w:val="left"/>
            </w:pPr>
            <w:r>
              <w:t xml:space="preserve">Major</w:t>
            </w:r>
          </w:p>
        </w:tc>
        <w:tc>
          <w:tcPr/>
          <w:p>
            <w:pPr>
              <w:pStyle w:val="Compact"/>
              <w:jc w:val="left"/>
            </w:pPr>
            <w:r>
              <w:t xml:space="preserve">Performance or operational limits; interchangeability, reliability, survivability, maintainability or durability of the item or its repair parts; structural strength; effective use or operation; weight, moment of inertia, centre of gravity; appearance; limits on product use or operation; temporary use of alternate items; or where the configuration documentation defining the requirement classifies the departure as major</w:t>
            </w:r>
          </w:p>
        </w:tc>
      </w:tr>
      <w:tr>
        <w:tc>
          <w:tcPr/>
          <w:p>
            <w:pPr>
              <w:pStyle w:val="Compact"/>
              <w:jc w:val="left"/>
            </w:pPr>
            <w:r>
              <w:t xml:space="preserve">Minor</w:t>
            </w:r>
          </w:p>
        </w:tc>
        <w:tc>
          <w:tcPr/>
          <w:p>
            <w:pPr>
              <w:pStyle w:val="Compact"/>
              <w:jc w:val="left"/>
            </w:pPr>
            <w:r>
              <w:t xml:space="preserve">A departure meeting no Critical or Major criterion</w:t>
            </w:r>
          </w:p>
        </w:tc>
      </w:tr>
    </w:tbl>
    <w:p>
      <w:pPr>
        <w:pStyle w:val="BodyText"/>
      </w:pPr>
      <w:r>
        <w:rPr>
          <w:iCs/>
          <w:i/>
        </w:rPr>
        <w:t xml:space="preserve">&lt;</w:t>
      </w:r>
      <w:r>
        <w:rPr>
          <w:bCs/>
          <w:b/>
          <w:iCs/>
          <w:i/>
        </w:rPr>
        <w:t xml:space="preserve">State that classification is determined by the impact of the departure, not by the routing of the record. Where an Acquirer determines that an Engineering Variance would be permanently acceptable, an ECP is submitted to accomplish the change, resulting in closure or removal from the CSA information.</w:t>
      </w:r>
      <w:r>
        <w:rPr>
          <w:iCs/>
          <w:i/>
        </w:rPr>
        <w:t xml:space="preserve">&gt;</w:t>
      </w:r>
    </w:p>
    <w:p>
      <w:pPr>
        <w:pStyle w:val="BodyText"/>
      </w:pPr>
      <w:r>
        <w:rPr>
          <w:iCs/>
          <w:i/>
        </w:rPr>
        <w:t xml:space="preserve">&lt;</w:t>
      </w:r>
      <w:r>
        <w:rPr>
          <w:bCs/>
          <w:b/>
          <w:iCs/>
          <w:i/>
        </w:rPr>
        <w:t xml:space="preserve">State who classifies variances and who dispositions nonconforming material. Where classification and material disposition are performed by a Material Review Board rather than by CM, state that explicitly, together with the CM role — see 4.3.</w:t>
      </w:r>
      <w:r>
        <w:rPr>
          <w:iCs/>
          <w:i/>
        </w:rPr>
        <w:t xml:space="preserve">&gt;</w:t>
      </w:r>
    </w:p>
    <w:bookmarkEnd w:id="73"/>
    <w:bookmarkStart w:id="74" w:name="X022b8ada0c869957de365fcb1d71b5299961e4a"/>
    <w:p>
      <w:pPr>
        <w:pStyle w:val="Heading4"/>
      </w:pPr>
      <w:r>
        <w:rPr>
          <w:bCs/>
          <w:b/>
        </w:rPr>
        <w:t xml:space="preserve">2.4.6.3 Variance Submission and Decision Authority</w:t>
      </w:r>
    </w:p>
    <w:p>
      <w:pPr>
        <w:pStyle w:val="FirstParagraph"/>
      </w:pPr>
      <w:r>
        <w:rPr>
          <w:iCs/>
          <w:i/>
        </w:rPr>
        <w:t xml:space="preserve">&lt;</w:t>
      </w:r>
      <w:r>
        <w:rPr>
          <w:bCs/>
          <w:b/>
          <w:iCs/>
          <w:i/>
        </w:rPr>
        <w:t xml:space="preserve">State the submission routing and approval authority. The Acquirer is configuration approval authority for all Critical and Major RFVs. The Configuration Approval Authority for Critical, Major and Minor RFVs is the Acquirer or the Acquirer’s designated representative. Critical and Major RFVs are submitted to the Acquirer together with data from the Acquirer’s designated representative where available; Minor RFVs are submitted to the Acquirer or the designated representative.</w:t>
      </w:r>
      <w:r>
        <w:rPr>
          <w:iCs/>
          <w:i/>
        </w:rPr>
        <w:t xml:space="preserve">&gt;</w:t>
      </w:r>
    </w:p>
    <w:p>
      <w:pPr>
        <w:pStyle w:val="BodyText"/>
      </w:pPr>
      <w:r>
        <w:rPr>
          <w:iCs/>
          <w:i/>
        </w:rPr>
        <w:t xml:space="preserve">&lt;</w:t>
      </w:r>
      <w:r>
        <w:rPr>
          <w:bCs/>
          <w:b/>
          <w:iCs/>
          <w:i/>
        </w:rPr>
        <w:t xml:space="preserve">State that an implementation timeline is provided for Critical and Major classified RFVs, and that classification disagreements between the Supplier and the Acquirer’s designated representatives are submitted to the Acquirer for final decision.</w:t>
      </w:r>
      <w:r>
        <w:rPr>
          <w:iCs/>
          <w:i/>
        </w:rPr>
        <w:t xml:space="preserve">&gt;</w:t>
      </w:r>
    </w:p>
    <w:p>
      <w:pPr>
        <w:pStyle w:val="BodyText"/>
      </w:pPr>
      <w:r>
        <w:rPr>
          <w:iCs/>
          <w:i/>
        </w:rPr>
        <w:t xml:space="preserve">&lt;</w:t>
      </w:r>
      <w:r>
        <w:rPr>
          <w:bCs/>
          <w:b/>
          <w:iCs/>
          <w:i/>
        </w:rPr>
        <w:t xml:space="preserve">Note the default rule: a departure that does not meet the Critical or Major criteria, and is not classified in any configuration documentation — an unlisted characteristic — is treated as Minor.</w:t>
      </w:r>
      <w:r>
        <w:rPr>
          <w:iCs/>
          <w:i/>
        </w:rPr>
        <w:t xml:space="preserve">&gt;</w:t>
      </w:r>
    </w:p>
    <w:bookmarkEnd w:id="74"/>
    <w:bookmarkStart w:id="75" w:name="Xa1dfc28c63221f03015213256c4ad3fe5bf67a8"/>
    <w:p>
      <w:pPr>
        <w:pStyle w:val="Heading4"/>
      </w:pPr>
      <w:r>
        <w:rPr>
          <w:bCs/>
          <w:b/>
        </w:rPr>
        <w:t xml:space="preserve">2.4.6.4 Variance Content, Effectivity and Recording</w:t>
      </w:r>
    </w:p>
    <w:p>
      <w:pPr>
        <w:pStyle w:val="FirstParagraph"/>
      </w:pPr>
      <w:r>
        <w:rPr>
          <w:iCs/>
          <w:i/>
        </w:rPr>
        <w:t xml:space="preserve">&lt;</w:t>
      </w:r>
      <w:r>
        <w:rPr>
          <w:bCs/>
          <w:b/>
          <w:iCs/>
          <w:i/>
        </w:rPr>
        <w:t xml:space="preserve">State the content recorded for each dispositioned RFV in the CSA system: the type of variance; the description and impact of the variance, pre-production or post-production, including impact on any additional product or part; the criteria used in establishing the need for corrective action appropriate to the effects of the variance; and the action taken by the Supplier to prevent recurrence of the nonconformance (EIA-649-1A 3.3.2(4)).</w:t>
      </w:r>
      <w:r>
        <w:rPr>
          <w:iCs/>
          <w:i/>
        </w:rPr>
        <w:t xml:space="preserve">&gt;</w:t>
      </w:r>
    </w:p>
    <w:p>
      <w:pPr>
        <w:pStyle w:val="BodyText"/>
      </w:pPr>
      <w:r>
        <w:rPr>
          <w:iCs/>
          <w:i/>
        </w:rPr>
        <w:t xml:space="preserve">&lt;</w:t>
      </w:r>
      <w:r>
        <w:rPr>
          <w:bCs/>
          <w:b/>
          <w:iCs/>
          <w:i/>
        </w:rPr>
        <w:t xml:space="preserve">State the effectivity rule: an RFV is limited to its documented effectivity, which must be less than or equal to the remaining contract period for all produced items or units; it applies only to the contract under which it is submitted and cannot apply to future contracts. State how effectivity is determined and confirmed at disposition, and that it is limited to as few units as practicable.</w:t>
      </w:r>
      <w:r>
        <w:rPr>
          <w:iCs/>
          <w:i/>
        </w:rPr>
        <w:t xml:space="preserve">&gt;</w:t>
      </w:r>
    </w:p>
    <w:p>
      <w:pPr>
        <w:pStyle w:val="BodyText"/>
      </w:pPr>
      <w:r>
        <w:rPr>
          <w:iCs/>
          <w:i/>
        </w:rPr>
        <w:t xml:space="preserve">&lt;</w:t>
      </w:r>
      <w:r>
        <w:rPr>
          <w:bCs/>
          <w:b/>
          <w:iCs/>
          <w:i/>
        </w:rPr>
        <w:t xml:space="preserve">Where an RFV form is not used, state the vehicle used and confirm it captures the full content set above. EIA-649-1A does not require a particular form; it requires the content.</w:t>
      </w:r>
      <w:r>
        <w:rPr>
          <w:iCs/>
          <w:i/>
        </w:rPr>
        <w:t xml:space="preserve">&gt;</w:t>
      </w:r>
    </w:p>
    <w:bookmarkEnd w:id="75"/>
    <w:bookmarkStart w:id="76" w:name="recurring-variances-and-closure"/>
    <w:p>
      <w:pPr>
        <w:pStyle w:val="Heading4"/>
      </w:pPr>
      <w:r>
        <w:rPr>
          <w:bCs/>
          <w:b/>
        </w:rPr>
        <w:t xml:space="preserve">2.4.6.5 Recurring Variances and Closure</w:t>
      </w:r>
    </w:p>
    <w:p>
      <w:pPr>
        <w:pStyle w:val="FirstParagraph"/>
      </w:pPr>
      <w:r>
        <w:rPr>
          <w:iCs/>
          <w:i/>
        </w:rPr>
        <w:t xml:space="preserve">&lt;</w:t>
      </w:r>
      <w:r>
        <w:rPr>
          <w:bCs/>
          <w:b/>
          <w:iCs/>
          <w:i/>
        </w:rPr>
        <w:t xml:space="preserve">State that Acquirer approval is obtained before submitting a recurring RFV with the same nonconformance, and that corrective action plans included in an RFV are intended to reduce the need for recurring variances. State that recurring engineering variances are evaluated for possible submittal of an ECP.</w:t>
      </w:r>
      <w:r>
        <w:rPr>
          <w:iCs/>
          <w:i/>
        </w:rPr>
        <w:t xml:space="preserve">&gt;</w:t>
      </w:r>
    </w:p>
    <w:p>
      <w:pPr>
        <w:pStyle w:val="BodyText"/>
      </w:pPr>
      <w:r>
        <w:rPr>
          <w:iCs/>
          <w:i/>
        </w:rPr>
        <w:t xml:space="preserve">&lt;</w:t>
      </w:r>
      <w:r>
        <w:rPr>
          <w:bCs/>
          <w:b/>
          <w:iCs/>
          <w:i/>
        </w:rPr>
        <w:t xml:space="preserve">State how a variance is closed — on verification of compliance to the baseline, or on approval of an ECP that eliminates the basis for the variance — and how variance records are retained in the CSA system with historical traceability for the product life cycle.</w:t>
      </w:r>
      <w:r>
        <w:rPr>
          <w:iCs/>
          <w:i/>
        </w:rPr>
        <w:t xml:space="preserve">&gt;</w:t>
      </w:r>
    </w:p>
    <w:p>
      <w:pPr>
        <w:pStyle w:val="BodyText"/>
      </w:pPr>
      <w:r>
        <w:rPr>
          <w:iCs/>
          <w:i/>
        </w:rPr>
        <w:t xml:space="preserve">&lt;</w:t>
      </w:r>
      <w:r>
        <w:rPr>
          <w:bCs/>
          <w:b/>
          <w:iCs/>
          <w:i/>
        </w:rPr>
        <w:t xml:space="preserve">State how the status of corrective actions for nonconforming materiel addressed by RFVs is recorded, tracked and reported.</w:t>
      </w:r>
      <w:r>
        <w:rPr>
          <w:iCs/>
          <w:i/>
        </w:rPr>
        <w:t xml:space="preserve">&gt;</w:t>
      </w:r>
    </w:p>
    <w:bookmarkEnd w:id="76"/>
    <w:bookmarkEnd w:id="77"/>
    <w:bookmarkStart w:id="78" w:name="Xe24b2a28d72c2819b83dc7dd671f4c73433574c"/>
    <w:p>
      <w:pPr>
        <w:pStyle w:val="Heading3"/>
      </w:pPr>
      <w:r>
        <w:rPr>
          <w:bCs/>
          <w:b/>
        </w:rPr>
        <w:t xml:space="preserve">2.4.7 Safety Barrier Requirements Applicable to this Function</w:t>
      </w:r>
    </w:p>
    <w:p>
      <w:pPr>
        <w:pStyle w:val="FirstParagraph"/>
      </w:pPr>
      <w:r>
        <w:t xml:space="preserve">The bulk of these requirements lands in this function: F02–F05 (change classification and joint CCB), F06–F13, F15–F23 (change discipline, ECP/NOR/variance processing, release, and incorporation verification), and F37 (interface baseline control). See Sections 7.1 and 7.2.</w:t>
      </w:r>
    </w:p>
    <w:bookmarkEnd w:id="78"/>
    <w:bookmarkEnd w:id="79"/>
    <w:bookmarkStart w:id="86" w:name="configuration-status-accounting"/>
    <w:p>
      <w:pPr>
        <w:pStyle w:val="Heading2"/>
      </w:pPr>
      <w:r>
        <w:rPr>
          <w:bCs/>
          <w:b/>
        </w:rPr>
        <w:t xml:space="preserve">2.5 Configuration Status Accounting</w:t>
      </w:r>
    </w:p>
    <w:bookmarkStart w:id="80" w:name="function-4"/>
    <w:p>
      <w:pPr>
        <w:pStyle w:val="Heading3"/>
      </w:pPr>
      <w:r>
        <w:rPr>
          <w:bCs/>
          <w:b/>
        </w:rPr>
        <w:t xml:space="preserve">2.5.1 Function</w:t>
      </w:r>
    </w:p>
    <w:p>
      <w:pPr>
        <w:pStyle w:val="FirstParagraph"/>
      </w:pPr>
      <w:r>
        <w:t xml:space="preserve">The CM function that manages the capture of establishing, maintaining and reporting process, product, and service information to ensure the configuration can be determined, recorded, safeguarded and validated throughout its life cycle.</w:t>
      </w:r>
    </w:p>
    <w:bookmarkEnd w:id="80"/>
    <w:bookmarkStart w:id="81" w:name="principle-4"/>
    <w:p>
      <w:pPr>
        <w:pStyle w:val="Heading3"/>
      </w:pPr>
      <w:r>
        <w:rPr>
          <w:bCs/>
          <w:b/>
        </w:rPr>
        <w:t xml:space="preserve">2.5.2 Principle</w:t>
      </w:r>
    </w:p>
    <w:p>
      <w:pPr>
        <w:pStyle w:val="FirstParagraph"/>
      </w:pPr>
      <w:r>
        <w:t xml:space="preserve">As CM tasks are performed throughout the lifecycle, information and data about the product, documentation, and the configuration are captured and recorded to support program/project activities in an accurate and timely manner. Metrics derived from CSA information are used to evaluate and support process improvement.</w:t>
      </w:r>
    </w:p>
    <w:bookmarkEnd w:id="81"/>
    <w:bookmarkStart w:id="82" w:name="activity-4"/>
    <w:p>
      <w:pPr>
        <w:pStyle w:val="Heading3"/>
      </w:pPr>
      <w:r>
        <w:rPr>
          <w:bCs/>
          <w:b/>
        </w:rPr>
        <w:t xml:space="preserve">2.5.3 Activity</w:t>
      </w:r>
    </w:p>
    <w:p>
      <w:pPr>
        <w:pStyle w:val="FirstParagraph"/>
      </w:pPr>
      <w:r>
        <w:rPr>
          <w:iCs/>
          <w:i/>
        </w:rPr>
        <w:t xml:space="preserve">&lt;</w:t>
      </w:r>
      <w:r>
        <w:rPr>
          <w:bCs/>
          <w:b/>
          <w:iCs/>
          <w:i/>
        </w:rPr>
        <w:t xml:space="preserve">Provide an overview description of how CSA will be implemented, including the CSA tool, baseline reports, CR logs, historical traceability, retrofit incorporation records, and sub-tier supplier data</w:t>
      </w:r>
      <w:r>
        <w:rPr>
          <w:iCs/>
          <w:i/>
        </w:rPr>
        <w:t xml:space="preserve">&gt;</w:t>
      </w:r>
    </w:p>
    <w:p>
      <w:pPr>
        <w:pStyle w:val="BodyText"/>
      </w:pPr>
      <w:r>
        <w:t xml:space="preserve">i.e. A CM tool facilitates the capture of data, documentation and configuration items and provides status reports. All items are linked to provide a relational view and support impact assessment.</w:t>
      </w:r>
    </w:p>
    <w:p>
      <w:pPr>
        <w:pStyle w:val="BodyText"/>
      </w:pPr>
      <w:r>
        <w:rPr>
          <w:iCs/>
          <w:i/>
          <w:bCs/>
          <w:b/>
        </w:rPr>
        <w:t xml:space="preserve">&lt;</w:t>
      </w:r>
      <w:r>
        <w:rPr>
          <w:iCs/>
          <w:i/>
          <w:bCs/>
          <w:b/>
        </w:rPr>
        <w:t xml:space="preserve">Distinguish the system of record from analysis tooling. The system of record captures configuration information when it is created, keeps it current, stores and safeguards it, and makes it retrievable across the retention period and the full program history. Reconciliation, comparison, and verification tools operate on that information to compare, verify, and report; they do not satisfy the capture, currency, storage, retention, retrieval, or historical-traceability obligations. Name both, and state which system satisfies which obligation — F24 through F28 and F32 are record obligations, not analysis obligations.</w:t>
      </w:r>
      <w:r>
        <w:rPr>
          <w:iCs/>
          <w:i/>
          <w:bCs/>
          <w:b/>
        </w:rPr>
        <w:t xml:space="preserve">&gt;</w:t>
      </w:r>
    </w:p>
    <w:bookmarkEnd w:id="82"/>
    <w:bookmarkStart w:id="83" w:name="csa-system-capabilities"/>
    <w:p>
      <w:pPr>
        <w:pStyle w:val="Heading3"/>
      </w:pPr>
      <w:r>
        <w:rPr>
          <w:bCs/>
          <w:b/>
        </w:rPr>
        <w:t xml:space="preserve">2.5.4 CSA System Capabilities</w:t>
      </w:r>
    </w:p>
    <w:p>
      <w:pPr>
        <w:pStyle w:val="FirstParagraph"/>
      </w:pPr>
      <w:r>
        <w:rPr>
          <w:iCs/>
          <w:i/>
        </w:rPr>
        <w:t xml:space="preserve">&lt;</w:t>
      </w:r>
      <w:r>
        <w:rPr>
          <w:bCs/>
          <w:b/>
          <w:iCs/>
          <w:i/>
        </w:rPr>
        <w:t xml:space="preserve">State the CSA system used and how it is linked to the data repository that stores and manages product configuration and product operational information (EIA-649-1A 3.4.1(1)). The linkage may be through an all-encompassing product data management system or through integration of separate tools; state which applies and how the integration is maintained.</w:t>
      </w:r>
      <w:r>
        <w:rPr>
          <w:iCs/>
          <w:i/>
        </w:rPr>
        <w:t xml:space="preserve">&gt;</w:t>
      </w:r>
    </w:p>
    <w:p>
      <w:pPr>
        <w:pStyle w:val="BodyText"/>
      </w:pPr>
      <w:r>
        <w:rPr>
          <w:iCs/>
          <w:i/>
        </w:rPr>
        <w:t xml:space="preserve">&lt;</w:t>
      </w:r>
      <w:r>
        <w:rPr>
          <w:bCs/>
          <w:b/>
          <w:iCs/>
          <w:i/>
        </w:rPr>
        <w:t xml:space="preserve">State how the CSA system captures, stores and maintains product configuration information about the product, whether provided by the Acquirer or created by the Supplier, for the duration of the contract.</w:t>
      </w:r>
      <w:r>
        <w:rPr>
          <w:iCs/>
          <w:i/>
        </w:rPr>
        <w:t xml:space="preserve">&gt;</w:t>
      </w:r>
    </w:p>
    <w:p>
      <w:pPr>
        <w:pStyle w:val="BodyText"/>
      </w:pPr>
      <w:r>
        <w:rPr>
          <w:iCs/>
          <w:i/>
        </w:rPr>
        <w:t xml:space="preserve">&lt;</w:t>
      </w:r>
      <w:r>
        <w:rPr>
          <w:bCs/>
          <w:b/>
          <w:iCs/>
          <w:i/>
        </w:rPr>
        <w:t xml:space="preserve">Confirm how the CSA system provides each capability below (EIA-649-1A 3.4.1(3)) and identify the system or report that delivers it.</w:t>
      </w:r>
      <w:r>
        <w:rPr>
          <w:iCs/>
          <w:i/>
        </w:rPr>
        <w:t xml:space="preserve">&gt;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Capability</w:t>
            </w:r>
          </w:p>
        </w:tc>
        <w:tc>
          <w:tcPr/>
          <w:p>
            <w:pPr>
              <w:pStyle w:val="Compact"/>
              <w:jc w:val="left"/>
            </w:pPr>
            <w:r>
              <w:rPr>
                <w:bCs/>
                <w:b/>
              </w:rPr>
              <w:t xml:space="preserve">System / report</w:t>
            </w:r>
          </w:p>
        </w:tc>
      </w:tr>
      <w:tr>
        <w:tc>
          <w:tcPr/>
          <w:p>
            <w:pPr>
              <w:pStyle w:val="Compact"/>
              <w:jc w:val="left"/>
            </w:pPr>
            <w:r>
              <w:t xml:space="preserve">a. Capture and maintain currently approved product configuration information by the identification number assigned to each CI and component</w:t>
            </w:r>
          </w:p>
        </w:tc>
        <w:tc>
          <w:tcPr/>
          <w:p>
            <w:pPr>
              <w:pStyle w:val="Compact"/>
              <w:jc w:val="left"/>
            </w:pPr>
            <w:r>
              <w:rPr>
                <w:iCs/>
                <w:i/>
              </w:rPr>
              <w:t xml:space="preserve">&lt;</w:t>
            </w:r>
            <w:r>
              <w:rPr>
                <w:bCs/>
                <w:b/>
                <w:iCs/>
                <w:i/>
              </w:rPr>
              <w:t xml:space="preserve"> </w:t>
            </w:r>
            <w:r>
              <w:rPr>
                <w:iCs/>
                <w:i/>
              </w:rPr>
              <w:t xml:space="preserve">&gt;</w:t>
            </w:r>
          </w:p>
        </w:tc>
      </w:tr>
      <w:tr>
        <w:tc>
          <w:tcPr/>
          <w:p>
            <w:pPr>
              <w:pStyle w:val="Compact"/>
              <w:jc w:val="left"/>
            </w:pPr>
            <w:r>
              <w:t xml:space="preserve">b. Capture and maintain all historical product configuration information, traceable from contract award to the present</w:t>
            </w:r>
          </w:p>
        </w:tc>
        <w:tc>
          <w:tcPr/>
          <w:p>
            <w:pPr>
              <w:pStyle w:val="Compact"/>
            </w:pPr>
          </w:p>
        </w:tc>
      </w:tr>
      <w:tr>
        <w:tc>
          <w:tcPr/>
          <w:p>
            <w:pPr>
              <w:pStyle w:val="Compact"/>
              <w:jc w:val="left"/>
            </w:pPr>
            <w:r>
              <w:t xml:space="preserve">c. Store and manage all product configuration information</w:t>
            </w:r>
          </w:p>
        </w:tc>
        <w:tc>
          <w:tcPr/>
          <w:p>
            <w:pPr>
              <w:pStyle w:val="Compact"/>
            </w:pPr>
          </w:p>
        </w:tc>
      </w:tr>
      <w:tr>
        <w:tc>
          <w:tcPr/>
          <w:p>
            <w:pPr>
              <w:pStyle w:val="Compact"/>
              <w:jc w:val="left"/>
            </w:pPr>
            <w:r>
              <w:t xml:space="preserve">d. Identify dependencies among Configuration Items</w:t>
            </w:r>
          </w:p>
        </w:tc>
        <w:tc>
          <w:tcPr/>
          <w:p>
            <w:pPr>
              <w:pStyle w:val="Compact"/>
            </w:pPr>
          </w:p>
        </w:tc>
      </w:tr>
      <w:tr>
        <w:tc>
          <w:tcPr/>
          <w:p>
            <w:pPr>
              <w:pStyle w:val="Compact"/>
              <w:jc w:val="left"/>
            </w:pPr>
            <w:r>
              <w:t xml:space="preserve">e. Report the status of both</w:t>
            </w:r>
            <w:r>
              <w:t xml:space="preserve"> </w:t>
            </w:r>
            <w:r>
              <w:rPr>
                <w:bCs/>
                <w:b/>
              </w:rPr>
              <w:t xml:space="preserve">proposed and approved</w:t>
            </w:r>
            <w:r>
              <w:t xml:space="preserve"> </w:t>
            </w:r>
            <w:r>
              <w:t xml:space="preserve">configuration changes and variances to all CIs</w:t>
            </w:r>
          </w:p>
        </w:tc>
        <w:tc>
          <w:tcPr/>
          <w:p>
            <w:pPr>
              <w:pStyle w:val="Compact"/>
            </w:pPr>
          </w:p>
        </w:tc>
      </w:tr>
      <w:tr>
        <w:tc>
          <w:tcPr/>
          <w:p>
            <w:pPr>
              <w:pStyle w:val="Compact"/>
              <w:jc w:val="left"/>
            </w:pPr>
            <w:r>
              <w:t xml:space="preserve">f. Record, track and report implementation status and engineering release of configuration documentation for approved changes</w:t>
            </w:r>
          </w:p>
        </w:tc>
        <w:tc>
          <w:tcPr/>
          <w:p>
            <w:pPr>
              <w:pStyle w:val="Compact"/>
            </w:pPr>
          </w:p>
        </w:tc>
      </w:tr>
      <w:tr>
        <w:tc>
          <w:tcPr/>
          <w:p>
            <w:pPr>
              <w:pStyle w:val="Compact"/>
              <w:jc w:val="left"/>
            </w:pPr>
            <w:r>
              <w:t xml:space="preserve">g. Record, track and report the status of corrective actions — repairs and use-as-is — for nonconforming materiel addressed by RFVs which affect the configuration of any CI</w:t>
            </w:r>
          </w:p>
        </w:tc>
        <w:tc>
          <w:tcPr/>
          <w:p>
            <w:pPr>
              <w:pStyle w:val="Compact"/>
            </w:pPr>
          </w:p>
        </w:tc>
      </w:tr>
      <w:tr>
        <w:tc>
          <w:tcPr/>
          <w:p>
            <w:pPr>
              <w:pStyle w:val="Compact"/>
              <w:jc w:val="left"/>
            </w:pPr>
            <w:r>
              <w:t xml:space="preserve">h. Record and report the planning and results of configuration audits, including the status and final disposition of identified discrepancies</w:t>
            </w:r>
          </w:p>
        </w:tc>
        <w:tc>
          <w:tcPr/>
          <w:p>
            <w:pPr>
              <w:pStyle w:val="Compact"/>
            </w:pPr>
          </w:p>
        </w:tc>
      </w:tr>
      <w:tr>
        <w:tc>
          <w:tcPr/>
          <w:p>
            <w:pPr>
              <w:pStyle w:val="Compact"/>
              <w:jc w:val="left"/>
            </w:pPr>
            <w:r>
              <w:t xml:space="preserve">i. Provide performance metrics measuring execution of the CM process and functions</w:t>
            </w:r>
          </w:p>
        </w:tc>
        <w:tc>
          <w:tcPr/>
          <w:p>
            <w:pPr>
              <w:pStyle w:val="Compact"/>
            </w:pPr>
          </w:p>
        </w:tc>
      </w:tr>
      <w:tr>
        <w:tc>
          <w:tcPr/>
          <w:p>
            <w:pPr>
              <w:pStyle w:val="Compact"/>
              <w:jc w:val="left"/>
            </w:pPr>
            <w:r>
              <w:t xml:space="preserve">j. Record and report all product data inherited from sub-tier suppliers, including vendor part numbers and serial numbers, with clear traceability from those components to their next higher assemblies</w:t>
            </w:r>
          </w:p>
        </w:tc>
        <w:tc>
          <w:tcPr/>
          <w:p>
            <w:pPr>
              <w:pStyle w:val="Compact"/>
            </w:pPr>
          </w:p>
        </w:tc>
      </w:tr>
    </w:tbl>
    <w:p>
      <w:pPr>
        <w:pStyle w:val="BodyText"/>
      </w:pPr>
      <w:r>
        <w:rPr>
          <w:iCs/>
          <w:i/>
        </w:rPr>
        <w:t xml:space="preserve">&lt;</w:t>
      </w:r>
      <w:r>
        <w:rPr>
          <w:bCs/>
          <w:b/>
          <w:iCs/>
          <w:i/>
        </w:rPr>
        <w:t xml:space="preserve">State how the legitimacy of the CSA is maintained by storing valid data in the system — the validation rules applied at entry and the periodic checks applied thereafter.</w:t>
      </w:r>
      <w:r>
        <w:rPr>
          <w:iCs/>
          <w:i/>
        </w:rPr>
        <w:t xml:space="preserve">&gt;</w:t>
      </w:r>
    </w:p>
    <w:bookmarkEnd w:id="83"/>
    <w:bookmarkStart w:id="84" w:name="csa-access-delivery-and-analysis"/>
    <w:p>
      <w:pPr>
        <w:pStyle w:val="Heading3"/>
      </w:pPr>
      <w:r>
        <w:rPr>
          <w:bCs/>
          <w:b/>
        </w:rPr>
        <w:t xml:space="preserve">2.5.5 CSA Access, Delivery and Analysis</w:t>
      </w:r>
    </w:p>
    <w:p>
      <w:pPr>
        <w:pStyle w:val="FirstParagraph"/>
      </w:pPr>
      <w:r>
        <w:rPr>
          <w:iCs/>
          <w:i/>
        </w:rPr>
        <w:t xml:space="preserve">&lt;</w:t>
      </w:r>
      <w:r>
        <w:rPr>
          <w:bCs/>
          <w:b/>
          <w:iCs/>
          <w:i/>
        </w:rPr>
        <w:t xml:space="preserve">State how the CSA system and product configuration information are made readily available to the Acquirer or the Acquirer’s designated representative — by on-site inspection, remote access, or regular submissions of CSA information and updates in accordance with the contract. Identify which method applies and the frequency.</w:t>
      </w:r>
      <w:r>
        <w:rPr>
          <w:iCs/>
          <w:i/>
        </w:rPr>
        <w:t xml:space="preserve">&gt;</w:t>
      </w:r>
    </w:p>
    <w:p>
      <w:pPr>
        <w:pStyle w:val="BodyText"/>
      </w:pPr>
      <w:r>
        <w:rPr>
          <w:iCs/>
          <w:i/>
        </w:rPr>
        <w:t xml:space="preserve">&lt;</w:t>
      </w:r>
      <w:r>
        <w:rPr>
          <w:bCs/>
          <w:b/>
          <w:iCs/>
          <w:i/>
        </w:rPr>
        <w:t xml:space="preserve">State how Cyber Security requirements are complied with for the purpose of interoperating with the Acquirer’s system in an integrated digital environment, and identify the governing requirement set.</w:t>
      </w:r>
      <w:r>
        <w:rPr>
          <w:iCs/>
          <w:i/>
        </w:rPr>
        <w:t xml:space="preserve">&gt;</w:t>
      </w:r>
    </w:p>
    <w:p>
      <w:pPr>
        <w:pStyle w:val="BodyText"/>
      </w:pPr>
      <w:r>
        <w:rPr>
          <w:iCs/>
          <w:i/>
        </w:rPr>
        <w:t xml:space="preserve">&lt;</w:t>
      </w:r>
      <w:r>
        <w:rPr>
          <w:bCs/>
          <w:b/>
          <w:iCs/>
          <w:i/>
        </w:rPr>
        <w:t xml:space="preserve">State how recorded product configuration information is adequately secured, safeguarded and retrieved after extended storage, and the retention period applied.</w:t>
      </w:r>
      <w:r>
        <w:rPr>
          <w:iCs/>
          <w:i/>
        </w:rPr>
        <w:t xml:space="preserve">&gt;</w:t>
      </w:r>
    </w:p>
    <w:p>
      <w:pPr>
        <w:pStyle w:val="BodyText"/>
      </w:pPr>
      <w:r>
        <w:rPr>
          <w:iCs/>
          <w:i/>
        </w:rPr>
        <w:t xml:space="preserve">&lt;</w:t>
      </w:r>
      <w:r>
        <w:rPr>
          <w:bCs/>
          <w:b/>
          <w:iCs/>
          <w:i/>
        </w:rPr>
        <w:t xml:space="preserve">State the digital delivery provided to the Acquirer on completion of the contract — the CSA information and configuration baseline documentation created, collected and managed during the contract — with the form, format and delivery date in accordance with the CDRL specified in the contract.</w:t>
      </w:r>
      <w:r>
        <w:rPr>
          <w:iCs/>
          <w:i/>
        </w:rPr>
        <w:t xml:space="preserve">&gt;</w:t>
      </w:r>
    </w:p>
    <w:p>
      <w:pPr>
        <w:pStyle w:val="BodyText"/>
      </w:pPr>
      <w:r>
        <w:rPr>
          <w:iCs/>
          <w:i/>
        </w:rPr>
        <w:t xml:space="preserve">&lt;</w:t>
      </w:r>
      <w:r>
        <w:rPr>
          <w:bCs/>
          <w:b/>
          <w:iCs/>
          <w:i/>
        </w:rPr>
        <w:t xml:space="preserve">State how the incorporation of all retrofit changes is documented for units identified for retrofit, where tasked by contract provisions.</w:t>
      </w:r>
      <w:r>
        <w:rPr>
          <w:iCs/>
          <w:i/>
        </w:rPr>
        <w:t xml:space="preserve">&gt;</w:t>
      </w:r>
    </w:p>
    <w:p>
      <w:pPr>
        <w:pStyle w:val="BodyText"/>
      </w:pPr>
      <w:r>
        <w:rPr>
          <w:iCs/>
          <w:i/>
        </w:rPr>
        <w:t xml:space="preserve">&lt;</w:t>
      </w:r>
      <w:r>
        <w:rPr>
          <w:bCs/>
          <w:b/>
          <w:iCs/>
          <w:i/>
        </w:rPr>
        <w:t xml:space="preserve">State how CSA analysis is performed to detect and identify trends and report problems, and how CSA corrective actions are evaluated to verify that problems have been resolved, that metrics of adverse trends have been reversed, that changes have been correctly implemented in the appropriate processes and products, and whether additional problems have been introduced (EIA-649-1A 3.4(2), 3.4.2(1)).</w:t>
      </w:r>
      <w:r>
        <w:rPr>
          <w:iCs/>
          <w:i/>
        </w:rPr>
        <w:t xml:space="preserve">&gt;</w:t>
      </w:r>
    </w:p>
    <w:bookmarkEnd w:id="84"/>
    <w:bookmarkStart w:id="85" w:name="Xd7565fbfb238c6800a093a268095cbf1abe268b"/>
    <w:p>
      <w:pPr>
        <w:pStyle w:val="Heading3"/>
      </w:pPr>
      <w:r>
        <w:rPr>
          <w:bCs/>
          <w:b/>
        </w:rPr>
        <w:t xml:space="preserve">2.5.6 Safety Barrier Requirements Applicable to this Function</w:t>
      </w:r>
    </w:p>
    <w:p>
      <w:pPr>
        <w:pStyle w:val="FirstParagraph"/>
      </w:pPr>
      <w:r>
        <w:t xml:space="preserve">Safety barrier requirements F07 and F14 (recording changes in CSA), F24–F28 (CSA validity, capture, storage, safeguarding and retrieval), F32 (historical traceability from contract award to present), F33 (retrofit incorporation), and F39 (sub-tier supplier data traceability) are implemented through this function. See Sections 7.2, 7.3 and 7.4.</w:t>
      </w:r>
    </w:p>
    <w:bookmarkEnd w:id="85"/>
    <w:bookmarkEnd w:id="86"/>
    <w:bookmarkStart w:id="98" w:name="configuration-verification-audit"/>
    <w:p>
      <w:pPr>
        <w:pStyle w:val="Heading2"/>
      </w:pPr>
      <w:r>
        <w:rPr>
          <w:bCs/>
          <w:b/>
        </w:rPr>
        <w:t xml:space="preserve">2.6 Configuration Verification &amp;</w:t>
      </w:r>
      <w:r>
        <w:t xml:space="preserve">** Audit**</w:t>
      </w:r>
    </w:p>
    <w:bookmarkStart w:id="87" w:name="function-5"/>
    <w:p>
      <w:pPr>
        <w:pStyle w:val="Heading3"/>
      </w:pPr>
      <w:r>
        <w:rPr>
          <w:bCs/>
          <w:b/>
        </w:rPr>
        <w:t xml:space="preserve">2.6.1 Function</w:t>
      </w:r>
    </w:p>
    <w:p>
      <w:pPr>
        <w:pStyle w:val="FirstParagraph"/>
      </w:pPr>
      <w:r>
        <w:t xml:space="preserve">The CM function that reviews and evaluates processes, products, and services to validate compliance and ensure integrity with requirements, conformance to definition information, and confirmation that specified process requirements have been fulfilled.</w:t>
      </w:r>
    </w:p>
    <w:bookmarkEnd w:id="87"/>
    <w:bookmarkStart w:id="88" w:name="principle-5"/>
    <w:p>
      <w:pPr>
        <w:pStyle w:val="Heading3"/>
      </w:pPr>
      <w:r>
        <w:rPr>
          <w:bCs/>
          <w:b/>
        </w:rPr>
        <w:t xml:space="preserve">2.6.2 Principle</w:t>
      </w:r>
    </w:p>
    <w:p>
      <w:pPr>
        <w:pStyle w:val="FirstParagraph"/>
      </w:pPr>
      <w:r>
        <w:t xml:space="preserve">To validate compliance, configuration verification uses the physical, functional, and interface requirements to ensure consistency is maintained between a product, its configuration information, and related support documentation. Configuration audits assure that specified process requirements have been fulfilled and baselines are established at key points in the life cycle.</w:t>
      </w:r>
    </w:p>
    <w:bookmarkEnd w:id="88"/>
    <w:bookmarkStart w:id="89" w:name="activity-5"/>
    <w:p>
      <w:pPr>
        <w:pStyle w:val="Heading3"/>
      </w:pPr>
      <w:r>
        <w:rPr>
          <w:bCs/>
          <w:b/>
        </w:rPr>
        <w:t xml:space="preserve">2.6.3 Activity</w:t>
      </w:r>
    </w:p>
    <w:p>
      <w:pPr>
        <w:pStyle w:val="FirstParagraph"/>
      </w:pPr>
      <w:r>
        <w:rPr>
          <w:iCs/>
          <w:i/>
        </w:rPr>
        <w:t xml:space="preserve">&lt;</w:t>
      </w:r>
      <w:r>
        <w:rPr>
          <w:bCs/>
          <w:b/>
          <w:iCs/>
          <w:i/>
        </w:rPr>
        <w:t xml:space="preserve">Provide an overview description of how Verification</w:t>
      </w:r>
      <w:r>
        <w:rPr>
          <w:bCs/>
          <w:b/>
          <w:iCs/>
          <w:i/>
        </w:rPr>
        <w:t xml:space="preserve"> </w:t>
      </w:r>
      <w:r>
        <w:rPr>
          <w:iCs/>
          <w:i/>
        </w:rPr>
        <w:t xml:space="preserve">&amp;</w:t>
      </w:r>
      <w:r>
        <w:rPr>
          <w:bCs/>
          <w:b/>
          <w:iCs/>
          <w:i/>
        </w:rPr>
        <w:t xml:space="preserve"> </w:t>
      </w:r>
      <w:r>
        <w:rPr>
          <w:bCs/>
          <w:b/>
          <w:iCs/>
          <w:i/>
        </w:rPr>
        <w:t xml:space="preserve">Audit will be implemented, including FCA, PCA, process assessments, and support to Acquirer audits</w:t>
      </w:r>
      <w:r>
        <w:rPr>
          <w:iCs/>
          <w:i/>
        </w:rPr>
        <w:t xml:space="preserve">&gt;</w:t>
      </w:r>
    </w:p>
    <w:p>
      <w:pPr>
        <w:pStyle w:val="BodyText"/>
      </w:pPr>
      <w:r>
        <w:t xml:space="preserve">i.e. An FCA will be performed between acquirer and supplier to validate that documentation meets approved functional requirements. A PCA will be performed to validate that the physical item meets the approved design requirements. A CM process assessment is performed after each major milestone.</w:t>
      </w:r>
    </w:p>
    <w:bookmarkEnd w:id="89"/>
    <w:bookmarkStart w:id="90" w:name="audit-planning-and-scheduling"/>
    <w:p>
      <w:pPr>
        <w:pStyle w:val="Heading3"/>
      </w:pPr>
      <w:r>
        <w:rPr>
          <w:bCs/>
          <w:b/>
        </w:rPr>
        <w:t xml:space="preserve">2.6.4 Audit Planning and Scheduling</w:t>
      </w:r>
    </w:p>
    <w:p>
      <w:pPr>
        <w:pStyle w:val="FirstParagraph"/>
      </w:pPr>
      <w:r>
        <w:rPr>
          <w:iCs/>
          <w:i/>
        </w:rPr>
        <w:t xml:space="preserve">&lt;</w:t>
      </w:r>
      <w:r>
        <w:rPr>
          <w:bCs/>
          <w:b/>
          <w:iCs/>
          <w:i/>
        </w:rPr>
        <w:t xml:space="preserve">State the audit plan for this program: how Configuration Items are designated for FCA and PCA, where the designation assessment for each CI is recorded, and the cadence at which designation is re-assessed — at initial audit planning, at each revision of this CMP, and on any trigger event. Do not reproduce the designated-CI list here; a list inside this plan goes stale between revisions. State also whether audits are conducted incrementally, and the responsibilities of each participating organization. Where sub-suppliers participate, state that they participate in planning and conducting audits and prepare an audit plan identifying their requirements and responsibilities (EIA-649-1A 3.5.1(1)(f)).</w:t>
      </w:r>
      <w:r>
        <w:rPr>
          <w:iCs/>
          <w:i/>
        </w:rPr>
        <w:t xml:space="preserve">&gt;</w:t>
      </w:r>
    </w:p>
    <w:p>
      <w:pPr>
        <w:pStyle w:val="BodyText"/>
      </w:pPr>
      <w:r>
        <w:rPr>
          <w:iCs/>
          <w:i/>
        </w:rPr>
        <w:t xml:space="preserve">&lt;</w:t>
      </w:r>
      <w:r>
        <w:rPr>
          <w:bCs/>
          <w:b/>
          <w:iCs/>
          <w:i/>
        </w:rPr>
        <w:t xml:space="preserve">State how incremental, lower-level Configuration Item audits leading up to the system-level audits are conducted (3.5.1(1)(c)), and how the Supplier supports and participates in FCAs and PCAs for related Configuration Items identified by the Acquirer (3.5.1(1)(b)).</w:t>
      </w:r>
      <w:r>
        <w:rPr>
          <w:iCs/>
          <w:i/>
        </w:rPr>
        <w:t xml:space="preserve">&gt;</w:t>
      </w:r>
    </w:p>
    <w:p>
      <w:pPr>
        <w:pStyle w:val="BodyText"/>
      </w:pPr>
      <w:r>
        <w:rPr>
          <w:iCs/>
          <w:i/>
        </w:rPr>
        <w:t xml:space="preserve">&lt;</w:t>
      </w:r>
      <w:r>
        <w:rPr>
          <w:bCs/>
          <w:b/>
          <w:iCs/>
          <w:i/>
        </w:rPr>
        <w:t xml:space="preserve">State how the audit schedule and the agenda for each audit are established in consonance with the Integrated Master Schedule and submitted for Acquirer approval (3.5.1(1)(d)). Schedule and agenda both require approval; a schedule alone does not satisfy the clause.</w:t>
      </w:r>
      <w:r>
        <w:rPr>
          <w:iCs/>
          <w:i/>
        </w:rPr>
        <w:t xml:space="preserve">&gt;</w:t>
      </w:r>
    </w:p>
    <w:p>
      <w:pPr>
        <w:pStyle w:val="BodyText"/>
      </w:pPr>
      <w:r>
        <w:rPr>
          <w:iCs/>
          <w:i/>
        </w:rPr>
        <w:t xml:space="preserve">&lt;</w:t>
      </w:r>
      <w:r>
        <w:rPr>
          <w:bCs/>
          <w:b/>
          <w:iCs/>
          <w:i/>
        </w:rPr>
        <w:t xml:space="preserve">State how each audit schedule is confirmed compatible with the availability of the necessary information and contract articles (3.5.1(1)(e)) — systems engineering data, released engineering documentation, trade study results, producibility analysis results, risk analysis results, product specifications, quality control records, manuals, drawings, reports, hardware, the Interface Design Document, and the SVD for software.</w:t>
      </w:r>
      <w:r>
        <w:rPr>
          <w:iCs/>
          <w:i/>
        </w:rPr>
        <w:t xml:space="preserve">&gt;</w:t>
      </w:r>
    </w:p>
    <w:p>
      <w:pPr>
        <w:pStyle w:val="BodyText"/>
      </w:pPr>
      <w:r>
        <w:rPr>
          <w:iCs/>
          <w:i/>
        </w:rPr>
        <w:t xml:space="preserve">&lt;</w:t>
      </w:r>
      <w:r>
        <w:rPr>
          <w:bCs/>
          <w:b/>
          <w:iCs/>
          <w:i/>
        </w:rPr>
        <w:t xml:space="preserve">State how audit representatives are designated (3.5.1(1)(g)), and how participating Supplier and sub-supplier personnel are prepared to discuss the technical detail of the presented materiel (3.5.1(1)(i)).</w:t>
      </w:r>
      <w:r>
        <w:rPr>
          <w:iCs/>
          <w:i/>
        </w:rPr>
        <w:t xml:space="preserve">&gt;</w:t>
      </w:r>
    </w:p>
    <w:p>
      <w:pPr>
        <w:pStyle w:val="BodyText"/>
      </w:pPr>
      <w:r>
        <w:rPr>
          <w:iCs/>
          <w:i/>
        </w:rPr>
        <w:t xml:space="preserve">&lt;</w:t>
      </w:r>
      <w:r>
        <w:rPr>
          <w:bCs/>
          <w:b/>
          <w:iCs/>
          <w:i/>
        </w:rPr>
        <w:t xml:space="preserve">State how a current listing of all RFVs, SCNs, NORs and ECPs against the Configuration Item — requested or approved — is provided for each audit (3.5.1(1)(h)).</w:t>
      </w:r>
      <w:r>
        <w:rPr>
          <w:iCs/>
          <w:i/>
        </w:rPr>
        <w:t xml:space="preserve">&gt;</w:t>
      </w:r>
    </w:p>
    <w:p>
      <w:pPr>
        <w:pStyle w:val="BodyText"/>
      </w:pPr>
      <w:r>
        <w:rPr>
          <w:iCs/>
          <w:i/>
        </w:rPr>
        <w:t xml:space="preserve">&lt;</w:t>
      </w:r>
      <w:r>
        <w:rPr>
          <w:bCs/>
          <w:b/>
          <w:iCs/>
          <w:i/>
        </w:rPr>
        <w:t xml:space="preserve">State the audit entry and exit criteria and how they are completed prior to completion or closeout of the audit (3.5.1(3)). Where PCA entry and exit criteria are determined through acceptance of the SEMP, state that linkage — see 1.5.3.</w:t>
      </w:r>
      <w:r>
        <w:rPr>
          <w:iCs/>
          <w:i/>
        </w:rPr>
        <w:t xml:space="preserve">&gt;</w:t>
      </w:r>
    </w:p>
    <w:p>
      <w:pPr>
        <w:pStyle w:val="BodyText"/>
      </w:pPr>
      <w:r>
        <w:rPr>
          <w:iCs/>
          <w:i/>
        </w:rPr>
        <w:t xml:space="preserve">&lt;</w:t>
      </w:r>
      <w:r>
        <w:rPr>
          <w:bCs/>
          <w:b/>
          <w:iCs/>
          <w:i/>
        </w:rPr>
        <w:t xml:space="preserve">Where audits are conducted in increments, state how a final audit is supported to verify that all requirements of the FBL, ABL and PBL have been satisfied (3.5.1(2)).</w:t>
      </w:r>
      <w:r>
        <w:rPr>
          <w:iCs/>
          <w:i/>
        </w:rPr>
        <w:t xml:space="preserve">&gt;</w:t>
      </w:r>
    </w:p>
    <w:bookmarkEnd w:id="90"/>
    <w:bookmarkStart w:id="92" w:name="functional-configuration-audit"/>
    <w:p>
      <w:pPr>
        <w:pStyle w:val="Heading3"/>
      </w:pPr>
      <w:r>
        <w:rPr>
          <w:bCs/>
          <w:b/>
        </w:rPr>
        <w:t xml:space="preserve">2.6.5 Functional Configuration Audit</w:t>
      </w:r>
    </w:p>
    <w:p>
      <w:pPr>
        <w:pStyle w:val="FirstParagraph"/>
      </w:pPr>
      <w:r>
        <w:rPr>
          <w:iCs/>
          <w:i/>
        </w:rPr>
        <w:t xml:space="preserve">&lt;</w:t>
      </w:r>
      <w:r>
        <w:rPr>
          <w:bCs/>
          <w:b/>
          <w:iCs/>
          <w:i/>
        </w:rPr>
        <w:t xml:space="preserve">State how the FCA is conducted to verify that the Configuration Item meets its performance requirements as documented in the approved FCD and ACD and is consistent with the up-to-date PCD (3.5.2(2)), and that test data from verification of the Configuration Item is used (3.5.2(4)).</w:t>
      </w:r>
      <w:r>
        <w:rPr>
          <w:iCs/>
          <w:i/>
        </w:rPr>
        <w:t xml:space="preserve">&gt;</w:t>
      </w:r>
    </w:p>
    <w:p>
      <w:pPr>
        <w:pStyle w:val="BodyText"/>
      </w:pPr>
      <w:r>
        <w:rPr>
          <w:iCs/>
          <w:i/>
        </w:rPr>
        <w:t xml:space="preserve">&lt;</w:t>
      </w:r>
      <w:r>
        <w:rPr>
          <w:bCs/>
          <w:b/>
          <w:iCs/>
          <w:i/>
        </w:rPr>
        <w:t xml:space="preserve">State that the Configuration Item is audited with prior Acquirer approval of its FBL and ABL (3.5.2(5)), and that where FCAs are conducted in increments a final system-level FCA confirms the system has been satisfied (3.5.2(1)).</w:t>
      </w:r>
      <w:r>
        <w:rPr>
          <w:iCs/>
          <w:i/>
        </w:rPr>
        <w:t xml:space="preserve">&gt;</w:t>
      </w:r>
    </w:p>
    <w:p>
      <w:pPr>
        <w:pStyle w:val="BodyText"/>
      </w:pPr>
      <w:r>
        <w:rPr>
          <w:iCs/>
          <w:i/>
        </w:rPr>
        <w:t xml:space="preserve">&lt;</w:t>
      </w:r>
      <w:r>
        <w:rPr>
          <w:bCs/>
          <w:b/>
          <w:iCs/>
          <w:i/>
        </w:rPr>
        <w:t xml:space="preserve">For Computer Software Configuration Items, state how the FCA confirms that all requirements have a related test step and that the test passes successfully when performed by test engineers.</w:t>
      </w:r>
      <w:r>
        <w:rPr>
          <w:iCs/>
          <w:i/>
        </w:rPr>
        <w:t xml:space="preserve">&gt;</w:t>
      </w:r>
    </w:p>
    <w:p>
      <w:pPr>
        <w:pStyle w:val="BodyText"/>
      </w:pPr>
      <w:r>
        <w:rPr>
          <w:iCs/>
          <w:i/>
        </w:rPr>
        <w:t xml:space="preserve">&lt;</w:t>
      </w:r>
      <w:r>
        <w:rPr>
          <w:bCs/>
          <w:b/>
          <w:iCs/>
          <w:i/>
        </w:rPr>
        <w:t xml:space="preserve">State how each FCA non-compliance is documented and provided to the Acquirer for appropriate action (3.5.2(3)).</w:t>
      </w:r>
      <w:r>
        <w:rPr>
          <w:iCs/>
          <w:i/>
        </w:rPr>
        <w:t xml:space="preserve">&gt;</w:t>
      </w:r>
    </w:p>
    <w:bookmarkStart w:id="91" w:name="fca-pre-audit-information"/>
    <w:p>
      <w:pPr>
        <w:pStyle w:val="Heading4"/>
      </w:pPr>
      <w:r>
        <w:rPr>
          <w:bCs/>
          <w:b/>
        </w:rPr>
        <w:t xml:space="preserve">2.6.5.1 FCA Pre-Audit Information</w:t>
      </w:r>
    </w:p>
    <w:p>
      <w:pPr>
        <w:pStyle w:val="FirstParagraph"/>
      </w:pPr>
      <w:r>
        <w:rPr>
          <w:iCs/>
          <w:i/>
        </w:rPr>
        <w:t xml:space="preserve">&lt;</w:t>
      </w:r>
      <w:r>
        <w:rPr>
          <w:bCs/>
          <w:b/>
          <w:iCs/>
          <w:i/>
        </w:rPr>
        <w:t xml:space="preserve">State how the following are provided to the Acquirer prior to the audit date (3.5.2.1(1)): the list of items to be audited including documents; the list of tasks to be accomplished at the FCA for the Configuration Item; and a matrix identifying and providing traceability for all requirements, cross-referenced to test plans, test procedures, test programs with automatic or automated test equipment where applicable, test reports covering results of demonstrations, inspections and analyses for each requirement, and any known deficiencies supported by applicable deficiency report numbers.</w:t>
      </w:r>
      <w:r>
        <w:rPr>
          <w:iCs/>
          <w:i/>
        </w:rPr>
        <w:t xml:space="preserve">&gt;</w:t>
      </w:r>
    </w:p>
    <w:p>
      <w:pPr>
        <w:pStyle w:val="BodyText"/>
      </w:pPr>
      <w:r>
        <w:rPr>
          <w:iCs/>
          <w:i/>
        </w:rPr>
        <w:t xml:space="preserve">&lt;</w:t>
      </w:r>
      <w:r>
        <w:rPr>
          <w:bCs/>
          <w:b/>
          <w:iCs/>
          <w:i/>
        </w:rPr>
        <w:t xml:space="preserve">State how the following supporting information and data are provided (3.5.2.1(2)):</w:t>
      </w:r>
      <w:r>
        <w:rPr>
          <w:iCs/>
          <w:i/>
        </w:rPr>
        <w:t xml:space="preserve">&gt;</w:t>
      </w:r>
    </w:p>
    <w:p>
      <w:pPr>
        <w:numPr>
          <w:ilvl w:val="0"/>
          <w:numId w:val="1006"/>
        </w:numPr>
        <w:pStyle w:val="Compact"/>
      </w:pPr>
      <w:r>
        <w:rPr>
          <w:iCs/>
          <w:i/>
        </w:rPr>
        <w:t xml:space="preserve">&lt;</w:t>
      </w:r>
      <w:r>
        <w:rPr>
          <w:bCs/>
          <w:b/>
          <w:iCs/>
          <w:i/>
        </w:rPr>
        <w:t xml:space="preserve">Configuration documentation for the CI being audited; all approved ECPs; and an account of the ECPs incorporated and tested as well as proposed.</w:t>
      </w:r>
      <w:r>
        <w:rPr>
          <w:iCs/>
          <w:i/>
        </w:rPr>
        <w:t xml:space="preserve">&gt;</w:t>
      </w:r>
    </w:p>
    <w:p>
      <w:pPr>
        <w:numPr>
          <w:ilvl w:val="0"/>
          <w:numId w:val="1006"/>
        </w:numPr>
        <w:pStyle w:val="Compact"/>
      </w:pPr>
      <w:r>
        <w:rPr>
          <w:iCs/>
          <w:i/>
        </w:rPr>
        <w:t xml:space="preserve">&lt;</w:t>
      </w:r>
      <w:r>
        <w:rPr>
          <w:bCs/>
          <w:b/>
          <w:iCs/>
          <w:i/>
        </w:rPr>
        <w:t xml:space="preserve">Test plans, specifications, descriptions, procedures, recorded results and analyses for the CI; and a general discussion of the entire CI test effort delineating problem area accomplishments.</w:t>
      </w:r>
      <w:r>
        <w:rPr>
          <w:iCs/>
          <w:i/>
        </w:rPr>
        <w:t xml:space="preserve">&gt;</w:t>
      </w:r>
    </w:p>
    <w:p>
      <w:pPr>
        <w:numPr>
          <w:ilvl w:val="0"/>
          <w:numId w:val="1006"/>
        </w:numPr>
        <w:pStyle w:val="Compact"/>
      </w:pPr>
      <w:r>
        <w:rPr>
          <w:iCs/>
          <w:i/>
        </w:rPr>
        <w:t xml:space="preserve">&lt;</w:t>
      </w:r>
      <w:r>
        <w:rPr>
          <w:bCs/>
          <w:b/>
          <w:iCs/>
          <w:i/>
        </w:rPr>
        <w:t xml:space="preserve">CI requirements that were not met, with a proposed remedy for each; a complete list of test requirements not yet performed with a plan for accomplishing each; and analyses or simulations for requirements that cannot be completely verified through testing.</w:t>
      </w:r>
      <w:r>
        <w:rPr>
          <w:iCs/>
          <w:i/>
        </w:rPr>
        <w:t xml:space="preserve">&gt;</w:t>
      </w:r>
    </w:p>
    <w:p>
      <w:pPr>
        <w:numPr>
          <w:ilvl w:val="0"/>
          <w:numId w:val="1006"/>
        </w:numPr>
        <w:pStyle w:val="Compact"/>
      </w:pPr>
      <w:r>
        <w:rPr>
          <w:iCs/>
          <w:i/>
        </w:rPr>
        <w:t xml:space="preserve">&lt;</w:t>
      </w:r>
      <w:r>
        <w:rPr>
          <w:bCs/>
          <w:b/>
          <w:iCs/>
          <w:i/>
        </w:rPr>
        <w:t xml:space="preserve">For Computer Software Configuration Items: database characteristics, storage allocation data, and timing and sequencing characteristics for compliance with specified requirements; documents comprising or describing the contents or use of the software product, checked for format and completeness, such as the Software Product Specification, User’s Manual and SVD; records reflecting changes made to the developmental configuration; a listing of all versions of developmental and non-developmental software in the software library; and the findings of all internal CM and software QA audits.</w:t>
      </w:r>
      <w:r>
        <w:rPr>
          <w:iCs/>
          <w:i/>
        </w:rPr>
        <w:t xml:space="preserve">&gt;</w:t>
      </w:r>
    </w:p>
    <w:p>
      <w:pPr>
        <w:numPr>
          <w:ilvl w:val="0"/>
          <w:numId w:val="1006"/>
        </w:numPr>
        <w:pStyle w:val="Compact"/>
      </w:pPr>
      <w:r>
        <w:rPr>
          <w:iCs/>
          <w:i/>
        </w:rPr>
        <w:t xml:space="preserve">&lt;</w:t>
      </w:r>
      <w:r>
        <w:rPr>
          <w:bCs/>
          <w:b/>
          <w:iCs/>
          <w:i/>
        </w:rPr>
        <w:t xml:space="preserve">PDR and CDR minutes, so the Acquirer can confirm that all findings have been incorporated and completed and all action items closed.</w:t>
      </w:r>
      <w:r>
        <w:rPr>
          <w:iCs/>
          <w:i/>
        </w:rPr>
        <w:t xml:space="preserve">&gt;</w:t>
      </w:r>
    </w:p>
    <w:p>
      <w:pPr>
        <w:pStyle w:val="FirstParagraph"/>
      </w:pPr>
      <w:r>
        <w:rPr>
          <w:iCs/>
          <w:i/>
        </w:rPr>
        <w:t xml:space="preserve">&lt;</w:t>
      </w:r>
      <w:r>
        <w:rPr>
          <w:bCs/>
          <w:b/>
          <w:iCs/>
          <w:i/>
        </w:rPr>
        <w:t xml:space="preserve">State how the FCA minutes are provided, including the requirements traceability and test matrix (3.5.2.1(3)).</w:t>
      </w:r>
      <w:r>
        <w:rPr>
          <w:iCs/>
          <w:i/>
        </w:rPr>
        <w:t xml:space="preserve">&gt;</w:t>
      </w:r>
    </w:p>
    <w:bookmarkEnd w:id="91"/>
    <w:bookmarkEnd w:id="92"/>
    <w:bookmarkStart w:id="94" w:name="physical-configuration-audit"/>
    <w:p>
      <w:pPr>
        <w:pStyle w:val="Heading3"/>
      </w:pPr>
      <w:r>
        <w:rPr>
          <w:bCs/>
          <w:b/>
        </w:rPr>
        <w:t xml:space="preserve">2.6.6 Physical Configuration Audit</w:t>
      </w:r>
    </w:p>
    <w:p>
      <w:pPr>
        <w:pStyle w:val="FirstParagraph"/>
      </w:pPr>
      <w:r>
        <w:rPr>
          <w:iCs/>
          <w:i/>
        </w:rPr>
        <w:t xml:space="preserve">&lt;</w:t>
      </w:r>
      <w:r>
        <w:rPr>
          <w:bCs/>
          <w:b/>
          <w:iCs/>
          <w:i/>
        </w:rPr>
        <w:t xml:space="preserve">State how the PCA is conducted to verify that the PCD is consistent with the validated Configuration Item (3.5.3(1)) by examining the as-built configuration against its design documentation plus any approved changes after a successful CDR, and how the final product baseline is established on its completion.</w:t>
      </w:r>
      <w:r>
        <w:rPr>
          <w:iCs/>
          <w:i/>
        </w:rPr>
        <w:t xml:space="preserve">&gt;</w:t>
      </w:r>
    </w:p>
    <w:p>
      <w:pPr>
        <w:pStyle w:val="BodyText"/>
      </w:pPr>
      <w:r>
        <w:rPr>
          <w:iCs/>
          <w:i/>
        </w:rPr>
        <w:t xml:space="preserve">&lt;</w:t>
      </w:r>
      <w:r>
        <w:rPr>
          <w:bCs/>
          <w:b/>
          <w:iCs/>
          <w:i/>
        </w:rPr>
        <w:t xml:space="preserve">State how compatibility between the Configuration Item and the Program Parts Selection List is confirmed, and how the Configuration Item is examined to ensure the proper parts are actually installed (3.5.3(2)).</w:t>
      </w:r>
      <w:r>
        <w:rPr>
          <w:iCs/>
          <w:i/>
        </w:rPr>
        <w:t xml:space="preserve">&gt;</w:t>
      </w:r>
    </w:p>
    <w:p>
      <w:pPr>
        <w:pStyle w:val="BodyText"/>
      </w:pPr>
      <w:r>
        <w:rPr>
          <w:iCs/>
          <w:i/>
        </w:rPr>
        <w:t xml:space="preserve">&lt;</w:t>
      </w:r>
      <w:r>
        <w:rPr>
          <w:bCs/>
          <w:b/>
          <w:iCs/>
          <w:i/>
        </w:rPr>
        <w:t xml:space="preserve">For software, state how the PCA is conducted after producing a software build: the build is produced and checked that it can be installed on the device or computer, verified against the SVD, and witnessed by QA or another entity established by the Acquiring activity, including verification that all software updates listed on the problem reports for that build have been applied.</w:t>
      </w:r>
      <w:r>
        <w:rPr>
          <w:iCs/>
          <w:i/>
        </w:rPr>
        <w:t xml:space="preserve">&gt;</w:t>
      </w:r>
    </w:p>
    <w:p>
      <w:pPr>
        <w:pStyle w:val="BodyText"/>
      </w:pPr>
      <w:r>
        <w:rPr>
          <w:iCs/>
          <w:i/>
        </w:rPr>
        <w:t xml:space="preserve">&lt;</w:t>
      </w:r>
      <w:r>
        <w:rPr>
          <w:bCs/>
          <w:b/>
          <w:iCs/>
          <w:i/>
        </w:rPr>
        <w:t xml:space="preserve">State how each PCA non-compliance is documented by CM, evaluated by the project lead for appropriate action, and provided to the Acquirer (3.5.3(4)).</w:t>
      </w:r>
      <w:r>
        <w:rPr>
          <w:iCs/>
          <w:i/>
        </w:rPr>
        <w:t xml:space="preserve">&gt;</w:t>
      </w:r>
    </w:p>
    <w:p>
      <w:pPr>
        <w:pStyle w:val="BodyText"/>
      </w:pPr>
      <w:r>
        <w:rPr>
          <w:iCs/>
          <w:i/>
        </w:rPr>
        <w:t xml:space="preserve">&lt;</w:t>
      </w:r>
      <w:r>
        <w:rPr>
          <w:bCs/>
          <w:b/>
          <w:iCs/>
          <w:i/>
        </w:rPr>
        <w:t xml:space="preserve">State that where any portion of the inspections, tests or audits must be re-accomplished, the Acquirer or the Acquirer’s designated representative is invited to witness them (3.5.3(5)); and that where PCAs are conducted in increments a final system-level PCA confirms the system PBL is correct (3.5.3(3)).</w:t>
      </w:r>
      <w:r>
        <w:rPr>
          <w:iCs/>
          <w:i/>
        </w:rPr>
        <w:t xml:space="preserve">&gt;</w:t>
      </w:r>
    </w:p>
    <w:bookmarkStart w:id="93" w:name="pca-pre-audit-information"/>
    <w:p>
      <w:pPr>
        <w:pStyle w:val="Heading4"/>
      </w:pPr>
      <w:r>
        <w:rPr>
          <w:bCs/>
          <w:b/>
        </w:rPr>
        <w:t xml:space="preserve">2.6.6.1 PCA Pre-Audit Information</w:t>
      </w:r>
    </w:p>
    <w:p>
      <w:pPr>
        <w:pStyle w:val="FirstParagraph"/>
      </w:pPr>
      <w:r>
        <w:rPr>
          <w:iCs/>
          <w:i/>
        </w:rPr>
        <w:t xml:space="preserve">&lt;</w:t>
      </w:r>
      <w:r>
        <w:rPr>
          <w:bCs/>
          <w:b/>
          <w:iCs/>
          <w:i/>
        </w:rPr>
        <w:t xml:space="preserve">State how the data describing the item configuration is provided to the Acquirer prior to the audit date (3.5.3.1(1)(a)). The required set is extensive; confirm each element and identify where it is sourced.</w:t>
      </w:r>
      <w:r>
        <w:rPr>
          <w:iCs/>
          <w:i/>
        </w:rPr>
        <w:t xml:space="preserve">&gt;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Pre-audit element</w:t>
            </w:r>
          </w:p>
        </w:tc>
        <w:tc>
          <w:tcPr/>
          <w:p>
            <w:pPr>
              <w:pStyle w:val="Compact"/>
              <w:jc w:val="left"/>
            </w:pPr>
            <w:r>
              <w:rPr>
                <w:bCs/>
                <w:b/>
              </w:rPr>
              <w:t xml:space="preserve">Source / owner</w:t>
            </w:r>
          </w:p>
        </w:tc>
      </w:tr>
      <w:tr>
        <w:tc>
          <w:tcPr/>
          <w:p>
            <w:pPr>
              <w:pStyle w:val="Compact"/>
              <w:jc w:val="left"/>
            </w:pPr>
            <w:r>
              <w:t xml:space="preserve">CI specifications; current approved issue of hardware development, software and interface requirements specifications including approved SCNs and approved variances</w:t>
            </w:r>
          </w:p>
        </w:tc>
        <w:tc>
          <w:tcPr/>
          <w:p>
            <w:pPr>
              <w:pStyle w:val="Compact"/>
              <w:jc w:val="left"/>
            </w:pPr>
            <w:r>
              <w:rPr>
                <w:iCs/>
                <w:i/>
              </w:rPr>
              <w:t xml:space="preserve">&lt;</w:t>
            </w:r>
            <w:r>
              <w:rPr>
                <w:bCs/>
                <w:b/>
                <w:iCs/>
                <w:i/>
              </w:rPr>
              <w:t xml:space="preserve"> </w:t>
            </w:r>
            <w:r>
              <w:rPr>
                <w:iCs/>
                <w:i/>
              </w:rPr>
              <w:t xml:space="preserve">&gt;</w:t>
            </w:r>
          </w:p>
        </w:tc>
      </w:tr>
      <w:tr>
        <w:tc>
          <w:tcPr/>
          <w:p>
            <w:pPr>
              <w:pStyle w:val="Compact"/>
              <w:jc w:val="left"/>
            </w:pPr>
            <w:r>
              <w:t xml:space="preserve">List delineating both approved and outstanding changes against the CI</w:t>
            </w:r>
          </w:p>
        </w:tc>
        <w:tc>
          <w:tcPr/>
          <w:p>
            <w:pPr>
              <w:pStyle w:val="Compact"/>
            </w:pPr>
          </w:p>
        </w:tc>
      </w:tr>
      <w:tr>
        <w:tc>
          <w:tcPr/>
          <w:p>
            <w:pPr>
              <w:pStyle w:val="Compact"/>
              <w:jc w:val="left"/>
            </w:pPr>
            <w:r>
              <w:t xml:space="preserve">Complete shortage list</w:t>
            </w:r>
          </w:p>
        </w:tc>
        <w:tc>
          <w:tcPr/>
          <w:p>
            <w:pPr>
              <w:pStyle w:val="Compact"/>
            </w:pPr>
          </w:p>
        </w:tc>
      </w:tr>
      <w:tr>
        <w:tc>
          <w:tcPr/>
          <w:p>
            <w:pPr>
              <w:pStyle w:val="Compact"/>
              <w:jc w:val="left"/>
            </w:pPr>
            <w:r>
              <w:t xml:space="preserve">Acceptance test procedures and associated test data from the successful FCA</w:t>
            </w:r>
          </w:p>
        </w:tc>
        <w:tc>
          <w:tcPr/>
          <w:p>
            <w:pPr>
              <w:pStyle w:val="Compact"/>
            </w:pPr>
          </w:p>
        </w:tc>
      </w:tr>
      <w:tr>
        <w:tc>
          <w:tcPr/>
          <w:p>
            <w:pPr>
              <w:pStyle w:val="Compact"/>
              <w:jc w:val="left"/>
            </w:pPr>
            <w:r>
              <w:t xml:space="preserve">Engineering drawing index including revision letters</w:t>
            </w:r>
          </w:p>
        </w:tc>
        <w:tc>
          <w:tcPr/>
          <w:p>
            <w:pPr>
              <w:pStyle w:val="Compact"/>
            </w:pPr>
          </w:p>
        </w:tc>
      </w:tr>
      <w:tr>
        <w:tc>
          <w:tcPr/>
          <w:p>
            <w:pPr>
              <w:pStyle w:val="Compact"/>
              <w:jc w:val="left"/>
            </w:pPr>
            <w:r>
              <w:t xml:space="preserve">Operating and support manuals — operator’s, maintenance, illustrated parts breakdown, programmer’s, diagnostic</w:t>
            </w:r>
          </w:p>
        </w:tc>
        <w:tc>
          <w:tcPr/>
          <w:p>
            <w:pPr>
              <w:pStyle w:val="Compact"/>
            </w:pPr>
          </w:p>
        </w:tc>
      </w:tr>
      <w:tr>
        <w:tc>
          <w:tcPr/>
          <w:p>
            <w:pPr>
              <w:pStyle w:val="Compact"/>
              <w:jc w:val="left"/>
            </w:pPr>
            <w:r>
              <w:t xml:space="preserve">Proposed Material Inspection and Receiving Report (DD Form 250)</w:t>
            </w:r>
          </w:p>
        </w:tc>
        <w:tc>
          <w:tcPr/>
          <w:p>
            <w:pPr>
              <w:pStyle w:val="Compact"/>
            </w:pPr>
          </w:p>
        </w:tc>
      </w:tr>
      <w:tr>
        <w:tc>
          <w:tcPr/>
          <w:p>
            <w:pPr>
              <w:pStyle w:val="Compact"/>
              <w:jc w:val="left"/>
            </w:pPr>
            <w:r>
              <w:t xml:space="preserve">Approved nomenclature and nameplates</w:t>
            </w:r>
          </w:p>
        </w:tc>
        <w:tc>
          <w:tcPr/>
          <w:p>
            <w:pPr>
              <w:pStyle w:val="Compact"/>
            </w:pPr>
          </w:p>
        </w:tc>
      </w:tr>
      <w:tr>
        <w:tc>
          <w:tcPr/>
          <w:p>
            <w:pPr>
              <w:pStyle w:val="Compact"/>
              <w:jc w:val="left"/>
            </w:pPr>
            <w:r>
              <w:t xml:space="preserve">SVDs for software; Interface Design Document for software</w:t>
            </w:r>
          </w:p>
        </w:tc>
        <w:tc>
          <w:tcPr/>
          <w:p>
            <w:pPr>
              <w:pStyle w:val="Compact"/>
            </w:pPr>
          </w:p>
        </w:tc>
      </w:tr>
      <w:tr>
        <w:tc>
          <w:tcPr/>
          <w:p>
            <w:pPr>
              <w:pStyle w:val="Compact"/>
              <w:jc w:val="left"/>
            </w:pPr>
            <w:r>
              <w:t xml:space="preserve">FCA official minutes for each CI, unless performed incrementally</w:t>
            </w:r>
          </w:p>
        </w:tc>
        <w:tc>
          <w:tcPr/>
          <w:p>
            <w:pPr>
              <w:pStyle w:val="Compact"/>
            </w:pPr>
          </w:p>
        </w:tc>
      </w:tr>
      <w:tr>
        <w:tc>
          <w:tcPr/>
          <w:p>
            <w:pPr>
              <w:pStyle w:val="Compact"/>
              <w:jc w:val="left"/>
            </w:pPr>
            <w:r>
              <w:t xml:space="preserve">Status of current OEM/Supplier Quality Assurance Programs</w:t>
            </w:r>
          </w:p>
        </w:tc>
        <w:tc>
          <w:tcPr/>
          <w:p>
            <w:pPr>
              <w:pStyle w:val="Compact"/>
            </w:pPr>
          </w:p>
        </w:tc>
      </w:tr>
      <w:tr>
        <w:tc>
          <w:tcPr/>
          <w:p>
            <w:pPr>
              <w:pStyle w:val="Compact"/>
              <w:jc w:val="left"/>
            </w:pPr>
            <w:r>
              <w:t xml:space="preserve">Parts Selection List</w:t>
            </w:r>
          </w:p>
        </w:tc>
        <w:tc>
          <w:tcPr/>
          <w:p>
            <w:pPr>
              <w:pStyle w:val="Compact"/>
            </w:pPr>
          </w:p>
        </w:tc>
      </w:tr>
      <w:tr>
        <w:tc>
          <w:tcPr/>
          <w:p>
            <w:pPr>
              <w:pStyle w:val="Compact"/>
              <w:jc w:val="left"/>
            </w:pPr>
            <w:r>
              <w:t xml:space="preserve">Operational test plans, specifications, descriptions, procedures, recorded results and analyses for the CI</w:t>
            </w:r>
          </w:p>
        </w:tc>
        <w:tc>
          <w:tcPr/>
          <w:p>
            <w:pPr>
              <w:pStyle w:val="Compact"/>
            </w:pPr>
          </w:p>
        </w:tc>
      </w:tr>
      <w:tr>
        <w:tc>
          <w:tcPr/>
          <w:p>
            <w:pPr>
              <w:pStyle w:val="Compact"/>
              <w:jc w:val="left"/>
            </w:pPr>
            <w:r>
              <w:t xml:space="preserve">CI requirements not met, with proposed remedy; operational test requirements not yet performed, with a plan for each; analyses or simulations for requirements not completely validated through testing</w:t>
            </w:r>
          </w:p>
        </w:tc>
        <w:tc>
          <w:tcPr/>
          <w:p>
            <w:pPr>
              <w:pStyle w:val="Compact"/>
            </w:pPr>
          </w:p>
        </w:tc>
      </w:tr>
      <w:tr>
        <w:tc>
          <w:tcPr/>
          <w:p>
            <w:pPr>
              <w:pStyle w:val="Compact"/>
              <w:jc w:val="left"/>
            </w:pPr>
            <w:r>
              <w:t xml:space="preserve">Identification of all changes made during test, and any required changes not completed</w:t>
            </w:r>
          </w:p>
        </w:tc>
        <w:tc>
          <w:tcPr/>
          <w:p>
            <w:pPr>
              <w:pStyle w:val="Compact"/>
            </w:pPr>
          </w:p>
        </w:tc>
      </w:tr>
      <w:tr>
        <w:tc>
          <w:tcPr/>
          <w:p>
            <w:pPr>
              <w:pStyle w:val="Compact"/>
              <w:jc w:val="left"/>
            </w:pPr>
            <w:r>
              <w:t xml:space="preserve">All configuration documentation, or electronic representations, required to identify the CI</w:t>
            </w:r>
          </w:p>
        </w:tc>
        <w:tc>
          <w:tcPr/>
          <w:p>
            <w:pPr>
              <w:pStyle w:val="Compact"/>
            </w:pPr>
          </w:p>
        </w:tc>
      </w:tr>
    </w:tbl>
    <w:p>
      <w:pPr>
        <w:pStyle w:val="BodyText"/>
      </w:pPr>
      <w:r>
        <w:rPr>
          <w:iCs/>
          <w:i/>
        </w:rPr>
        <w:t xml:space="preserve">&lt;</w:t>
      </w:r>
      <w:r>
        <w:rPr>
          <w:bCs/>
          <w:b/>
          <w:iCs/>
          <w:i/>
        </w:rPr>
        <w:t xml:space="preserve">State how any difference between the physical configurations of the selected production CIs and the development CIs used for the FCA is identified, together with certifications or demonstrations that these differences do not degrade the functional characteristics of the selected CIs (3.5.3.1(1)(b)).</w:t>
      </w:r>
      <w:r>
        <w:rPr>
          <w:iCs/>
          <w:i/>
        </w:rPr>
        <w:t xml:space="preserve">&gt;</w:t>
      </w:r>
    </w:p>
    <w:p>
      <w:pPr>
        <w:pStyle w:val="BodyText"/>
      </w:pPr>
      <w:r>
        <w:rPr>
          <w:iCs/>
          <w:i/>
        </w:rPr>
        <w:t xml:space="preserve">&lt;</w:t>
      </w:r>
      <w:r>
        <w:rPr>
          <w:bCs/>
          <w:b/>
          <w:iCs/>
          <w:i/>
        </w:rPr>
        <w:t xml:space="preserve">State how form, fit and function of the product model data, and interface or integration data, are provided as proof that the product model and derived output products are current. First article tests or product verification may support the PCA after CDR (3.5.3.1(1)(c)).</w:t>
      </w:r>
      <w:r>
        <w:rPr>
          <w:iCs/>
          <w:i/>
        </w:rPr>
        <w:t xml:space="preserve">&gt;</w:t>
      </w:r>
    </w:p>
    <w:p>
      <w:pPr>
        <w:pStyle w:val="BodyText"/>
      </w:pPr>
      <w:r>
        <w:rPr>
          <w:iCs/>
          <w:i/>
        </w:rPr>
        <w:t xml:space="preserve">&lt;</w:t>
      </w:r>
      <w:r>
        <w:rPr>
          <w:bCs/>
          <w:b/>
          <w:iCs/>
          <w:i/>
        </w:rPr>
        <w:t xml:space="preserve">State how the following are provided to support the PCA and included within the minutes (3.5.3.1(2)): the complete product drawings and associated lists package — 3D model type, cut-away drawings or Model Based Definitions — with associated manufacturing instruction sheets or CAM data for each item of hardware or software identified; completed inspection reports for selected drawings and associated manufacturing instructions; records of the configuration baselines for comparison against the engineering change control procedures and release system, including interim releases of spares and repair parts provisioned prior to PCA to confirm delivery of currently configured spares; confirmation of completion of inspection and test of sub-supplier equipment end items at point of manufacture; and the PPSL supporting examination that the proper parts are installed.</w:t>
      </w:r>
      <w:r>
        <w:rPr>
          <w:iCs/>
          <w:i/>
        </w:rPr>
        <w:t xml:space="preserve">&gt;</w:t>
      </w:r>
    </w:p>
    <w:bookmarkEnd w:id="93"/>
    <w:bookmarkEnd w:id="94"/>
    <w:bookmarkStart w:id="95" w:name="audit-conduct-discrepancies-and-minutes"/>
    <w:p>
      <w:pPr>
        <w:pStyle w:val="Heading3"/>
      </w:pPr>
      <w:r>
        <w:rPr>
          <w:bCs/>
          <w:b/>
        </w:rPr>
        <w:t xml:space="preserve">2.6.7 Audit Conduct, Discrepancies and Minutes</w:t>
      </w:r>
    </w:p>
    <w:p>
      <w:pPr>
        <w:pStyle w:val="FirstParagraph"/>
      </w:pPr>
      <w:r>
        <w:rPr>
          <w:iCs/>
          <w:i/>
        </w:rPr>
        <w:t xml:space="preserve">&lt;</w:t>
      </w:r>
      <w:r>
        <w:rPr>
          <w:bCs/>
          <w:b/>
          <w:iCs/>
          <w:i/>
        </w:rPr>
        <w:t xml:space="preserve">State how participation in the resolution of discrepancies identified during the FCA and PCA is handled (3.5.1(1)(j)).</w:t>
      </w:r>
      <w:r>
        <w:rPr>
          <w:iCs/>
          <w:i/>
        </w:rPr>
        <w:t xml:space="preserve">&gt;</w:t>
      </w:r>
    </w:p>
    <w:p>
      <w:pPr>
        <w:pStyle w:val="BodyText"/>
      </w:pPr>
      <w:r>
        <w:rPr>
          <w:iCs/>
          <w:i/>
        </w:rPr>
        <w:t xml:space="preserve">&lt;</w:t>
      </w:r>
      <w:r>
        <w:rPr>
          <w:bCs/>
          <w:b/>
          <w:iCs/>
          <w:i/>
        </w:rPr>
        <w:t xml:space="preserve">State how conclusions are summarised, with appropriate comments summarising side meetings and the main meeting, into the official minutes (3.5.1(1)(k)); and how significant questions and answers, action items, conclusions and recommended courses of action resulting from each audit are documented (3.5.1(1)(l)).</w:t>
      </w:r>
      <w:r>
        <w:rPr>
          <w:iCs/>
          <w:i/>
        </w:rPr>
        <w:t xml:space="preserve">&gt;</w:t>
      </w:r>
    </w:p>
    <w:p>
      <w:pPr>
        <w:pStyle w:val="BodyText"/>
      </w:pPr>
      <w:r>
        <w:rPr>
          <w:iCs/>
          <w:i/>
        </w:rPr>
        <w:t xml:space="preserve">&lt;</w:t>
      </w:r>
      <w:r>
        <w:rPr>
          <w:bCs/>
          <w:b/>
          <w:iCs/>
          <w:i/>
        </w:rPr>
        <w:t xml:space="preserve">State how all discrepancies identified during an audit are recorded and each processed until closed out, or until a suitable residual task has been established with responsible activities and suspenses identified that will lead to close out (3.5.1(1)(m)).</w:t>
      </w:r>
      <w:r>
        <w:rPr>
          <w:iCs/>
          <w:i/>
        </w:rPr>
        <w:t xml:space="preserve">&gt;</w:t>
      </w:r>
    </w:p>
    <w:p>
      <w:pPr>
        <w:pStyle w:val="BodyText"/>
      </w:pPr>
      <w:r>
        <w:rPr>
          <w:iCs/>
          <w:i/>
        </w:rPr>
        <w:t xml:space="preserve">&lt;</w:t>
      </w:r>
      <w:r>
        <w:rPr>
          <w:bCs/>
          <w:b/>
          <w:iCs/>
          <w:i/>
        </w:rPr>
        <w:t xml:space="preserve">State how the implementation of engineering changes and variance corrective actions is verified to confirm that consistency is maintained between the product and its product configuration information (3.5.1(1)(n)).</w:t>
      </w:r>
      <w:r>
        <w:rPr>
          <w:iCs/>
          <w:i/>
        </w:rPr>
        <w:t xml:space="preserve">&gt;</w:t>
      </w:r>
    </w:p>
    <w:bookmarkEnd w:id="95"/>
    <w:bookmarkStart w:id="96" w:name="X21aa58754d3018392e5a3f2294f1fa726db6e5f"/>
    <w:p>
      <w:pPr>
        <w:pStyle w:val="Heading3"/>
      </w:pPr>
      <w:r>
        <w:rPr>
          <w:bCs/>
          <w:b/>
        </w:rPr>
        <w:t xml:space="preserve">2.6.8 Post-Audit Action and Audit Summary Reporting</w:t>
      </w:r>
    </w:p>
    <w:p>
      <w:pPr>
        <w:pStyle w:val="FirstParagraph"/>
      </w:pPr>
      <w:r>
        <w:rPr>
          <w:iCs/>
          <w:i/>
        </w:rPr>
        <w:t xml:space="preserve">&lt;</w:t>
      </w:r>
      <w:r>
        <w:rPr>
          <w:bCs/>
          <w:b/>
          <w:iCs/>
          <w:i/>
        </w:rPr>
        <w:t xml:space="preserve">State how post-audit actions assigned or directed are completed and tracked to closure (3.5.4(1)).</w:t>
      </w:r>
      <w:r>
        <w:rPr>
          <w:iCs/>
          <w:i/>
        </w:rPr>
        <w:t xml:space="preserve">&gt;</w:t>
      </w:r>
    </w:p>
    <w:p>
      <w:pPr>
        <w:pStyle w:val="BodyText"/>
      </w:pPr>
      <w:r>
        <w:rPr>
          <w:iCs/>
          <w:i/>
        </w:rPr>
        <w:t xml:space="preserve">&lt;</w:t>
      </w:r>
      <w:r>
        <w:rPr>
          <w:bCs/>
          <w:b/>
          <w:iCs/>
          <w:i/>
        </w:rPr>
        <w:t xml:space="preserve">State how the Configuration Audit Summary Report is prepared, consisting of the applicable audit action items and discrepancy information derived from the applicable audit checklist package; how a detailed summary report is prepared after successful verification of the completed action items has been conducted; and how the completed report is provided (3.5.5(1)).</w:t>
      </w:r>
      <w:r>
        <w:rPr>
          <w:iCs/>
          <w:i/>
        </w:rPr>
        <w:t xml:space="preserve">&gt;</w:t>
      </w:r>
    </w:p>
    <w:p>
      <w:pPr>
        <w:pStyle w:val="BodyText"/>
      </w:pPr>
      <w:r>
        <w:rPr>
          <w:iCs/>
          <w:i/>
        </w:rPr>
        <w:t xml:space="preserve">&lt;</w:t>
      </w:r>
      <w:r>
        <w:rPr>
          <w:bCs/>
          <w:b/>
          <w:iCs/>
          <w:i/>
        </w:rPr>
        <w:t xml:space="preserve">Note the sequence: the summary report is not complete until the action items it records have been verified as completed. A report issued at the end of the audit event is the first stage, not the deliverable.</w:t>
      </w:r>
      <w:r>
        <w:rPr>
          <w:iCs/>
          <w:i/>
        </w:rPr>
        <w:t xml:space="preserve">&gt;</w:t>
      </w:r>
    </w:p>
    <w:bookmarkEnd w:id="96"/>
    <w:bookmarkStart w:id="97" w:name="Xbdf91566b7e87bed39e94389167cf70e2d2438c"/>
    <w:p>
      <w:pPr>
        <w:pStyle w:val="Heading3"/>
      </w:pPr>
      <w:r>
        <w:rPr>
          <w:bCs/>
          <w:b/>
        </w:rPr>
        <w:t xml:space="preserve">2.6.9 Safety Barrier Requirements Applicable to this Function</w:t>
      </w:r>
    </w:p>
    <w:p>
      <w:pPr>
        <w:pStyle w:val="FirstParagraph"/>
      </w:pPr>
      <w:r>
        <w:t xml:space="preserve">Safety barrier requirements F09 and F15 (change incorporation verification), F29–F31 and F34 (PCA conduct, PPSL confirmation, non-compliance reporting, production/development CI differences), F41 (support to Acquirer CM audits), and F42–F44 (FCA conduct, non-compliance reporting, requirements-to-test traceability matrix) are implemented through this function. See Sections 7.2, 7.3 and 7.4.</w:t>
      </w:r>
    </w:p>
    <w:bookmarkEnd w:id="97"/>
    <w:bookmarkEnd w:id="98"/>
    <w:bookmarkStart w:id="104" w:name="data-document-management"/>
    <w:p>
      <w:pPr>
        <w:pStyle w:val="Heading2"/>
      </w:pPr>
      <w:r>
        <w:rPr>
          <w:bCs/>
          <w:b/>
        </w:rPr>
        <w:t xml:space="preserve">2.7 Data &amp;</w:t>
      </w:r>
      <w:r>
        <w:t xml:space="preserve">** Document Management**</w:t>
      </w:r>
    </w:p>
    <w:bookmarkStart w:id="99" w:name="function-6"/>
    <w:p>
      <w:pPr>
        <w:pStyle w:val="Heading3"/>
      </w:pPr>
      <w:r>
        <w:rPr>
          <w:bCs/>
          <w:b/>
        </w:rPr>
        <w:t xml:space="preserve">2.7.1 Function</w:t>
      </w:r>
    </w:p>
    <w:p>
      <w:pPr>
        <w:pStyle w:val="FirstParagraph"/>
      </w:pPr>
      <w:r>
        <w:t xml:space="preserve">A discipline that monitors all recorded administrative, managerial, financial, and technical configuration information, regardless of medium or characteristics. It includes ownership and approval of documentation and data, versioning of documentation and software, and document and data repository control and access.</w:t>
      </w:r>
    </w:p>
    <w:bookmarkEnd w:id="99"/>
    <w:bookmarkStart w:id="100" w:name="principle-6"/>
    <w:p>
      <w:pPr>
        <w:pStyle w:val="Heading3"/>
      </w:pPr>
      <w:r>
        <w:rPr>
          <w:bCs/>
          <w:b/>
        </w:rPr>
        <w:t xml:space="preserve">2.7.2 Principle</w:t>
      </w:r>
    </w:p>
    <w:p>
      <w:pPr>
        <w:pStyle w:val="FirstParagraph"/>
      </w:pPr>
      <w:r>
        <w:t xml:space="preserve">Define the relevant scope of data; plan for, acquire and provide data responses; identify data products and views so their requirements and attributes can be controlled; control data, repositories, data products, data views, and metadata using an approved change control process.</w:t>
      </w:r>
    </w:p>
    <w:bookmarkEnd w:id="100"/>
    <w:bookmarkStart w:id="101" w:name="activity-6"/>
    <w:p>
      <w:pPr>
        <w:pStyle w:val="Heading3"/>
      </w:pPr>
      <w:r>
        <w:rPr>
          <w:bCs/>
          <w:b/>
        </w:rPr>
        <w:t xml:space="preserve">2.7.3 Activity</w:t>
      </w:r>
    </w:p>
    <w:p>
      <w:pPr>
        <w:pStyle w:val="FirstParagraph"/>
      </w:pPr>
      <w:r>
        <w:rPr>
          <w:iCs/>
          <w:i/>
        </w:rPr>
        <w:t xml:space="preserve">&lt;</w:t>
      </w:r>
      <w:r>
        <w:rPr>
          <w:bCs/>
          <w:b/>
          <w:iCs/>
          <w:i/>
        </w:rPr>
        <w:t xml:space="preserve">Provide an overview description of how Data</w:t>
      </w:r>
      <w:r>
        <w:rPr>
          <w:bCs/>
          <w:b/>
          <w:iCs/>
          <w:i/>
        </w:rPr>
        <w:t xml:space="preserve"> </w:t>
      </w:r>
      <w:r>
        <w:rPr>
          <w:iCs/>
          <w:i/>
        </w:rPr>
        <w:t xml:space="preserve">&amp;</w:t>
      </w:r>
      <w:r>
        <w:rPr>
          <w:bCs/>
          <w:b/>
          <w:iCs/>
          <w:i/>
        </w:rPr>
        <w:t xml:space="preserve"> </w:t>
      </w:r>
      <w:r>
        <w:rPr>
          <w:bCs/>
          <w:b/>
          <w:iCs/>
          <w:i/>
        </w:rPr>
        <w:t xml:space="preserve">Document Management will be implemented, including metadata fields, entry patterns, standard titles, numbering schemes, version/revision schemes, and naming conventions (details in the Data and Document Management Conventions appendix)</w:t>
      </w:r>
      <w:r>
        <w:rPr>
          <w:iCs/>
          <w:i/>
        </w:rPr>
        <w:t xml:space="preserve">&gt;</w:t>
      </w:r>
    </w:p>
    <w:p>
      <w:pPr>
        <w:pStyle w:val="BodyText"/>
      </w:pPr>
      <w:r>
        <w:t xml:space="preserve">i.e. The data and document management conventions are used to identify data products and attributes so that requirements can be controlled. Refer to Appendix P.</w:t>
      </w:r>
    </w:p>
    <w:bookmarkEnd w:id="101"/>
    <w:bookmarkStart w:id="102" w:name="X83fb33ec1feb5e6d083b7d7e788e86e87823cf0"/>
    <w:p>
      <w:pPr>
        <w:pStyle w:val="Heading3"/>
      </w:pPr>
      <w:r>
        <w:rPr>
          <w:bCs/>
          <w:b/>
        </w:rPr>
        <w:t xml:space="preserve">2.7.4 Configuration Data Handling, Security and Digital Environment</w:t>
      </w:r>
    </w:p>
    <w:p>
      <w:pPr>
        <w:pStyle w:val="FirstParagraph"/>
      </w:pPr>
      <w:r>
        <w:rPr>
          <w:iCs/>
          <w:i/>
        </w:rPr>
        <w:t xml:space="preserve">&lt;</w:t>
      </w:r>
      <w:r>
        <w:rPr>
          <w:bCs/>
          <w:b/>
          <w:iCs/>
          <w:i/>
        </w:rPr>
        <w:t xml:space="preserve">State how the contractually specified product configuration documentation requirements are addressed. EIA-649-1A 3.1.4(1) requires the CMP to address these, and names nine attributes specifically. Address each below.</w:t>
      </w:r>
      <w:r>
        <w:rPr>
          <w:iCs/>
          <w:i/>
        </w:rPr>
        <w:t xml:space="preserve">&gt;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Attribute</w:t>
            </w:r>
          </w:p>
        </w:tc>
        <w:tc>
          <w:tcPr/>
          <w:p>
            <w:pPr>
              <w:pStyle w:val="Compact"/>
              <w:jc w:val="left"/>
            </w:pPr>
            <w:r>
              <w:rPr>
                <w:bCs/>
                <w:b/>
              </w:rPr>
              <w:t xml:space="preserve">How addressed</w:t>
            </w:r>
          </w:p>
        </w:tc>
      </w:tr>
      <w:tr>
        <w:tc>
          <w:tcPr/>
          <w:p>
            <w:pPr>
              <w:pStyle w:val="Compact"/>
              <w:jc w:val="left"/>
            </w:pPr>
            <w:r>
              <w:t xml:space="preserve">Data handling</w:t>
            </w:r>
          </w:p>
        </w:tc>
        <w:tc>
          <w:tcPr/>
          <w:p>
            <w:pPr>
              <w:pStyle w:val="Compact"/>
              <w:jc w:val="left"/>
            </w:pPr>
            <w:r>
              <w:rPr>
                <w:iCs/>
                <w:i/>
              </w:rPr>
              <w:t xml:space="preserve">&lt;</w:t>
            </w:r>
            <w:r>
              <w:rPr>
                <w:bCs/>
                <w:b/>
                <w:iCs/>
                <w:i/>
              </w:rPr>
              <w:t xml:space="preserve">controls applied from creation through disposal</w:t>
            </w:r>
            <w:r>
              <w:rPr>
                <w:iCs/>
                <w:i/>
              </w:rPr>
              <w:t xml:space="preserve">&gt;</w:t>
            </w:r>
          </w:p>
        </w:tc>
      </w:tr>
      <w:tr>
        <w:tc>
          <w:tcPr/>
          <w:p>
            <w:pPr>
              <w:pStyle w:val="Compact"/>
              <w:jc w:val="left"/>
            </w:pPr>
            <w:r>
              <w:t xml:space="preserve">Processing</w:t>
            </w:r>
          </w:p>
        </w:tc>
        <w:tc>
          <w:tcPr/>
          <w:p>
            <w:pPr>
              <w:pStyle w:val="Compact"/>
            </w:pPr>
          </w:p>
        </w:tc>
      </w:tr>
      <w:tr>
        <w:tc>
          <w:tcPr/>
          <w:p>
            <w:pPr>
              <w:pStyle w:val="Compact"/>
              <w:jc w:val="left"/>
            </w:pPr>
            <w:r>
              <w:t xml:space="preserve">Storage</w:t>
            </w:r>
          </w:p>
        </w:tc>
        <w:tc>
          <w:tcPr/>
          <w:p>
            <w:pPr>
              <w:pStyle w:val="Compact"/>
            </w:pPr>
          </w:p>
        </w:tc>
      </w:tr>
      <w:tr>
        <w:tc>
          <w:tcPr/>
          <w:p>
            <w:pPr>
              <w:pStyle w:val="Compact"/>
              <w:jc w:val="left"/>
            </w:pPr>
            <w:r>
              <w:t xml:space="preserve">Retention</w:t>
            </w:r>
          </w:p>
        </w:tc>
        <w:tc>
          <w:tcPr/>
          <w:p>
            <w:pPr>
              <w:pStyle w:val="Compact"/>
              <w:jc w:val="left"/>
            </w:pPr>
            <w:r>
              <w:rPr>
                <w:iCs/>
                <w:i/>
              </w:rPr>
              <w:t xml:space="preserve">&lt;</w:t>
            </w:r>
            <w:r>
              <w:rPr>
                <w:bCs/>
                <w:b/>
                <w:iCs/>
                <w:i/>
              </w:rPr>
              <w:t xml:space="preserve">retention period and the basis for it</w:t>
            </w:r>
            <w:r>
              <w:rPr>
                <w:iCs/>
                <w:i/>
              </w:rPr>
              <w:t xml:space="preserve">&gt;</w:t>
            </w:r>
          </w:p>
        </w:tc>
      </w:tr>
      <w:tr>
        <w:tc>
          <w:tcPr/>
          <w:p>
            <w:pPr>
              <w:pStyle w:val="Compact"/>
              <w:jc w:val="left"/>
            </w:pPr>
            <w:r>
              <w:t xml:space="preserve">Integrity</w:t>
            </w:r>
          </w:p>
        </w:tc>
        <w:tc>
          <w:tcPr/>
          <w:p>
            <w:pPr>
              <w:pStyle w:val="Compact"/>
              <w:jc w:val="left"/>
            </w:pPr>
            <w:r>
              <w:rPr>
                <w:iCs/>
                <w:i/>
              </w:rPr>
              <w:t xml:space="preserve">&lt;</w:t>
            </w:r>
            <w:r>
              <w:rPr>
                <w:bCs/>
                <w:b/>
                <w:iCs/>
                <w:i/>
              </w:rPr>
              <w:t xml:space="preserve">how corruption, unauthorised alteration and loss are prevented and detected</w:t>
            </w:r>
            <w:r>
              <w:rPr>
                <w:iCs/>
                <w:i/>
              </w:rPr>
              <w:t xml:space="preserve">&gt;</w:t>
            </w:r>
          </w:p>
        </w:tc>
      </w:tr>
      <w:tr>
        <w:tc>
          <w:tcPr/>
          <w:p>
            <w:pPr>
              <w:pStyle w:val="Compact"/>
              <w:jc w:val="left"/>
            </w:pPr>
            <w:r>
              <w:t xml:space="preserve">Transfer</w:t>
            </w:r>
          </w:p>
        </w:tc>
        <w:tc>
          <w:tcPr/>
          <w:p>
            <w:pPr>
              <w:pStyle w:val="Compact"/>
              <w:jc w:val="left"/>
            </w:pPr>
            <w:r>
              <w:rPr>
                <w:iCs/>
                <w:i/>
              </w:rPr>
              <w:t xml:space="preserve">&lt;</w:t>
            </w:r>
            <w:r>
              <w:rPr>
                <w:bCs/>
                <w:b/>
                <w:iCs/>
                <w:i/>
              </w:rPr>
              <w:t xml:space="preserve">controls on transfer between systems, sites, sub-suppliers and the Acquirer</w:t>
            </w:r>
            <w:r>
              <w:rPr>
                <w:iCs/>
                <w:i/>
              </w:rPr>
              <w:t xml:space="preserve">&gt;</w:t>
            </w:r>
          </w:p>
        </w:tc>
      </w:tr>
      <w:tr>
        <w:tc>
          <w:tcPr/>
          <w:p>
            <w:pPr>
              <w:pStyle w:val="Compact"/>
              <w:jc w:val="left"/>
            </w:pPr>
            <w:r>
              <w:t xml:space="preserve">Releasability / disclosure</w:t>
            </w:r>
          </w:p>
        </w:tc>
        <w:tc>
          <w:tcPr/>
          <w:p>
            <w:pPr>
              <w:pStyle w:val="Compact"/>
              <w:jc w:val="left"/>
            </w:pPr>
            <w:r>
              <w:rPr>
                <w:iCs/>
                <w:i/>
              </w:rPr>
              <w:t xml:space="preserve">&lt;</w:t>
            </w:r>
            <w:r>
              <w:rPr>
                <w:bCs/>
                <w:b/>
                <w:iCs/>
                <w:i/>
              </w:rPr>
              <w:t xml:space="preserve">who determines it and how it is recorded; consistency with 2.3.10</w:t>
            </w:r>
            <w:r>
              <w:rPr>
                <w:iCs/>
                <w:i/>
              </w:rPr>
              <w:t xml:space="preserve">&gt;</w:t>
            </w:r>
          </w:p>
        </w:tc>
      </w:tr>
      <w:tr>
        <w:tc>
          <w:tcPr/>
          <w:p>
            <w:pPr>
              <w:pStyle w:val="Compact"/>
              <w:jc w:val="left"/>
            </w:pPr>
            <w:r>
              <w:t xml:space="preserve">Security</w:t>
            </w:r>
          </w:p>
        </w:tc>
        <w:tc>
          <w:tcPr/>
          <w:p>
            <w:pPr>
              <w:pStyle w:val="Compact"/>
              <w:jc w:val="left"/>
            </w:pPr>
            <w:r>
              <w:rPr>
                <w:iCs/>
                <w:i/>
              </w:rPr>
              <w:t xml:space="preserve">&lt;</w:t>
            </w:r>
            <w:r>
              <w:rPr>
                <w:bCs/>
                <w:b/>
                <w:iCs/>
                <w:i/>
              </w:rPr>
              <w:t xml:space="preserve">classification, marking, access control and the governing requirement set</w:t>
            </w:r>
            <w:r>
              <w:rPr>
                <w:iCs/>
                <w:i/>
              </w:rPr>
              <w:t xml:space="preserve">&gt;</w:t>
            </w:r>
          </w:p>
        </w:tc>
      </w:tr>
      <w:tr>
        <w:tc>
          <w:tcPr/>
          <w:p>
            <w:pPr>
              <w:pStyle w:val="Compact"/>
              <w:jc w:val="left"/>
            </w:pPr>
            <w:r>
              <w:t xml:space="preserve">Maintenance documentation requirements</w:t>
            </w:r>
          </w:p>
        </w:tc>
        <w:tc>
          <w:tcPr/>
          <w:p>
            <w:pPr>
              <w:pStyle w:val="Compact"/>
            </w:pPr>
          </w:p>
        </w:tc>
      </w:tr>
    </w:tbl>
    <w:p>
      <w:pPr>
        <w:pStyle w:val="BodyText"/>
      </w:pPr>
      <w:r>
        <w:rPr>
          <w:iCs/>
          <w:i/>
        </w:rPr>
        <w:t xml:space="preserve">&lt;</w:t>
      </w:r>
      <w:r>
        <w:rPr>
          <w:bCs/>
          <w:b/>
          <w:iCs/>
          <w:i/>
        </w:rPr>
        <w:t xml:space="preserve">State any requirements that will be imposed on the Acquirer to maintain the security and integrity of shared data, and how the Acquirer is informed of them (EIA-649-1A 3.1.4(2)). This is a distinct obligation from the controls above: it concerns what the Acquirer must do, not what the Supplier does.</w:t>
      </w:r>
      <w:r>
        <w:rPr>
          <w:iCs/>
          <w:i/>
        </w:rPr>
        <w:t xml:space="preserve">&gt;</w:t>
      </w:r>
    </w:p>
    <w:p>
      <w:pPr>
        <w:pStyle w:val="BodyText"/>
      </w:pPr>
      <w:r>
        <w:rPr>
          <w:iCs/>
          <w:i/>
        </w:rPr>
        <w:t xml:space="preserve">&lt;</w:t>
      </w:r>
      <w:r>
        <w:rPr>
          <w:bCs/>
          <w:b/>
          <w:iCs/>
          <w:i/>
        </w:rPr>
        <w:t xml:space="preserve">State the long-term preservation approach: the formats in which configuration information is preserved, how format obsolescence is managed across the retention period, and how retrievability is periodically verified rather than assumed.</w:t>
      </w:r>
      <w:r>
        <w:rPr>
          <w:iCs/>
          <w:i/>
        </w:rPr>
        <w:t xml:space="preserve">&gt;</w:t>
      </w:r>
    </w:p>
    <w:p>
      <w:pPr>
        <w:pStyle w:val="BodyText"/>
      </w:pPr>
      <w:r>
        <w:rPr>
          <w:iCs/>
          <w:i/>
        </w:rPr>
        <w:t xml:space="preserve">&lt;</w:t>
      </w:r>
      <w:r>
        <w:rPr>
          <w:bCs/>
          <w:b/>
          <w:iCs/>
          <w:i/>
        </w:rPr>
        <w:t xml:space="preserve">State the digital environment in which configuration data is exchanged with the Acquirer, its interoperability arrangements, and the cyber security requirements applied. Where this is described in 2.5.5, cross-reference rather than restate.</w:t>
      </w:r>
      <w:r>
        <w:rPr>
          <w:iCs/>
          <w:i/>
        </w:rPr>
        <w:t xml:space="preserve">&gt;</w:t>
      </w:r>
    </w:p>
    <w:bookmarkEnd w:id="102"/>
    <w:bookmarkStart w:id="103" w:name="X8ab640c8bc289be42985ad51b0bf38207426fa2"/>
    <w:p>
      <w:pPr>
        <w:pStyle w:val="Heading3"/>
      </w:pPr>
      <w:r>
        <w:rPr>
          <w:bCs/>
          <w:b/>
        </w:rPr>
        <w:t xml:space="preserve">2.7.5 Safety Barrier Requirements Applicable to this Function</w:t>
      </w:r>
    </w:p>
    <w:p>
      <w:pPr>
        <w:pStyle w:val="FirstParagraph"/>
      </w:pPr>
      <w:r>
        <w:t xml:space="preserve">Safety barrier requirements F13 (documented engineering release system), F23 (revision creation with before/after traceability), and F27–F28 (storage, safeguarding and retrieval of configuration information) rely on this function jointly with 2.4 and 2.5. See Section 7.2 and 7.3.</w:t>
      </w:r>
    </w:p>
    <w:bookmarkEnd w:id="103"/>
    <w:bookmarkEnd w:id="104"/>
    <w:bookmarkEnd w:id="105"/>
    <w:bookmarkStart w:id="122" w:name="configuration-management-paradigms"/>
    <w:p>
      <w:pPr>
        <w:pStyle w:val="Heading1"/>
      </w:pPr>
      <w:r>
        <w:rPr>
          <w:bCs/>
          <w:b/>
        </w:rPr>
        <w:t xml:space="preserve">3.0 Configuration Management Paradigms</w:t>
      </w:r>
    </w:p>
    <w:p>
      <w:pPr>
        <w:pStyle w:val="FirstParagraph"/>
      </w:pPr>
      <w:r>
        <w:t xml:space="preserve">CM paradigms are defined in the context of the relationship between products and platforms, acquirer and supplier, hardware and software, acquisition and operational environments, data and document management, and system of systems / family of systems.</w:t>
      </w:r>
    </w:p>
    <w:bookmarkStart w:id="106" w:name="product-platform"/>
    <w:p>
      <w:pPr>
        <w:pStyle w:val="Heading2"/>
      </w:pPr>
      <w:r>
        <w:rPr>
          <w:bCs/>
          <w:b/>
        </w:rPr>
        <w:t xml:space="preserve">3.1 Product – Platform</w:t>
      </w:r>
    </w:p>
    <w:p>
      <w:pPr>
        <w:pStyle w:val="FirstParagraph"/>
      </w:pPr>
      <w:r>
        <w:rPr>
          <w:iCs/>
          <w:i/>
        </w:rPr>
        <w:t xml:space="preserve">&lt;</w:t>
      </w:r>
      <w:r>
        <w:rPr>
          <w:bCs/>
          <w:b/>
          <w:iCs/>
          <w:i/>
        </w:rPr>
        <w:t xml:space="preserve">Describe the relationship and touch points between your product and applicable platforms: fielding coordination, configuration data transition, communication between product and platform stakeholders, and how their CM processes interface</w:t>
      </w:r>
      <w:r>
        <w:rPr>
          <w:iCs/>
          <w:i/>
        </w:rPr>
        <w:t xml:space="preserve">&gt;</w:t>
      </w:r>
    </w:p>
    <w:bookmarkEnd w:id="106"/>
    <w:bookmarkStart w:id="110" w:name="acquirer-supplier"/>
    <w:p>
      <w:pPr>
        <w:pStyle w:val="Heading2"/>
      </w:pPr>
      <w:r>
        <w:rPr>
          <w:bCs/>
          <w:b/>
        </w:rPr>
        <w:t xml:space="preserve">3.2 Acquirer – Supplier</w:t>
      </w:r>
    </w:p>
    <w:p>
      <w:pPr>
        <w:pStyle w:val="FirstParagraph"/>
      </w:pPr>
      <w:r>
        <w:rPr>
          <w:iCs/>
          <w:i/>
        </w:rPr>
        <w:t xml:space="preserve">&lt;</w:t>
      </w:r>
      <w:r>
        <w:rPr>
          <w:bCs/>
          <w:b/>
          <w:iCs/>
          <w:i/>
        </w:rPr>
        <w:t xml:space="preserve">Define the relationship between the acquirer, who monitors supplier performance under a contract or agreement, and the supplier, who accomplishes specific work and/or delivers required products or services. Address: joint Acquirer/Supplier CCB participation (F04), Acquirer concurrence on Minor/Class II classification (F05), flow-down of the safety barrier requirements to sub-suppliers with suitable tailoring (F40), support to Acquirer audits of Supplier and sub-supplier CM (F41), sub-tier supplier data reporting (F39), and ICWG representation where one exists (F38)</w:t>
      </w:r>
      <w:r>
        <w:rPr>
          <w:iCs/>
          <w:i/>
        </w:rPr>
        <w:t xml:space="preserve">&gt;</w:t>
      </w:r>
    </w:p>
    <w:p>
      <w:pPr>
        <w:pStyle w:val="BodyText"/>
      </w:pPr>
      <w:r>
        <w:t xml:space="preserve">i.e. All programs identify the level of CM control and/or visibility necessary to meet program needs and ensure effective management of baselines and baseline changes. Sub-supplier purchase orders impose the safety barrier requirements of Section 7, tailored where documented and approved.</w:t>
      </w:r>
    </w:p>
    <w:bookmarkStart w:id="107" w:name="X24954011bb535bf1a023f878a0e09b60f15f3f2"/>
    <w:p>
      <w:pPr>
        <w:pStyle w:val="Heading3"/>
      </w:pPr>
      <w:r>
        <w:t xml:space="preserve">3.2.1 Sub-Supplier CM Requirements Flowdown Method</w:t>
      </w:r>
    </w:p>
    <w:p>
      <w:pPr>
        <w:pStyle w:val="FirstParagraph"/>
      </w:pPr>
      <w:r>
        <w:rPr>
          <w:iCs/>
          <w:i/>
          <w:bCs/>
          <w:b/>
        </w:rPr>
        <w:t xml:space="preserve">&lt;</w:t>
      </w:r>
      <w:r>
        <w:rPr>
          <w:iCs/>
          <w:i/>
          <w:bCs/>
          <w:b/>
        </w:rPr>
        <w:t xml:space="preserve">State the method by which CM requirements are selected for each procurement: classification of the work the supplier performs (who holds design authority, who performs the build, item type), derivation of the applicable requirement set and supplier data deliverables from that classification, and recording of the classification as the documented tailoring rationale required by F40. Identify where classifications are recorded, and who reviews and signs the supplier statement of work before release.</w:t>
      </w:r>
      <w:r>
        <w:rPr>
          <w:iCs/>
          <w:i/>
          <w:bCs/>
          <w:b/>
        </w:rPr>
        <w:t xml:space="preserve">&gt;</w:t>
      </w:r>
    </w:p>
    <w:p>
      <w:pPr>
        <w:pStyle w:val="BodyText"/>
      </w:pPr>
      <w:r>
        <w:t xml:space="preserve">i.e. Each procurement is classified by work type at statement-of-work development and recorded on the classification log; the requirement set and data deliverables are derived from that classification; CM signs the statement of work before release.</w:t>
      </w:r>
    </w:p>
    <w:bookmarkEnd w:id="107"/>
    <w:bookmarkStart w:id="108" w:name="Xa5c1448858448c74e7bece6784bbe83cf427f37"/>
    <w:p>
      <w:pPr>
        <w:pStyle w:val="Heading3"/>
      </w:pPr>
      <w:r>
        <w:t xml:space="preserve">3.2.2 Sub-Supplier CM Effectiveness Determination and Actions</w:t>
      </w:r>
    </w:p>
    <w:p>
      <w:pPr>
        <w:pStyle w:val="FirstParagraph"/>
      </w:pPr>
      <w:r>
        <w:rPr>
          <w:iCs/>
          <w:i/>
          <w:bCs/>
          <w:b/>
        </w:rPr>
        <w:t xml:space="preserve">&lt;</w:t>
      </w:r>
      <w:r>
        <w:rPr>
          <w:iCs/>
          <w:i/>
          <w:bCs/>
          <w:b/>
        </w:rPr>
        <w:t xml:space="preserve">State the method used to determine whether each sub-supplier CM process is effective and the actions taken when it is not — a required CMP planning factor. Address: the evidence accrued (data deliverable review results with defect codes; findings, escapes, and non-submittal events); the determination cadence and the triggers that force an off-cycle determination; the determination levels and the determining authority; and the graduated actions applied, from increased surveillance through corrective action, source inspection, and award restriction. State the required downstream actions on a determination of less than effective: re-assessment of configuration audit designation for that supplier’s items, reporting into the safety data stream where the evidence is safety-relevant, and revalidation of any documented equivalent control that depends on that supplier’s process.</w:t>
      </w:r>
      <w:r>
        <w:rPr>
          <w:iCs/>
          <w:i/>
          <w:bCs/>
          <w:b/>
        </w:rPr>
        <w:t xml:space="preserve">&gt;</w:t>
      </w:r>
    </w:p>
    <w:bookmarkEnd w:id="108"/>
    <w:bookmarkStart w:id="109" w:name="Xdd40b4731d3239568f328fe5028bad4263b7a8e"/>
    <w:p>
      <w:pPr>
        <w:pStyle w:val="Heading3"/>
      </w:pPr>
      <w:r>
        <w:t xml:space="preserve">3.2.3 Conditional Configuration Audit Obligations in Supplier Agreements</w:t>
      </w:r>
    </w:p>
    <w:p>
      <w:pPr>
        <w:pStyle w:val="FirstParagraph"/>
      </w:pPr>
      <w:r>
        <w:rPr>
          <w:iCs/>
          <w:i/>
          <w:bCs/>
          <w:b/>
        </w:rPr>
        <w:t xml:space="preserve">&lt;</w:t>
      </w:r>
      <w:r>
        <w:rPr>
          <w:iCs/>
          <w:i/>
          <w:bCs/>
          <w:b/>
        </w:rPr>
        <w:t xml:space="preserve">State that supplier statements of work for items where configuration audit designation is possible carry a standing conditional audit clause — obligations taking effect if and when the item is or becomes designated — with the audit data deliverables cited as triggered items, and that the supplier’s audit role (conduct, support, or data support) follows the classification of the work performed. Audit ceremony may be tailored at the supplier tier; audit substance may not.</w:t>
      </w:r>
      <w:r>
        <w:rPr>
          <w:iCs/>
          <w:i/>
          <w:bCs/>
          <w:b/>
        </w:rPr>
        <w:t xml:space="preserve">&gt;</w:t>
      </w:r>
    </w:p>
    <w:p>
      <w:pPr>
        <w:pStyle w:val="BodyText"/>
      </w:pPr>
      <w:r>
        <w:t xml:space="preserve">i.e. Because awarding to a new source is itself a designation trigger, the conditional clause is included at award rather than negotiated after designation occurs.</w:t>
      </w:r>
    </w:p>
    <w:bookmarkEnd w:id="109"/>
    <w:bookmarkEnd w:id="110"/>
    <w:bookmarkStart w:id="114" w:name="hardware-software"/>
    <w:p>
      <w:pPr>
        <w:pStyle w:val="Heading2"/>
      </w:pPr>
      <w:r>
        <w:rPr>
          <w:bCs/>
          <w:b/>
        </w:rPr>
        <w:t xml:space="preserve">3.3 Hardware – Software</w:t>
      </w:r>
    </w:p>
    <w:p>
      <w:pPr>
        <w:pStyle w:val="FirstParagraph"/>
      </w:pPr>
      <w:r>
        <w:rPr>
          <w:iCs/>
          <w:i/>
        </w:rPr>
        <w:t xml:space="preserve">&lt;</w:t>
      </w:r>
      <w:r>
        <w:rPr>
          <w:bCs/>
          <w:b/>
          <w:iCs/>
          <w:i/>
        </w:rPr>
        <w:t xml:space="preserve">Define the relationship between hardware and software requirements as it applies within your organization: where software is embedded in a hardware item, how the two are jointly identified and released, and how a change to one is assessed for impact on the other.</w:t>
      </w:r>
      <w:r>
        <w:rPr>
          <w:iCs/>
          <w:i/>
        </w:rPr>
        <w:t xml:space="preserve">&gt;</w:t>
      </w:r>
    </w:p>
    <w:bookmarkStart w:id="111" w:name="X068f82fd370481b8fe97f00947a1014acc8747a"/>
    <w:p>
      <w:pPr>
        <w:pStyle w:val="Heading3"/>
      </w:pPr>
      <w:r>
        <w:rPr>
          <w:bCs/>
          <w:b/>
        </w:rPr>
        <w:t xml:space="preserve">3.3.1 Software Configuration Items and Documentation</w:t>
      </w:r>
    </w:p>
    <w:p>
      <w:pPr>
        <w:pStyle w:val="FirstParagraph"/>
      </w:pPr>
      <w:r>
        <w:rPr>
          <w:iCs/>
          <w:i/>
        </w:rPr>
        <w:t xml:space="preserve">&lt;</w:t>
      </w:r>
      <w:r>
        <w:rPr>
          <w:bCs/>
          <w:b/>
          <w:iCs/>
          <w:i/>
        </w:rPr>
        <w:t xml:space="preserve">State how computer software is designated as Configuration Items, and the configuration documentation set maintained for each CSCI. Where the contract invokes them, identify which of the following apply: System/Subsystem Design Description, Software Requirements Specification, Interface Requirements Specification, Software Design Description, Interface Design Description, Database Design Description, Software Test Plan, Description and Report, Software Product Specification, Software Version Description, Software User Manual, and Firmware Support Manual.</w:t>
      </w:r>
      <w:r>
        <w:rPr>
          <w:iCs/>
          <w:i/>
        </w:rPr>
        <w:t xml:space="preserve">&gt;</w:t>
      </w:r>
    </w:p>
    <w:p>
      <w:pPr>
        <w:pStyle w:val="BodyText"/>
      </w:pPr>
      <w:r>
        <w:rPr>
          <w:iCs/>
          <w:i/>
        </w:rPr>
        <w:t xml:space="preserve">&lt;</w:t>
      </w:r>
      <w:r>
        <w:rPr>
          <w:bCs/>
          <w:b/>
          <w:iCs/>
          <w:i/>
        </w:rPr>
        <w:t xml:space="preserve">Identification, marking and labelling of software and software media are stated in 2.3.7.1; cross-reference rather than restate. This subsection covers the documentation set, the library, the build environment, and the developmental-to-baseline transition.</w:t>
      </w:r>
      <w:r>
        <w:rPr>
          <w:iCs/>
          <w:i/>
        </w:rPr>
        <w:t xml:space="preserve">&gt;</w:t>
      </w:r>
    </w:p>
    <w:bookmarkEnd w:id="111"/>
    <w:bookmarkStart w:id="112" w:name="Xfd80e69c96bdacabf39616a2f198307d0453a87"/>
    <w:p>
      <w:pPr>
        <w:pStyle w:val="Heading3"/>
      </w:pPr>
      <w:r>
        <w:rPr>
          <w:bCs/>
          <w:b/>
        </w:rPr>
        <w:t xml:space="preserve">3.3.2 Software Library and Build Environment Management</w:t>
      </w:r>
    </w:p>
    <w:p>
      <w:pPr>
        <w:pStyle w:val="FirstParagraph"/>
      </w:pPr>
      <w:r>
        <w:rPr>
          <w:iCs/>
          <w:i/>
        </w:rPr>
        <w:t xml:space="preserve">&lt;</w:t>
      </w:r>
      <w:r>
        <w:rPr>
          <w:bCs/>
          <w:b/>
          <w:iCs/>
          <w:i/>
        </w:rPr>
        <w:t xml:space="preserve">State how the software library is managed: what it holds, who controls entry and withdrawal, how versions are retained, and how the listing of all versions of developmental and non-developmental software in the library is produced for audit (see 2.6.5.1).</w:t>
      </w:r>
      <w:r>
        <w:rPr>
          <w:iCs/>
          <w:i/>
        </w:rPr>
        <w:t xml:space="preserve">&gt;</w:t>
      </w:r>
    </w:p>
    <w:p>
      <w:pPr>
        <w:pStyle w:val="BodyText"/>
      </w:pPr>
      <w:r>
        <w:rPr>
          <w:iCs/>
          <w:i/>
        </w:rPr>
        <w:t xml:space="preserve">&lt;</w:t>
      </w:r>
      <w:r>
        <w:rPr>
          <w:bCs/>
          <w:b/>
          <w:iCs/>
          <w:i/>
        </w:rPr>
        <w:t xml:space="preserve">State how version control is applied to source, executable and configuration data, and how a delivered build is reproducible from controlled inputs — the ability to rebuild a delivered version from the library at a later date, and how that ability is periodically demonstrated rather than assumed.</w:t>
      </w:r>
      <w:r>
        <w:rPr>
          <w:iCs/>
          <w:i/>
        </w:rPr>
        <w:t xml:space="preserve">&gt;</w:t>
      </w:r>
    </w:p>
    <w:p>
      <w:pPr>
        <w:pStyle w:val="BodyText"/>
      </w:pPr>
      <w:r>
        <w:rPr>
          <w:iCs/>
          <w:i/>
        </w:rPr>
        <w:t xml:space="preserve">&lt;</w:t>
      </w:r>
      <w:r>
        <w:rPr>
          <w:bCs/>
          <w:b/>
          <w:iCs/>
          <w:i/>
        </w:rPr>
        <w:t xml:space="preserve">State how the build environment is identified and controlled. EIA-649-1A 3.2(3)(a) requires system product-unique identifiers to be assigned to elements of the software development environment — COTS development products such as compilers, linkers, loaders, binary developmental libraries, configuration settings and automation scripts — conforming to the format specified in this CMP (see 2.3.7.1). State how a change to any of these elements is assessed and controlled, since a build environment change can alter a delivered product without any change to the source.</w:t>
      </w:r>
      <w:r>
        <w:rPr>
          <w:iCs/>
          <w:i/>
        </w:rPr>
        <w:t xml:space="preserve">&gt;</w:t>
      </w:r>
    </w:p>
    <w:p>
      <w:pPr>
        <w:pStyle w:val="BodyText"/>
      </w:pPr>
      <w:r>
        <w:rPr>
          <w:iCs/>
          <w:i/>
        </w:rPr>
        <w:t xml:space="preserve">&lt;</w:t>
      </w:r>
      <w:r>
        <w:rPr>
          <w:bCs/>
          <w:b/>
          <w:iCs/>
          <w:i/>
        </w:rPr>
        <w:t xml:space="preserve">State how records reflecting changes made to the developmental configuration are maintained (see 2.6.5.1), and how internal CM and software quality assurance audits of CSCIs are conducted and their findings recorded.</w:t>
      </w:r>
      <w:r>
        <w:rPr>
          <w:iCs/>
          <w:i/>
        </w:rPr>
        <w:t xml:space="preserve">&gt;</w:t>
      </w:r>
    </w:p>
    <w:bookmarkEnd w:id="112"/>
    <w:bookmarkStart w:id="113" w:name="Xfc6c79019aca8219d60509f038430bd174a3351"/>
    <w:p>
      <w:pPr>
        <w:pStyle w:val="Heading3"/>
      </w:pPr>
      <w:r>
        <w:rPr>
          <w:bCs/>
          <w:b/>
        </w:rPr>
        <w:t xml:space="preserve">3.3.3 Developmental Configuration and Transition to Baseline</w:t>
      </w:r>
    </w:p>
    <w:p>
      <w:pPr>
        <w:pStyle w:val="FirstParagraph"/>
      </w:pPr>
      <w:r>
        <w:rPr>
          <w:iCs/>
          <w:i/>
        </w:rPr>
        <w:t xml:space="preserve">&lt;</w:t>
      </w:r>
      <w:r>
        <w:rPr>
          <w:bCs/>
          <w:b/>
          <w:iCs/>
          <w:i/>
        </w:rPr>
        <w:t xml:space="preserve">State the point at which software transfers from the developmental configuration to the product baseline configuration and becomes subject to configuration control procedures. Before that point the developmental configuration is Supplier-controlled; state what control is applied to it, since</w:t>
      </w:r>
      <w:r>
        <w:rPr>
          <w:bCs/>
          <w:b/>
          <w:iCs/>
          <w:i/>
        </w:rPr>
        <w:t xml:space="preserve"> </w:t>
      </w:r>
      <w:r>
        <w:rPr>
          <w:bCs/>
          <w:b/>
          <w:iCs/>
          <w:i/>
        </w:rPr>
        <w:t xml:space="preserve">“</w:t>
      </w:r>
      <w:r>
        <w:rPr>
          <w:bCs/>
          <w:b/>
          <w:iCs/>
          <w:i/>
        </w:rPr>
        <w:t xml:space="preserve">not yet baselined</w:t>
      </w:r>
      <w:r>
        <w:rPr>
          <w:bCs/>
          <w:b/>
          <w:iCs/>
          <w:i/>
        </w:rPr>
        <w:t xml:space="preserve">”</w:t>
      </w:r>
      <w:r>
        <w:rPr>
          <w:bCs/>
          <w:b/>
          <w:iCs/>
          <w:i/>
        </w:rPr>
        <w:t xml:space="preserve"> </w:t>
      </w:r>
      <w:r>
        <w:rPr>
          <w:bCs/>
          <w:b/>
          <w:iCs/>
          <w:i/>
        </w:rPr>
        <w:t xml:space="preserve">is not the same as</w:t>
      </w:r>
      <w:r>
        <w:rPr>
          <w:bCs/>
          <w:b/>
          <w:iCs/>
          <w:i/>
        </w:rPr>
        <w:t xml:space="preserve"> </w:t>
      </w:r>
      <w:r>
        <w:rPr>
          <w:bCs/>
          <w:b/>
          <w:iCs/>
          <w:i/>
        </w:rPr>
        <w:t xml:space="preserve">“</w:t>
      </w:r>
      <w:r>
        <w:rPr>
          <w:bCs/>
          <w:b/>
          <w:iCs/>
          <w:i/>
        </w:rPr>
        <w:t xml:space="preserve">not controlled</w:t>
      </w:r>
      <w:r>
        <w:rPr>
          <w:bCs/>
          <w:b/>
          <w:iCs/>
          <w:i/>
        </w:rPr>
        <w:t xml:space="preserve">”</w:t>
      </w:r>
      <w:r>
        <w:rPr>
          <w:bCs/>
          <w:b/>
          <w:iCs/>
          <w:i/>
        </w:rPr>
        <w:t xml:space="preserve">.</w:t>
      </w:r>
      <w:r>
        <w:rPr>
          <w:iCs/>
          <w:i/>
        </w:rPr>
        <w:t xml:space="preserve">&gt;</w:t>
      </w:r>
    </w:p>
    <w:p>
      <w:pPr>
        <w:pStyle w:val="BodyText"/>
      </w:pPr>
      <w:r>
        <w:rPr>
          <w:iCs/>
          <w:i/>
        </w:rPr>
        <w:t xml:space="preserve">&lt;</w:t>
      </w:r>
      <w:r>
        <w:rPr>
          <w:bCs/>
          <w:b/>
          <w:iCs/>
          <w:i/>
        </w:rPr>
        <w:t xml:space="preserve">State how the Software Version Description is prepared, what it records for each delivered version, and how it is used at PCA to verify the build (see 2.6.6).</w:t>
      </w:r>
      <w:r>
        <w:rPr>
          <w:iCs/>
          <w:i/>
        </w:rPr>
        <w:t xml:space="preserve">&gt;</w:t>
      </w:r>
    </w:p>
    <w:p>
      <w:pPr>
        <w:pStyle w:val="BodyText"/>
      </w:pPr>
      <w:r>
        <w:rPr>
          <w:iCs/>
          <w:i/>
        </w:rPr>
        <w:t xml:space="preserve">&lt;</w:t>
      </w:r>
      <w:r>
        <w:rPr>
          <w:bCs/>
          <w:b/>
          <w:iCs/>
          <w:i/>
        </w:rPr>
        <w:t xml:space="preserve">State how COTS and non-developmental software incorporated into the product is identified, version-controlled, and assessed when the supplier issues a new version; and how the Acquirer is notified via ECP where a COTS change may affect interface or interoperability characteristics (see 2.4.4).</w:t>
      </w:r>
      <w:r>
        <w:rPr>
          <w:iCs/>
          <w:i/>
        </w:rPr>
        <w:t xml:space="preserve">&gt;</w:t>
      </w:r>
    </w:p>
    <w:bookmarkEnd w:id="113"/>
    <w:bookmarkEnd w:id="114"/>
    <w:bookmarkStart w:id="115" w:name="acquisition-operational"/>
    <w:p>
      <w:pPr>
        <w:pStyle w:val="Heading2"/>
      </w:pPr>
      <w:r>
        <w:rPr>
          <w:bCs/>
          <w:b/>
        </w:rPr>
        <w:t xml:space="preserve">3.4 Acquisition – Operational</w:t>
      </w:r>
    </w:p>
    <w:p>
      <w:pPr>
        <w:pStyle w:val="FirstParagraph"/>
      </w:pPr>
      <w:r>
        <w:rPr>
          <w:iCs/>
          <w:i/>
        </w:rPr>
        <w:t xml:space="preserve">&lt;</w:t>
      </w:r>
      <w:r>
        <w:rPr>
          <w:bCs/>
          <w:b/>
          <w:iCs/>
          <w:i/>
        </w:rPr>
        <w:t xml:space="preserve">Define the relationship between acquisition and operational CM as it relates to your system and to your life cycle role</w:t>
      </w:r>
      <w:r>
        <w:rPr>
          <w:iCs/>
          <w:i/>
        </w:rPr>
        <w:t xml:space="preserve">&gt;</w:t>
      </w:r>
    </w:p>
    <w:bookmarkEnd w:id="115"/>
    <w:bookmarkStart w:id="116" w:name="data-document"/>
    <w:p>
      <w:pPr>
        <w:pStyle w:val="Heading2"/>
      </w:pPr>
      <w:r>
        <w:rPr>
          <w:bCs/>
          <w:b/>
        </w:rPr>
        <w:t xml:space="preserve">3.5 Data – Document</w:t>
      </w:r>
    </w:p>
    <w:p>
      <w:pPr>
        <w:pStyle w:val="FirstParagraph"/>
      </w:pPr>
      <w:r>
        <w:rPr>
          <w:iCs/>
          <w:i/>
        </w:rPr>
        <w:t xml:space="preserve">&lt;</w:t>
      </w:r>
      <w:r>
        <w:rPr>
          <w:bCs/>
          <w:b/>
          <w:iCs/>
          <w:i/>
        </w:rPr>
        <w:t xml:space="preserve">Define the relationship between data and document management as it applies within your organization</w:t>
      </w:r>
      <w:r>
        <w:rPr>
          <w:iCs/>
          <w:i/>
        </w:rPr>
        <w:t xml:space="preserve">&gt;</w:t>
      </w:r>
    </w:p>
    <w:bookmarkEnd w:id="116"/>
    <w:bookmarkStart w:id="117" w:name="X635891da351d79c7987810bf5ed443c4849184d"/>
    <w:p>
      <w:pPr>
        <w:pStyle w:val="Heading2"/>
      </w:pPr>
      <w:r>
        <w:rPr>
          <w:bCs/>
          <w:b/>
        </w:rPr>
        <w:t xml:space="preserve">3.6 System of Systems (SOS) – Family of Systems (FOS)</w:t>
      </w:r>
    </w:p>
    <w:p>
      <w:pPr>
        <w:pStyle w:val="FirstParagraph"/>
      </w:pPr>
      <w:r>
        <w:rPr>
          <w:iCs/>
          <w:i/>
        </w:rPr>
        <w:t xml:space="preserve">&lt;</w:t>
      </w:r>
      <w:r>
        <w:rPr>
          <w:bCs/>
          <w:b/>
          <w:iCs/>
          <w:i/>
        </w:rPr>
        <w:t xml:space="preserve">Define the relationship of SOS and FOS as it applies within your organization, including joint CCB and interface working group participation (F38)</w:t>
      </w:r>
      <w:r>
        <w:rPr>
          <w:iCs/>
          <w:i/>
        </w:rPr>
        <w:t xml:space="preserve">&gt;</w:t>
      </w:r>
    </w:p>
    <w:bookmarkEnd w:id="117"/>
    <w:bookmarkStart w:id="121" w:name="X8bcba5d3398cfbb0807a2c206e253d9c0a72edd"/>
    <w:p>
      <w:pPr>
        <w:pStyle w:val="Heading2"/>
      </w:pPr>
      <w:r>
        <w:rPr>
          <w:bCs/>
          <w:b/>
        </w:rPr>
        <w:t xml:space="preserve">3.7 Configuration Management – Safety Management System</w:t>
      </w:r>
    </w:p>
    <w:p>
      <w:pPr>
        <w:pStyle w:val="FirstParagraph"/>
      </w:pPr>
      <w:r>
        <w:rPr>
          <w:iCs/>
          <w:i/>
        </w:rPr>
        <w:t xml:space="preserve">&lt;</w:t>
      </w:r>
      <w:r>
        <w:rPr>
          <w:bCs/>
          <w:b/>
          <w:iCs/>
          <w:i/>
        </w:rPr>
        <w:t xml:space="preserve">Define the interface between the CM process and the organization’s Safety Management System. The requirements identified in Section 7 control identified hazards (see 1.4); this subsection states how information flows between the two processes in operation.</w:t>
      </w:r>
      <w:r>
        <w:rPr>
          <w:iCs/>
          <w:i/>
        </w:rPr>
        <w:t xml:space="preserve">&gt;</w:t>
      </w:r>
    </w:p>
    <w:bookmarkStart w:id="118" w:name="Xbf1b16a635da2e0521cc596384f3c17298b4b0f"/>
    <w:p>
      <w:pPr>
        <w:pStyle w:val="Heading3"/>
      </w:pPr>
      <w:r>
        <w:rPr>
          <w:bCs/>
          <w:b/>
        </w:rPr>
        <w:t xml:space="preserve">3.7.1 Information Provided to the Safety Management System</w:t>
      </w:r>
    </w:p>
    <w:p>
      <w:pPr>
        <w:pStyle w:val="FirstParagraph"/>
      </w:pPr>
      <w:r>
        <w:rPr>
          <w:iCs/>
          <w:i/>
        </w:rPr>
        <w:t xml:space="preserve">&lt;</w:t>
      </w:r>
      <w:r>
        <w:rPr>
          <w:bCs/>
          <w:b/>
          <w:iCs/>
          <w:i/>
        </w:rPr>
        <w:t xml:space="preserve">State what CM and quality information is provided into the safety data stream, by whom, and on what cadence. At minimum consider:</w:t>
      </w:r>
      <w:r>
        <w:rPr>
          <w:iCs/>
          <w:i/>
        </w:rPr>
        <w:t xml:space="preserve">&gt;</w:t>
      </w:r>
    </w:p>
    <w:p>
      <w:pPr>
        <w:numPr>
          <w:ilvl w:val="0"/>
          <w:numId w:val="1007"/>
        </w:numPr>
        <w:pStyle w:val="Compact"/>
      </w:pPr>
      <w:r>
        <w:rPr>
          <w:iCs/>
          <w:i/>
        </w:rPr>
        <w:t xml:space="preserve">&lt;</w:t>
      </w:r>
      <w:r>
        <w:rPr>
          <w:bCs/>
          <w:b/>
          <w:iCs/>
          <w:i/>
        </w:rPr>
        <w:t xml:space="preserve">Variances classified as Critical — departures affecting safety, human health, environment or security.</w:t>
      </w:r>
      <w:r>
        <w:rPr>
          <w:iCs/>
          <w:i/>
        </w:rPr>
        <w:t xml:space="preserve">&gt;</w:t>
      </w:r>
    </w:p>
    <w:p>
      <w:pPr>
        <w:numPr>
          <w:ilvl w:val="0"/>
          <w:numId w:val="1007"/>
        </w:numPr>
        <w:pStyle w:val="Compact"/>
      </w:pPr>
      <w:r>
        <w:rPr>
          <w:iCs/>
          <w:i/>
        </w:rPr>
        <w:t xml:space="preserve">&lt;</w:t>
      </w:r>
      <w:r>
        <w:rPr>
          <w:bCs/>
          <w:b/>
          <w:iCs/>
          <w:i/>
        </w:rPr>
        <w:t xml:space="preserve">Quality escapes — nonconforming items delivered or accepted under use-as-is, nonconformances that escaped detection, and defects discovered in service.</w:t>
      </w:r>
      <w:r>
        <w:rPr>
          <w:iCs/>
          <w:i/>
        </w:rPr>
        <w:t xml:space="preserve">&gt;</w:t>
      </w:r>
    </w:p>
    <w:p>
      <w:pPr>
        <w:numPr>
          <w:ilvl w:val="0"/>
          <w:numId w:val="1007"/>
        </w:numPr>
        <w:pStyle w:val="Compact"/>
      </w:pPr>
      <w:r>
        <w:rPr>
          <w:iCs/>
          <w:i/>
        </w:rPr>
        <w:t xml:space="preserve">&lt;</w:t>
      </w:r>
      <w:r>
        <w:rPr>
          <w:bCs/>
          <w:b/>
          <w:iCs/>
          <w:i/>
        </w:rPr>
        <w:t xml:space="preserve">Safety-relevant nonconformances that were reworked to compliance and therefore raised no variance.</w:t>
      </w:r>
      <w:r>
        <w:rPr>
          <w:iCs/>
          <w:i/>
        </w:rPr>
        <w:t xml:space="preserve">&gt;</w:t>
      </w:r>
    </w:p>
    <w:p>
      <w:pPr>
        <w:numPr>
          <w:ilvl w:val="0"/>
          <w:numId w:val="1007"/>
        </w:numPr>
        <w:pStyle w:val="Compact"/>
      </w:pPr>
      <w:r>
        <w:rPr>
          <w:iCs/>
          <w:i/>
        </w:rPr>
        <w:t xml:space="preserve">&lt;</w:t>
      </w:r>
      <w:r>
        <w:rPr>
          <w:bCs/>
          <w:b/>
          <w:iCs/>
          <w:i/>
        </w:rPr>
        <w:t xml:space="preserve">Recurring nonconformances and recurring variances on the same item, whether or not any individual instance was safety-classified.</w:t>
      </w:r>
      <w:r>
        <w:rPr>
          <w:iCs/>
          <w:i/>
        </w:rPr>
        <w:t xml:space="preserve">&gt;</w:t>
      </w:r>
    </w:p>
    <w:p>
      <w:pPr>
        <w:numPr>
          <w:ilvl w:val="0"/>
          <w:numId w:val="1007"/>
        </w:numPr>
        <w:pStyle w:val="Compact"/>
      </w:pPr>
      <w:r>
        <w:rPr>
          <w:iCs/>
          <w:i/>
        </w:rPr>
        <w:t xml:space="preserve">&lt;</w:t>
      </w:r>
      <w:r>
        <w:rPr>
          <w:bCs/>
          <w:b/>
          <w:iCs/>
          <w:i/>
        </w:rPr>
        <w:t xml:space="preserve">Sub-supplier CM effectiveness determinations of less than effective where the evidence is safety-relevant (see 3.2.2).</w:t>
      </w:r>
      <w:r>
        <w:rPr>
          <w:iCs/>
          <w:i/>
        </w:rPr>
        <w:t xml:space="preserve">&gt;</w:t>
      </w:r>
    </w:p>
    <w:bookmarkEnd w:id="118"/>
    <w:bookmarkStart w:id="119" w:name="boundaries-of-the-interface"/>
    <w:p>
      <w:pPr>
        <w:pStyle w:val="Heading3"/>
      </w:pPr>
      <w:r>
        <w:rPr>
          <w:bCs/>
          <w:b/>
        </w:rPr>
        <w:t xml:space="preserve">3.7.2 Boundaries of the Interface</w:t>
      </w:r>
    </w:p>
    <w:p>
      <w:pPr>
        <w:pStyle w:val="FirstParagraph"/>
      </w:pPr>
      <w:r>
        <w:rPr>
          <w:iCs/>
          <w:i/>
        </w:rPr>
        <w:t xml:space="preserve">&lt;</w:t>
      </w:r>
      <w:r>
        <w:rPr>
          <w:bCs/>
          <w:b/>
          <w:iCs/>
          <w:i/>
        </w:rPr>
        <w:t xml:space="preserve">State the boundaries so the interface is not read as a change of authority:</w:t>
      </w:r>
      <w:r>
        <w:rPr>
          <w:iCs/>
          <w:i/>
        </w:rPr>
        <w:t xml:space="preserve">&gt;</w:t>
      </w:r>
    </w:p>
    <w:p>
      <w:pPr>
        <w:numPr>
          <w:ilvl w:val="0"/>
          <w:numId w:val="1008"/>
        </w:numPr>
        <w:pStyle w:val="Compact"/>
      </w:pPr>
      <w:r>
        <w:rPr>
          <w:iCs/>
          <w:i/>
        </w:rPr>
        <w:t xml:space="preserve">&lt;</w:t>
      </w:r>
      <w:r>
        <w:rPr>
          <w:bCs/>
          <w:b/>
          <w:iCs/>
          <w:i/>
        </w:rPr>
        <w:t xml:space="preserve">The feed is parallel, not gated. An item reworked to compliance may still be safety-relevant; a variance classified Minor is not automatically safety-relevant. Safety relevance is a separate determination.</w:t>
      </w:r>
      <w:r>
        <w:rPr>
          <w:iCs/>
          <w:i/>
        </w:rPr>
        <w:t xml:space="preserve">&gt;</w:t>
      </w:r>
    </w:p>
    <w:p>
      <w:pPr>
        <w:numPr>
          <w:ilvl w:val="0"/>
          <w:numId w:val="1008"/>
        </w:numPr>
        <w:pStyle w:val="Compact"/>
      </w:pPr>
      <w:r>
        <w:rPr>
          <w:iCs/>
          <w:i/>
        </w:rPr>
        <w:t xml:space="preserve">&lt;</w:t>
      </w:r>
      <w:r>
        <w:rPr>
          <w:bCs/>
          <w:b/>
          <w:iCs/>
          <w:i/>
        </w:rPr>
        <w:t xml:space="preserve">Safety screening does not alter variance or change classification criteria, disposition authority, or the division of responsibility between CM and the Material Review Board (see 4.3).</w:t>
      </w:r>
      <w:r>
        <w:rPr>
          <w:iCs/>
          <w:i/>
        </w:rPr>
        <w:t xml:space="preserve">&gt;</w:t>
      </w:r>
    </w:p>
    <w:p>
      <w:pPr>
        <w:numPr>
          <w:ilvl w:val="0"/>
          <w:numId w:val="1008"/>
        </w:numPr>
        <w:pStyle w:val="Compact"/>
      </w:pPr>
      <w:r>
        <w:rPr>
          <w:iCs/>
          <w:i/>
        </w:rPr>
        <w:t xml:space="preserve">&lt;</w:t>
      </w:r>
      <w:r>
        <w:rPr>
          <w:bCs/>
          <w:b/>
          <w:iCs/>
          <w:i/>
        </w:rPr>
        <w:t xml:space="preserve">Not every nonconformance is a hazard, and the interface is not a mechanism for routing routine quality records into the safety process.</w:t>
      </w:r>
      <w:r>
        <w:rPr>
          <w:iCs/>
          <w:i/>
        </w:rPr>
        <w:t xml:space="preserve">&gt;</w:t>
      </w:r>
    </w:p>
    <w:bookmarkEnd w:id="119"/>
    <w:bookmarkStart w:id="120" w:name="Xf118f9368fba77b7639ad2e05a9162f0c558f72"/>
    <w:p>
      <w:pPr>
        <w:pStyle w:val="Heading3"/>
      </w:pPr>
      <w:r>
        <w:rPr>
          <w:bCs/>
          <w:b/>
        </w:rPr>
        <w:t xml:space="preserve">3.7.3 Information Received from the Safety Management System</w:t>
      </w:r>
    </w:p>
    <w:p>
      <w:pPr>
        <w:pStyle w:val="FirstParagraph"/>
      </w:pPr>
      <w:r>
        <w:rPr>
          <w:iCs/>
          <w:i/>
        </w:rPr>
        <w:t xml:space="preserve">&lt;</w:t>
      </w:r>
      <w:r>
        <w:rPr>
          <w:bCs/>
          <w:b/>
          <w:iCs/>
          <w:i/>
        </w:rPr>
        <w:t xml:space="preserve">State what the CM process receives: hazard analyses and safety-critical item identifications used as inputs to CI candidate screening (see 2.3.5), and notification where a hazard analysis change affects an item already under configuration control. State who is notified and what action follows.</w:t>
      </w:r>
      <w:r>
        <w:rPr>
          <w:iCs/>
          <w:i/>
        </w:rPr>
        <w:t xml:space="preserve">&gt;</w:t>
      </w:r>
    </w:p>
    <w:p>
      <w:pPr>
        <w:pStyle w:val="BodyText"/>
      </w:pPr>
      <w:r>
        <w:rPr>
          <w:iCs/>
          <w:i/>
        </w:rPr>
        <w:t xml:space="preserve">&lt;</w:t>
      </w:r>
      <w:r>
        <w:rPr>
          <w:bCs/>
          <w:b/>
          <w:iCs/>
          <w:i/>
        </w:rPr>
        <w:t xml:space="preserve">State how safety-critical changes receive System Safety review within the change management process — which changes trigger the review, at what point in the change workflow it occurs, who performs it, and how the outcome is recorded (see 2.4.5).</w:t>
      </w:r>
      <w:r>
        <w:rPr>
          <w:iCs/>
          <w:i/>
        </w:rPr>
        <w:t xml:space="preserve">&gt;</w:t>
      </w:r>
    </w:p>
    <w:bookmarkEnd w:id="120"/>
    <w:bookmarkEnd w:id="121"/>
    <w:bookmarkEnd w:id="122"/>
    <w:bookmarkStart w:id="129" w:name="organizational-roles-responsibilities"/>
    <w:p>
      <w:pPr>
        <w:pStyle w:val="Heading1"/>
      </w:pPr>
      <w:r>
        <w:rPr>
          <w:bCs/>
          <w:b/>
        </w:rPr>
        <w:t xml:space="preserve">4.0 Organizational Roles &amp;</w:t>
      </w:r>
      <w:r>
        <w:t xml:space="preserve">** Responsibilities**</w:t>
      </w:r>
    </w:p>
    <w:p>
      <w:pPr>
        <w:pStyle w:val="FirstParagraph"/>
      </w:pPr>
      <w:r>
        <w:rPr>
          <w:iCs/>
          <w:i/>
        </w:rPr>
        <w:t xml:space="preserve">&lt;</w:t>
      </w:r>
      <w:r>
        <w:rPr>
          <w:bCs/>
          <w:b/>
          <w:iCs/>
          <w:i/>
        </w:rPr>
        <w:t xml:space="preserve">Insert Organizational Chart here — Figure 4-1 Configuration Management Roles Alignment</w:t>
      </w:r>
      <w:r>
        <w:rPr>
          <w:iCs/>
          <w:i/>
        </w:rPr>
        <w:t xml:space="preserve">&gt;</w:t>
      </w:r>
    </w:p>
    <w:bookmarkStart w:id="123" w:name="process-participants"/>
    <w:p>
      <w:pPr>
        <w:pStyle w:val="Heading2"/>
      </w:pPr>
      <w:r>
        <w:rPr>
          <w:bCs/>
          <w:b/>
        </w:rPr>
        <w:t xml:space="preserve">4.1 Process Participants</w:t>
      </w:r>
    </w:p>
    <w:p>
      <w:pPr>
        <w:pStyle w:val="FirstParagraph"/>
      </w:pPr>
      <w:r>
        <w:t xml:space="preserve">Participants execute the documented CM process steps. Assign ownership of each safety barrier requirement (Section 7) to a participant role.</w:t>
      </w:r>
    </w:p>
    <w:p>
      <w:pPr>
        <w:pStyle w:val="BodyText"/>
      </w:pPr>
      <w:r>
        <w:rPr>
          <w:iCs/>
          <w:i/>
        </w:rPr>
        <w:t xml:space="preserve">&lt;</w:t>
      </w:r>
      <w:r>
        <w:rPr>
          <w:bCs/>
          <w:b/>
          <w:iCs/>
          <w:i/>
        </w:rPr>
        <w:t xml:space="preserve">Modify Table 4-1 roles and define responsibilities as they relate to CM activities within your organization. State responsibility, authority and accountability for each role — responsibility alone is not sufficient. Authority means what the role may decide or approve without further reference, and its limits; accountability means who answers for the outcome. Identify roles by position, not by individual name.</w:t>
      </w:r>
      <w:r>
        <w:rPr>
          <w:iCs/>
          <w:i/>
        </w:rPr>
        <w:t xml:space="preserve">&gt;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Participant Role</w:t>
            </w:r>
          </w:p>
        </w:tc>
        <w:tc>
          <w:tcPr/>
          <w:p>
            <w:pPr>
              <w:pStyle w:val="Compact"/>
              <w:jc w:val="left"/>
            </w:pPr>
            <w:r>
              <w:rPr>
                <w:bCs/>
                <w:b/>
              </w:rPr>
              <w:t xml:space="preserve">Participant Responsibility</w:t>
            </w:r>
          </w:p>
        </w:tc>
        <w:tc>
          <w:tcPr/>
          <w:p>
            <w:pPr>
              <w:pStyle w:val="Compact"/>
              <w:jc w:val="left"/>
            </w:pPr>
            <w:r>
              <w:rPr>
                <w:bCs/>
                <w:b/>
              </w:rPr>
              <w:t xml:space="preserve">Authority (what this role may decide or approve, and its limits)</w:t>
            </w:r>
          </w:p>
        </w:tc>
        <w:tc>
          <w:tcPr/>
          <w:p>
            <w:pPr>
              <w:pStyle w:val="Compact"/>
              <w:jc w:val="left"/>
            </w:pPr>
            <w:r>
              <w:rPr>
                <w:bCs/>
                <w:b/>
              </w:rPr>
              <w:t xml:space="preserve">Accountable to</w:t>
            </w:r>
          </w:p>
        </w:tc>
      </w:tr>
      <w:tr>
        <w:tc>
          <w:tcPr/>
          <w:p>
            <w:pPr>
              <w:pStyle w:val="Compact"/>
              <w:jc w:val="left"/>
            </w:pPr>
            <w:r>
              <w:rPr>
                <w:iCs/>
                <w:i/>
              </w:rPr>
              <w:t xml:space="preserve">&lt;</w:t>
            </w:r>
            <w:r>
              <w:rPr>
                <w:bCs/>
                <w:b/>
                <w:iCs/>
                <w:i/>
              </w:rPr>
              <w:t xml:space="preserve">Role title</w:t>
            </w:r>
            <w:r>
              <w:rPr>
                <w:iCs/>
                <w:i/>
              </w:rPr>
              <w:t xml:space="preserve">&gt;</w:t>
            </w:r>
            <w:r>
              <w:t xml:space="preserve"> </w:t>
            </w:r>
            <w:r>
              <w:t xml:space="preserve">i.e. Configuration Manager (CMGR)</w:t>
            </w:r>
          </w:p>
        </w:tc>
        <w:tc>
          <w:tcPr/>
          <w:p>
            <w:pPr>
              <w:pStyle w:val="Compact"/>
              <w:jc w:val="left"/>
            </w:pPr>
            <w:r>
              <w:rPr>
                <w:iCs/>
                <w:i/>
              </w:rPr>
              <w:t xml:space="preserve">&lt;</w:t>
            </w:r>
            <w:r>
              <w:rPr>
                <w:bCs/>
                <w:b/>
                <w:iCs/>
                <w:i/>
              </w:rPr>
              <w:t xml:space="preserve">List CM responsibilities for this role, including any safety barrier requirements (Section 7) this role owns or executes</w:t>
            </w:r>
            <w:r>
              <w:rPr>
                <w:iCs/>
                <w:i/>
              </w:rPr>
              <w:t xml:space="preserve">&gt;</w:t>
            </w:r>
          </w:p>
        </w:tc>
        <w:tc>
          <w:tcPr/>
          <w:p>
            <w:pPr>
              <w:pStyle w:val="Compact"/>
              <w:jc w:val="left"/>
            </w:pPr>
            <w:r>
              <w:rPr>
                <w:iCs/>
                <w:i/>
              </w:rPr>
              <w:t xml:space="preserve">&lt;</w:t>
            </w:r>
            <w:r>
              <w:rPr>
                <w:bCs/>
                <w:b/>
                <w:iCs/>
                <w:i/>
              </w:rPr>
              <w:t xml:space="preserve">e.g. approves Minor (Class II) classification up to</w:t>
            </w:r>
            <w:r>
              <w:rPr>
                <w:bCs/>
                <w:b/>
                <w:iCs/>
                <w:i/>
              </w:rPr>
              <w:t xml:space="preserve"> </w:t>
            </w:r>
            <w:r>
              <w:rPr>
                <w:bCs/>
                <w:b/>
                <w:iCs/>
                <w:i/>
              </w:rPr>
              <w:t xml:space="preserve">; withholds configuration release where records are incomplete (2.3.8); no authority to classify variances or disposition nonconforming material (4.3)</w:t>
            </w:r>
            <w:r>
              <w:rPr>
                <w:iCs/>
                <w:i/>
              </w:rPr>
              <w:t xml:space="preserve">&gt;</w:t>
            </w:r>
          </w:p>
        </w:tc>
        <w:tc>
          <w:tcPr/>
          <w:p>
            <w:pPr>
              <w:pStyle w:val="Compact"/>
              <w:jc w:val="left"/>
            </w:pPr>
            <w:r>
              <w:rPr>
                <w:iCs/>
                <w:i/>
              </w:rPr>
              <w:t xml:space="preserve">&lt;</w:t>
            </w:r>
            <w:r>
              <w:rPr>
                <w:bCs/>
                <w:b/>
                <w:iCs/>
                <w:i/>
              </w:rPr>
              <w:t xml:space="preserve">role</w:t>
            </w:r>
            <w:r>
              <w:rPr>
                <w:iCs/>
                <w:i/>
              </w:rPr>
              <w:t xml:space="preserve">&gt;</w:t>
            </w:r>
          </w:p>
        </w:tc>
      </w:tr>
    </w:tbl>
    <w:p>
      <w:pPr>
        <w:pStyle w:val="BodyText"/>
      </w:pPr>
      <w:r>
        <w:rPr>
          <w:iCs/>
          <w:i/>
        </w:rPr>
        <w:t xml:space="preserve">&lt;</w:t>
      </w:r>
      <w:r>
        <w:rPr>
          <w:bCs/>
          <w:b/>
          <w:iCs/>
          <w:i/>
        </w:rPr>
        <w:t xml:space="preserve">Where a role’s authority is delegated, state the delegating authority and whether the delegation is standing or case-by-case. Where two roles must both act, state whether the second is concurrence or approval.</w:t>
      </w:r>
      <w:r>
        <w:rPr>
          <w:iCs/>
          <w:i/>
        </w:rPr>
        <w:t xml:space="preserve">&gt;</w:t>
      </w:r>
    </w:p>
    <w:bookmarkEnd w:id="123"/>
    <w:bookmarkStart w:id="124" w:name="process-stakeholders"/>
    <w:p>
      <w:pPr>
        <w:pStyle w:val="Heading2"/>
      </w:pPr>
      <w:r>
        <w:rPr>
          <w:bCs/>
          <w:b/>
        </w:rPr>
        <w:t xml:space="preserve">4.2 Process Stakeholders</w:t>
      </w:r>
    </w:p>
    <w:p>
      <w:pPr>
        <w:pStyle w:val="FirstParagraph"/>
      </w:pPr>
      <w:r>
        <w:t xml:space="preserve">Stakeholders have roles and responsibilities related to the documented CM process but do not execute the process steps.</w:t>
      </w:r>
    </w:p>
    <w:p>
      <w:pPr>
        <w:pStyle w:val="BodyText"/>
      </w:pPr>
      <w:r>
        <w:rPr>
          <w:iCs/>
          <w:i/>
        </w:rPr>
        <w:t xml:space="preserve">&lt;</w:t>
      </w:r>
      <w:r>
        <w:rPr>
          <w:bCs/>
          <w:b/>
          <w:iCs/>
          <w:i/>
        </w:rPr>
        <w:t xml:space="preserve">Modify Table 4-2 as applicable for your organization. Include at minimum the roles below where they exist on this program.</w:t>
      </w:r>
      <w:r>
        <w:rPr>
          <w:iCs/>
          <w:i/>
        </w:rPr>
        <w:t xml:space="preserve">&gt;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Stakeholder Role</w:t>
            </w:r>
          </w:p>
        </w:tc>
        <w:tc>
          <w:tcPr/>
          <w:p>
            <w:pPr>
              <w:pStyle w:val="Compact"/>
              <w:jc w:val="left"/>
            </w:pPr>
            <w:r>
              <w:rPr>
                <w:bCs/>
                <w:b/>
              </w:rPr>
              <w:t xml:space="preserve">Stakeholder Responsibility</w:t>
            </w:r>
          </w:p>
        </w:tc>
        <w:tc>
          <w:tcPr/>
          <w:p>
            <w:pPr>
              <w:pStyle w:val="Compact"/>
              <w:jc w:val="left"/>
            </w:pPr>
            <w:r>
              <w:rPr>
                <w:bCs/>
                <w:b/>
              </w:rPr>
              <w:t xml:space="preserve">Authority</w:t>
            </w:r>
          </w:p>
        </w:tc>
      </w:tr>
      <w:tr>
        <w:tc>
          <w:tcPr/>
          <w:p>
            <w:pPr>
              <w:pStyle w:val="Compact"/>
              <w:jc w:val="left"/>
            </w:pPr>
            <w:r>
              <w:rPr>
                <w:iCs/>
                <w:i/>
              </w:rPr>
              <w:t xml:space="preserve">&lt;</w:t>
            </w:r>
            <w:r>
              <w:rPr>
                <w:bCs/>
                <w:b/>
                <w:iCs/>
                <w:i/>
              </w:rPr>
              <w:t xml:space="preserve">Role title</w:t>
            </w:r>
            <w:r>
              <w:rPr>
                <w:iCs/>
                <w:i/>
              </w:rPr>
              <w:t xml:space="preserve">&gt;</w:t>
            </w:r>
            <w:r>
              <w:t xml:space="preserve"> </w:t>
            </w:r>
            <w:r>
              <w:t xml:space="preserve">i.e. CM Technical Process Owner (CM TPO)</w:t>
            </w:r>
          </w:p>
        </w:tc>
        <w:tc>
          <w:tcPr/>
          <w:p>
            <w:pPr>
              <w:pStyle w:val="Compact"/>
              <w:jc w:val="left"/>
            </w:pPr>
            <w:r>
              <w:rPr>
                <w:iCs/>
                <w:i/>
              </w:rPr>
              <w:t xml:space="preserve">&lt;</w:t>
            </w:r>
            <w:r>
              <w:rPr>
                <w:bCs/>
                <w:b/>
                <w:iCs/>
                <w:i/>
              </w:rPr>
              <w:t xml:space="preserve">List CM responsibilities for this role, including any safety barrier requirements (Section 7) this role owns or executes</w:t>
            </w:r>
            <w:r>
              <w:rPr>
                <w:iCs/>
                <w:i/>
              </w:rPr>
              <w:t xml:space="preserve">&gt;</w:t>
            </w:r>
          </w:p>
        </w:tc>
        <w:tc>
          <w:tcPr/>
          <w:p>
            <w:pPr>
              <w:pStyle w:val="Compact"/>
              <w:jc w:val="left"/>
            </w:pPr>
            <w:r>
              <w:rPr>
                <w:iCs/>
                <w:i/>
              </w:rPr>
              <w:t xml:space="preserve">&lt;</w:t>
            </w:r>
            <w:r>
              <w:rPr>
                <w:bCs/>
                <w:b/>
                <w:iCs/>
                <w:i/>
              </w:rPr>
              <w:t xml:space="preserve"> </w:t>
            </w:r>
            <w:r>
              <w:rPr>
                <w:iCs/>
                <w:i/>
              </w:rPr>
              <w:t xml:space="preserve">&gt;</w:t>
            </w:r>
          </w:p>
        </w:tc>
      </w:tr>
      <w:tr>
        <w:tc>
          <w:tcPr/>
          <w:p>
            <w:pPr>
              <w:pStyle w:val="Compact"/>
              <w:jc w:val="left"/>
            </w:pPr>
            <w:r>
              <w:t xml:space="preserve">Material Review Board (MRB)</w:t>
            </w:r>
          </w:p>
        </w:tc>
        <w:tc>
          <w:tcPr/>
          <w:p>
            <w:pPr>
              <w:pStyle w:val="Compact"/>
              <w:jc w:val="left"/>
            </w:pPr>
            <w:r>
              <w:rPr>
                <w:iCs/>
                <w:i/>
              </w:rPr>
              <w:t xml:space="preserve">&lt;</w:t>
            </w:r>
            <w:r>
              <w:rPr>
                <w:bCs/>
                <w:b/>
                <w:iCs/>
                <w:i/>
              </w:rPr>
              <w:t xml:space="preserve">Composition by position — typically quality lead, engineering and manufacturing. Classifies variances and dispositions nonconforming material within delegated limits.</w:t>
            </w:r>
            <w:r>
              <w:rPr>
                <w:iCs/>
                <w:i/>
              </w:rPr>
              <w:t xml:space="preserve">&gt;</w:t>
            </w:r>
          </w:p>
        </w:tc>
        <w:tc>
          <w:tcPr/>
          <w:p>
            <w:pPr>
              <w:pStyle w:val="Compact"/>
              <w:jc w:val="left"/>
            </w:pPr>
            <w:r>
              <w:rPr>
                <w:iCs/>
                <w:i/>
              </w:rPr>
              <w:t xml:space="preserve">&lt;</w:t>
            </w:r>
            <w:r>
              <w:rPr>
                <w:bCs/>
                <w:b/>
                <w:iCs/>
                <w:i/>
              </w:rPr>
              <w:t xml:space="preserve">State the delegated disposition limits and what must be escalated</w:t>
            </w:r>
            <w:r>
              <w:rPr>
                <w:iCs/>
                <w:i/>
              </w:rPr>
              <w:t xml:space="preserve">&gt;</w:t>
            </w:r>
          </w:p>
        </w:tc>
      </w:tr>
      <w:tr>
        <w:tc>
          <w:tcPr/>
          <w:p>
            <w:pPr>
              <w:pStyle w:val="Compact"/>
              <w:jc w:val="left"/>
            </w:pPr>
            <w:r>
              <w:t xml:space="preserve">Quality Assurance</w:t>
            </w:r>
          </w:p>
        </w:tc>
        <w:tc>
          <w:tcPr/>
          <w:p>
            <w:pPr>
              <w:pStyle w:val="Compact"/>
              <w:jc w:val="left"/>
            </w:pPr>
            <w:r>
              <w:rPr>
                <w:iCs/>
                <w:i/>
              </w:rPr>
              <w:t xml:space="preserve">&lt;</w:t>
            </w:r>
            <w:r>
              <w:rPr>
                <w:bCs/>
                <w:b/>
                <w:iCs/>
                <w:i/>
              </w:rPr>
              <w:t xml:space="preserve">Nonconformance identification and recording; witnesses the software build and installation check at software PCA; provides QA records, FAI results and acceptance test data to audits.</w:t>
            </w:r>
            <w:r>
              <w:rPr>
                <w:iCs/>
                <w:i/>
              </w:rPr>
              <w:t xml:space="preserve">&gt;</w:t>
            </w:r>
          </w:p>
        </w:tc>
        <w:tc>
          <w:tcPr/>
          <w:p>
            <w:pPr>
              <w:pStyle w:val="Compact"/>
            </w:pPr>
          </w:p>
        </w:tc>
      </w:tr>
      <w:tr>
        <w:tc>
          <w:tcPr/>
          <w:p>
            <w:pPr>
              <w:pStyle w:val="Compact"/>
              <w:jc w:val="left"/>
            </w:pPr>
            <w:r>
              <w:t xml:space="preserve">Acquirer’s Designated Representative</w:t>
            </w:r>
          </w:p>
        </w:tc>
        <w:tc>
          <w:tcPr/>
          <w:p>
            <w:pPr>
              <w:pStyle w:val="Compact"/>
              <w:jc w:val="left"/>
            </w:pPr>
            <w:r>
              <w:rPr>
                <w:iCs/>
                <w:i/>
              </w:rPr>
              <w:t xml:space="preserve">&lt;</w:t>
            </w:r>
            <w:r>
              <w:rPr>
                <w:bCs/>
                <w:b/>
                <w:iCs/>
                <w:i/>
              </w:rPr>
              <w:t xml:space="preserve">e.g. DCMA. Configuration Approval Authority for variances within its delegation; receives Minor RFV submissions where so delegated.</w:t>
            </w:r>
            <w:r>
              <w:rPr>
                <w:iCs/>
                <w:i/>
              </w:rPr>
              <w:t xml:space="preserve">&gt;</w:t>
            </w:r>
          </w:p>
        </w:tc>
        <w:tc>
          <w:tcPr/>
          <w:p>
            <w:pPr>
              <w:pStyle w:val="Compact"/>
              <w:jc w:val="left"/>
            </w:pPr>
            <w:r>
              <w:rPr>
                <w:iCs/>
                <w:i/>
              </w:rPr>
              <w:t xml:space="preserve">&lt;</w:t>
            </w:r>
            <w:r>
              <w:rPr>
                <w:bCs/>
                <w:b/>
                <w:iCs/>
                <w:i/>
              </w:rPr>
              <w:t xml:space="preserve">State the scope of the delegation and where it is recorded</w:t>
            </w:r>
            <w:r>
              <w:rPr>
                <w:iCs/>
                <w:i/>
              </w:rPr>
              <w:t xml:space="preserve">&gt;</w:t>
            </w:r>
          </w:p>
        </w:tc>
      </w:tr>
      <w:tr>
        <w:tc>
          <w:tcPr/>
          <w:p>
            <w:pPr>
              <w:pStyle w:val="Compact"/>
              <w:jc w:val="left"/>
            </w:pPr>
            <w:r>
              <w:t xml:space="preserve">System Safety</w:t>
            </w:r>
          </w:p>
        </w:tc>
        <w:tc>
          <w:tcPr/>
          <w:p>
            <w:pPr>
              <w:pStyle w:val="Compact"/>
              <w:jc w:val="left"/>
            </w:pPr>
            <w:r>
              <w:rPr>
                <w:iCs/>
                <w:i/>
              </w:rPr>
              <w:t xml:space="preserve">&lt;</w:t>
            </w:r>
            <w:r>
              <w:rPr>
                <w:bCs/>
                <w:b/>
                <w:iCs/>
                <w:i/>
              </w:rPr>
              <w:t xml:space="preserve">Concurrence on omission of safety-critical items from CI designation; review of safety-critical changes (3.7.3); hazard analyses and safety-critical item identifications as inputs to CI selection.</w:t>
            </w:r>
            <w:r>
              <w:rPr>
                <w:iCs/>
                <w:i/>
              </w:rPr>
              <w:t xml:space="preserve">&gt;</w:t>
            </w:r>
          </w:p>
        </w:tc>
        <w:tc>
          <w:tcPr/>
          <w:p>
            <w:pPr>
              <w:pStyle w:val="Compact"/>
            </w:pPr>
          </w:p>
        </w:tc>
      </w:tr>
      <w:tr>
        <w:tc>
          <w:tcPr/>
          <w:p>
            <w:pPr>
              <w:pStyle w:val="Compact"/>
              <w:jc w:val="left"/>
            </w:pPr>
            <w:r>
              <w:t xml:space="preserve">Acquirer</w:t>
            </w:r>
          </w:p>
        </w:tc>
        <w:tc>
          <w:tcPr/>
          <w:p>
            <w:pPr>
              <w:pStyle w:val="Compact"/>
              <w:jc w:val="left"/>
            </w:pPr>
            <w:r>
              <w:rPr>
                <w:iCs/>
                <w:i/>
              </w:rPr>
              <w:t xml:space="preserve">&lt;</w:t>
            </w:r>
            <w:r>
              <w:rPr>
                <w:bCs/>
                <w:b/>
                <w:iCs/>
                <w:i/>
              </w:rPr>
              <w:t xml:space="preserve">Tailors the CM standard on contract; reviews and approves this CMP; approves audit schedule, plan and agenda; co-chairs audit proceedings; dispositions audit results; establishes the product baseline after successful PCA; may audit Supplier and sub-supplier CM processes.</w:t>
            </w:r>
            <w:r>
              <w:rPr>
                <w:iCs/>
                <w:i/>
              </w:rPr>
              <w:t xml:space="preserve">&gt;</w:t>
            </w:r>
          </w:p>
        </w:tc>
        <w:tc>
          <w:tcPr/>
          <w:p>
            <w:pPr>
              <w:pStyle w:val="Compact"/>
            </w:pPr>
          </w:p>
        </w:tc>
      </w:tr>
    </w:tbl>
    <w:bookmarkEnd w:id="124"/>
    <w:bookmarkStart w:id="128" w:name="cm-interfaces-and-scope-boundaries"/>
    <w:p>
      <w:pPr>
        <w:pStyle w:val="Heading2"/>
      </w:pPr>
      <w:r>
        <w:rPr>
          <w:bCs/>
          <w:b/>
        </w:rPr>
        <w:t xml:space="preserve">4.3 CM Interfaces and Scope Boundaries</w:t>
      </w:r>
    </w:p>
    <w:bookmarkStart w:id="125" w:name="interfaces-with-other-functions"/>
    <w:p>
      <w:pPr>
        <w:pStyle w:val="Heading3"/>
      </w:pPr>
      <w:r>
        <w:rPr>
          <w:bCs/>
          <w:b/>
        </w:rPr>
        <w:t xml:space="preserve">4.3.1 Interfaces with Other Functions</w:t>
      </w:r>
    </w:p>
    <w:p>
      <w:pPr>
        <w:pStyle w:val="FirstParagraph"/>
      </w:pPr>
      <w:r>
        <w:rPr>
          <w:iCs/>
          <w:i/>
        </w:rPr>
        <w:t xml:space="preserve">&lt;</w:t>
      </w:r>
      <w:r>
        <w:rPr>
          <w:bCs/>
          <w:b/>
          <w:iCs/>
          <w:i/>
        </w:rPr>
        <w:t xml:space="preserve">State how CM interfaces with each function below: what CM provides, what CM receives, and at what point in the process the exchange occurs.</w:t>
      </w:r>
      <w:r>
        <w:rPr>
          <w:iCs/>
          <w:i/>
        </w:rPr>
        <w:t xml:space="preserve">&gt;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Function</w:t>
            </w:r>
          </w:p>
        </w:tc>
        <w:tc>
          <w:tcPr/>
          <w:p>
            <w:pPr>
              <w:pStyle w:val="Compact"/>
              <w:jc w:val="left"/>
            </w:pPr>
            <w:r>
              <w:rPr>
                <w:bCs/>
                <w:b/>
              </w:rPr>
              <w:t xml:space="preserve">Interface with CM</w:t>
            </w:r>
          </w:p>
        </w:tc>
      </w:tr>
      <w:tr>
        <w:tc>
          <w:tcPr/>
          <w:p>
            <w:pPr>
              <w:pStyle w:val="Compact"/>
              <w:jc w:val="left"/>
            </w:pPr>
            <w:r>
              <w:t xml:space="preserve">Systems Engineering</w:t>
            </w:r>
          </w:p>
        </w:tc>
        <w:tc>
          <w:tcPr/>
          <w:p>
            <w:pPr>
              <w:pStyle w:val="Compact"/>
              <w:jc w:val="left"/>
            </w:pPr>
            <w:r>
              <w:rPr>
                <w:iCs/>
                <w:i/>
              </w:rPr>
              <w:t xml:space="preserve">&lt;</w:t>
            </w:r>
            <w:r>
              <w:rPr>
                <w:bCs/>
                <w:b/>
                <w:iCs/>
                <w:i/>
              </w:rPr>
              <w:t xml:space="preserve">e.g. provides the requirements traceability matrix, specifications, interface documentation and analyses; presents requirement-by-requirement verification evidence at FCA</w:t>
            </w:r>
            <w:r>
              <w:rPr>
                <w:iCs/>
                <w:i/>
              </w:rPr>
              <w:t xml:space="preserve">&gt;</w:t>
            </w:r>
          </w:p>
        </w:tc>
      </w:tr>
      <w:tr>
        <w:tc>
          <w:tcPr/>
          <w:p>
            <w:pPr>
              <w:pStyle w:val="Compact"/>
              <w:jc w:val="left"/>
            </w:pPr>
            <w:r>
              <w:t xml:space="preserve">Design Engineering</w:t>
            </w:r>
          </w:p>
        </w:tc>
        <w:tc>
          <w:tcPr/>
          <w:p>
            <w:pPr>
              <w:pStyle w:val="Compact"/>
              <w:jc w:val="left"/>
            </w:pPr>
            <w:r>
              <w:rPr>
                <w:iCs/>
                <w:i/>
              </w:rPr>
              <w:t xml:space="preserve">&lt;</w:t>
            </w:r>
            <w:r>
              <w:rPr>
                <w:bCs/>
                <w:b/>
                <w:iCs/>
                <w:i/>
              </w:rPr>
              <w:t xml:space="preserve">released drawings, models, parts lists, product specifications and change records; supports as-designed to as-built reconciliation at PCA</w:t>
            </w:r>
            <w:r>
              <w:rPr>
                <w:iCs/>
                <w:i/>
              </w:rPr>
              <w:t xml:space="preserve">&gt;</w:t>
            </w:r>
          </w:p>
        </w:tc>
      </w:tr>
      <w:tr>
        <w:tc>
          <w:tcPr/>
          <w:p>
            <w:pPr>
              <w:pStyle w:val="Compact"/>
              <w:jc w:val="left"/>
            </w:pPr>
            <w:r>
              <w:t xml:space="preserve">Test &amp; Evaluation</w:t>
            </w:r>
          </w:p>
        </w:tc>
        <w:tc>
          <w:tcPr/>
          <w:p>
            <w:pPr>
              <w:pStyle w:val="Compact"/>
              <w:jc w:val="left"/>
            </w:pPr>
            <w:r>
              <w:rPr>
                <w:iCs/>
                <w:i/>
              </w:rPr>
              <w:t xml:space="preserve">&lt;</w:t>
            </w:r>
            <w:r>
              <w:rPr>
                <w:bCs/>
                <w:b/>
                <w:iCs/>
                <w:i/>
              </w:rPr>
              <w:t xml:space="preserve">test plans, procedures and reports; accounts for tests not yet performed and the plan to accomplish them</w:t>
            </w:r>
            <w:r>
              <w:rPr>
                <w:iCs/>
                <w:i/>
              </w:rPr>
              <w:t xml:space="preserve">&gt;</w:t>
            </w:r>
          </w:p>
        </w:tc>
      </w:tr>
      <w:tr>
        <w:tc>
          <w:tcPr/>
          <w:p>
            <w:pPr>
              <w:pStyle w:val="Compact"/>
              <w:jc w:val="left"/>
            </w:pPr>
            <w:r>
              <w:t xml:space="preserve">Manufacturing / Quality Assurance</w:t>
            </w:r>
          </w:p>
        </w:tc>
        <w:tc>
          <w:tcPr/>
          <w:p>
            <w:pPr>
              <w:pStyle w:val="Compact"/>
              <w:jc w:val="left"/>
            </w:pPr>
            <w:r>
              <w:rPr>
                <w:iCs/>
                <w:i/>
              </w:rPr>
              <w:t xml:space="preserve">&lt;</w:t>
            </w:r>
            <w:r>
              <w:rPr>
                <w:bCs/>
                <w:b/>
                <w:iCs/>
                <w:i/>
              </w:rPr>
              <w:t xml:space="preserve">manufacturing instructions, process records, QA records, FAI results, acceptance test data; confirms production processes match those used in development or that changes are documented</w:t>
            </w:r>
            <w:r>
              <w:rPr>
                <w:iCs/>
                <w:i/>
              </w:rPr>
              <w:t xml:space="preserve">&gt;</w:t>
            </w:r>
          </w:p>
        </w:tc>
      </w:tr>
      <w:tr>
        <w:tc>
          <w:tcPr/>
          <w:p>
            <w:pPr>
              <w:pStyle w:val="Compact"/>
              <w:jc w:val="left"/>
            </w:pPr>
            <w:r>
              <w:t xml:space="preserve">Logistics / Product Support</w:t>
            </w:r>
          </w:p>
        </w:tc>
        <w:tc>
          <w:tcPr/>
          <w:p>
            <w:pPr>
              <w:pStyle w:val="Compact"/>
              <w:jc w:val="left"/>
            </w:pPr>
            <w:r>
              <w:rPr>
                <w:iCs/>
                <w:i/>
              </w:rPr>
              <w:t xml:space="preserve">&lt;</w:t>
            </w:r>
            <w:r>
              <w:rPr>
                <w:bCs/>
                <w:b/>
                <w:iCs/>
                <w:i/>
              </w:rPr>
              <w:t xml:space="preserve">provisioning and supportability inputs to change impact assessment; effect of changes on support equipment, spares and technical manuals</w:t>
            </w:r>
            <w:r>
              <w:rPr>
                <w:iCs/>
                <w:i/>
              </w:rPr>
              <w:t xml:space="preserve">&gt;</w:t>
            </w:r>
          </w:p>
        </w:tc>
      </w:tr>
      <w:tr>
        <w:tc>
          <w:tcPr/>
          <w:p>
            <w:pPr>
              <w:pStyle w:val="Compact"/>
              <w:jc w:val="left"/>
            </w:pPr>
            <w:r>
              <w:t xml:space="preserve">System Safety</w:t>
            </w:r>
          </w:p>
        </w:tc>
        <w:tc>
          <w:tcPr/>
          <w:p>
            <w:pPr>
              <w:pStyle w:val="Compact"/>
              <w:jc w:val="left"/>
            </w:pPr>
            <w:r>
              <w:rPr>
                <w:iCs/>
                <w:i/>
              </w:rPr>
              <w:t xml:space="preserve">&lt;</w:t>
            </w:r>
            <w:r>
              <w:rPr>
                <w:bCs/>
                <w:b/>
                <w:iCs/>
                <w:i/>
              </w:rPr>
              <w:t xml:space="preserve">see 3.7</w:t>
            </w:r>
            <w:r>
              <w:rPr>
                <w:iCs/>
                <w:i/>
              </w:rPr>
              <w:t xml:space="preserve">&gt;</w:t>
            </w:r>
          </w:p>
        </w:tc>
      </w:tr>
      <w:tr>
        <w:tc>
          <w:tcPr/>
          <w:p>
            <w:pPr>
              <w:pStyle w:val="Compact"/>
              <w:jc w:val="left"/>
            </w:pPr>
            <w:r>
              <w:t xml:space="preserve">Contracts</w:t>
            </w:r>
          </w:p>
        </w:tc>
        <w:tc>
          <w:tcPr/>
          <w:p>
            <w:pPr>
              <w:pStyle w:val="Compact"/>
              <w:jc w:val="left"/>
            </w:pPr>
            <w:r>
              <w:rPr>
                <w:iCs/>
                <w:i/>
              </w:rPr>
              <w:t xml:space="preserve">&lt;</w:t>
            </w:r>
            <w:r>
              <w:rPr>
                <w:bCs/>
                <w:b/>
                <w:iCs/>
                <w:i/>
              </w:rPr>
              <w:t xml:space="preserve">contract requirements and CDRLs; tailoring position; Acquirer submittal routing</w:t>
            </w:r>
            <w:r>
              <w:rPr>
                <w:iCs/>
                <w:i/>
              </w:rPr>
              <w:t xml:space="preserve">&gt;</w:t>
            </w:r>
          </w:p>
        </w:tc>
      </w:tr>
      <w:tr>
        <w:tc>
          <w:tcPr/>
          <w:p>
            <w:pPr>
              <w:pStyle w:val="Compact"/>
              <w:jc w:val="left"/>
            </w:pPr>
            <w:r>
              <w:t xml:space="preserve">Program Management</w:t>
            </w:r>
          </w:p>
        </w:tc>
        <w:tc>
          <w:tcPr/>
          <w:p>
            <w:pPr>
              <w:pStyle w:val="Compact"/>
              <w:jc w:val="left"/>
            </w:pPr>
            <w:r>
              <w:rPr>
                <w:iCs/>
                <w:i/>
              </w:rPr>
              <w:t xml:space="preserve">&lt;</w:t>
            </w:r>
            <w:r>
              <w:rPr>
                <w:bCs/>
                <w:b/>
                <w:iCs/>
                <w:i/>
              </w:rPr>
              <w:t xml:space="preserve">resources per this CMP; approval of the CM organization and level of effort; resolution of cross-functional CM interface issues</w:t>
            </w:r>
            <w:r>
              <w:rPr>
                <w:iCs/>
                <w:i/>
              </w:rPr>
              <w:t xml:space="preserve">&gt;</w:t>
            </w:r>
          </w:p>
        </w:tc>
      </w:tr>
    </w:tbl>
    <w:bookmarkEnd w:id="125"/>
    <w:bookmarkStart w:id="126" w:name="coordination-with-external-organizations"/>
    <w:p>
      <w:pPr>
        <w:pStyle w:val="Heading3"/>
      </w:pPr>
      <w:r>
        <w:rPr>
          <w:bCs/>
          <w:b/>
        </w:rPr>
        <w:t xml:space="preserve">4.3.2 Coordination with External Organizations</w:t>
      </w:r>
    </w:p>
    <w:p>
      <w:pPr>
        <w:pStyle w:val="FirstParagraph"/>
      </w:pPr>
      <w:r>
        <w:rPr>
          <w:iCs/>
          <w:i/>
        </w:rPr>
        <w:t xml:space="preserve">&lt;</w:t>
      </w:r>
      <w:r>
        <w:rPr>
          <w:bCs/>
          <w:b/>
          <w:iCs/>
          <w:i/>
        </w:rPr>
        <w:t xml:space="preserve">State the coordination arrangements with each external party that applies: the Acquirer (submittals, concurrence points, CCB interfaces); the Acquirer’s designated representative; other Suppliers and prime contractors where interfaces or related engineering changes are shared (2.4.4.5); other Government agencies; and foreign governments where the program has international participation. For each, state what is coordinated, by whom, and how agreement is evidenced.</w:t>
      </w:r>
      <w:r>
        <w:rPr>
          <w:iCs/>
          <w:i/>
        </w:rPr>
        <w:t xml:space="preserve">&gt;</w:t>
      </w:r>
    </w:p>
    <w:bookmarkEnd w:id="126"/>
    <w:bookmarkStart w:id="127" w:name="cm-scope-boundaries"/>
    <w:p>
      <w:pPr>
        <w:pStyle w:val="Heading3"/>
      </w:pPr>
      <w:r>
        <w:rPr>
          <w:bCs/>
          <w:b/>
        </w:rPr>
        <w:t xml:space="preserve">4.3.3 CM Scope Boundaries</w:t>
      </w:r>
    </w:p>
    <w:p>
      <w:pPr>
        <w:pStyle w:val="FirstParagraph"/>
      </w:pPr>
      <w:r>
        <w:rPr>
          <w:iCs/>
          <w:i/>
        </w:rPr>
        <w:t xml:space="preserve">&lt;</w:t>
      </w:r>
      <w:r>
        <w:rPr>
          <w:bCs/>
          <w:b/>
          <w:iCs/>
          <w:i/>
        </w:rPr>
        <w:t xml:space="preserve">State plainly what the CM organization does not do, so that authority for those determinations is unambiguous. Confirm or amend each statement below for this program.</w:t>
      </w:r>
      <w:r>
        <w:rPr>
          <w:iCs/>
          <w:i/>
        </w:rPr>
        <w:t xml:space="preserve">&gt;</w:t>
      </w:r>
    </w:p>
    <w:p>
      <w:pPr>
        <w:numPr>
          <w:ilvl w:val="0"/>
          <w:numId w:val="1009"/>
        </w:numPr>
        <w:pStyle w:val="Compact"/>
      </w:pPr>
      <w:r>
        <w:t xml:space="preserve">CM does not classify variances. Variance classification is performed by</w:t>
      </w:r>
      <w:r>
        <w:t xml:space="preserve"> </w:t>
      </w:r>
      <w:r>
        <w:rPr>
          <w:iCs/>
          <w:i/>
        </w:rPr>
        <w:t xml:space="preserve">&lt;</w:t>
      </w:r>
      <w:r>
        <w:rPr>
          <w:bCs/>
          <w:b/>
          <w:iCs/>
          <w:i/>
        </w:rPr>
        <w:t xml:space="preserve">role</w:t>
      </w:r>
      <w:r>
        <w:rPr>
          <w:iCs/>
          <w:i/>
        </w:rPr>
        <w:t xml:space="preserve">&gt;</w:t>
      </w:r>
      <w:r>
        <w:t xml:space="preserve"> </w:t>
      </w:r>
      <w:r>
        <w:t xml:space="preserve">against the criteria in 2.4.6.2.</w:t>
      </w:r>
    </w:p>
    <w:p>
      <w:pPr>
        <w:numPr>
          <w:ilvl w:val="0"/>
          <w:numId w:val="1009"/>
        </w:numPr>
        <w:pStyle w:val="Compact"/>
      </w:pPr>
      <w:r>
        <w:t xml:space="preserve">CM does not disposition nonconforming material. Disposition is performed by</w:t>
      </w:r>
      <w:r>
        <w:t xml:space="preserve"> </w:t>
      </w:r>
      <w:r>
        <w:rPr>
          <w:iCs/>
          <w:i/>
        </w:rPr>
        <w:t xml:space="preserve">&lt;</w:t>
      </w:r>
      <w:r>
        <w:rPr>
          <w:bCs/>
          <w:b/>
          <w:iCs/>
          <w:i/>
        </w:rPr>
        <w:t xml:space="preserve">role</w:t>
      </w:r>
      <w:r>
        <w:rPr>
          <w:iCs/>
          <w:i/>
        </w:rPr>
        <w:t xml:space="preserve">&gt;</w:t>
      </w:r>
      <w:r>
        <w:t xml:space="preserve">.</w:t>
      </w:r>
    </w:p>
    <w:p>
      <w:pPr>
        <w:numPr>
          <w:ilvl w:val="0"/>
          <w:numId w:val="1009"/>
        </w:numPr>
        <w:pStyle w:val="Compact"/>
      </w:pPr>
      <w:r>
        <w:t xml:space="preserve">CM does not re-adjudicate or override a variance classification made by the designated authority.</w:t>
      </w:r>
    </w:p>
    <w:p>
      <w:pPr>
        <w:numPr>
          <w:ilvl w:val="0"/>
          <w:numId w:val="1009"/>
        </w:numPr>
        <w:pStyle w:val="Compact"/>
      </w:pPr>
      <w:r>
        <w:t xml:space="preserve">CM does not determine safety relevance or accept safety risk. Those determinations are made through the safety risk management process named in 1.4.1.</w:t>
      </w:r>
    </w:p>
    <w:p>
      <w:pPr>
        <w:numPr>
          <w:ilvl w:val="0"/>
          <w:numId w:val="1009"/>
        </w:numPr>
        <w:pStyle w:val="Compact"/>
      </w:pPr>
      <w:r>
        <w:t xml:space="preserve">Classification disputes are escalated to the Acquirer for final decision (2.4.4.1, 2.4.6.3).</w:t>
      </w:r>
    </w:p>
    <w:p>
      <w:pPr>
        <w:pStyle w:val="FirstParagraph"/>
      </w:pPr>
      <w:r>
        <w:rPr>
          <w:iCs/>
          <w:i/>
        </w:rPr>
        <w:t xml:space="preserve">&lt;</w:t>
      </w:r>
      <w:r>
        <w:rPr>
          <w:bCs/>
          <w:b/>
          <w:iCs/>
          <w:i/>
        </w:rPr>
        <w:t xml:space="preserve">Where CM performs a verification or completeness check on records produced by another function, state the scope of that check explicitly — what it does and does not establish — so it is not read as validating the underlying determination.</w:t>
      </w:r>
      <w:r>
        <w:rPr>
          <w:iCs/>
          <w:i/>
        </w:rPr>
        <w:t xml:space="preserve">&gt;</w:t>
      </w:r>
    </w:p>
    <w:bookmarkEnd w:id="127"/>
    <w:bookmarkEnd w:id="128"/>
    <w:bookmarkEnd w:id="129"/>
    <w:bookmarkStart w:id="140" w:name="product-configuration-management"/>
    <w:p>
      <w:pPr>
        <w:pStyle w:val="Heading1"/>
      </w:pPr>
      <w:r>
        <w:rPr>
          <w:bCs/>
          <w:b/>
        </w:rPr>
        <w:t xml:space="preserve">5.0 Product Configuration Management</w:t>
      </w:r>
    </w:p>
    <w:p>
      <w:pPr>
        <w:pStyle w:val="FirstParagraph"/>
      </w:pPr>
      <w:r>
        <w:rPr>
          <w:iCs/>
          <w:i/>
        </w:rPr>
        <w:t xml:space="preserve">&lt;</w:t>
      </w:r>
      <w:r>
        <w:rPr>
          <w:bCs/>
          <w:b/>
          <w:iCs/>
          <w:i/>
        </w:rPr>
        <w:t xml:space="preserve">Tag each safety barrier requirement (Section 7) to at least one life cycle phase task or deliverable below, so that Section 7 shows what is performed and this section shows when. Where a requirement is performed continuously rather than at a phase milestone, state that.</w:t>
      </w:r>
      <w:r>
        <w:rPr>
          <w:iCs/>
          <w:i/>
        </w:rPr>
        <w:t xml:space="preserve">&gt;</w:t>
      </w:r>
    </w:p>
    <w:p>
      <w:pPr>
        <w:pStyle w:val="BodyText"/>
      </w:pPr>
      <w:r>
        <w:rPr>
          <w:iCs/>
          <w:i/>
        </w:rPr>
        <w:t xml:space="preserve">&lt;</w:t>
      </w:r>
      <w:r>
        <w:rPr>
          <w:bCs/>
          <w:b/>
          <w:iCs/>
          <w:i/>
        </w:rPr>
        <w:t xml:space="preserve">The product CM tasks and deliverables below apply to the whole organization regardless of designation. Consult your organizational standard process flow and input/output tables for applicable tasks and deliverables. Summarize in the Task and Deliverable Cross Reference Chart (Appendix A reference).</w:t>
      </w:r>
      <w:r>
        <w:rPr>
          <w:iCs/>
          <w:i/>
        </w:rPr>
        <w:t xml:space="preserve">&gt;</w:t>
      </w:r>
    </w:p>
    <w:bookmarkStart w:id="130" w:name="material-solution-analysis-cm-tasks"/>
    <w:p>
      <w:pPr>
        <w:pStyle w:val="Heading2"/>
      </w:pPr>
      <w:r>
        <w:rPr>
          <w:bCs/>
          <w:b/>
        </w:rPr>
        <w:t xml:space="preserve">5.1 Material Solution Analysis CM Tasks</w:t>
      </w:r>
    </w:p>
    <w:p>
      <w:pPr>
        <w:pStyle w:val="FirstParagraph"/>
      </w:pPr>
      <w:r>
        <w:rPr>
          <w:iCs/>
          <w:i/>
        </w:rPr>
        <w:t xml:space="preserve">&lt;</w:t>
      </w:r>
      <w:r>
        <w:rPr>
          <w:bCs/>
          <w:b/>
          <w:iCs/>
          <w:i/>
        </w:rPr>
        <w:t xml:space="preserve">List each CM task for this phase with a one-sentence description</w:t>
      </w:r>
      <w:r>
        <w:rPr>
          <w:iCs/>
          <w:i/>
        </w:rPr>
        <w:t xml:space="preserve">&gt;</w:t>
      </w:r>
    </w:p>
    <w:p>
      <w:pPr>
        <w:pStyle w:val="BodyText"/>
      </w:pPr>
      <w:r>
        <w:t xml:space="preserve">i.e. Calculate CM personnel requirement</w:t>
      </w:r>
    </w:p>
    <w:p>
      <w:pPr>
        <w:pStyle w:val="BodyText"/>
      </w:pPr>
      <w:r>
        <w:t xml:space="preserve">i.e. Identify contractual deliverable requirements</w:t>
      </w:r>
    </w:p>
    <w:p>
      <w:pPr>
        <w:pStyle w:val="BodyText"/>
      </w:pPr>
      <w:r>
        <w:t xml:space="preserve">i.e. Create CM Training Plan</w:t>
      </w:r>
    </w:p>
    <w:bookmarkEnd w:id="130"/>
    <w:bookmarkStart w:id="131" w:name="X7e399980f056eb402882245c3392a6379086f99"/>
    <w:p>
      <w:pPr>
        <w:pStyle w:val="Heading2"/>
      </w:pPr>
      <w:r>
        <w:rPr>
          <w:bCs/>
          <w:b/>
        </w:rPr>
        <w:t xml:space="preserve">5.2 Material Solution Analysis CM Deliverables</w:t>
      </w:r>
    </w:p>
    <w:p>
      <w:pPr>
        <w:pStyle w:val="FirstParagraph"/>
      </w:pPr>
      <w:r>
        <w:rPr>
          <w:iCs/>
          <w:i/>
        </w:rPr>
        <w:t xml:space="preserve">&lt;</w:t>
      </w:r>
      <w:r>
        <w:rPr>
          <w:bCs/>
          <w:b/>
          <w:iCs/>
          <w:i/>
        </w:rPr>
        <w:t xml:space="preserve">List each CM deliverable for this phase with a one-sentence description</w:t>
      </w:r>
      <w:r>
        <w:rPr>
          <w:iCs/>
          <w:i/>
        </w:rPr>
        <w:t xml:space="preserve">&gt;</w:t>
      </w:r>
    </w:p>
    <w:p>
      <w:pPr>
        <w:pStyle w:val="BodyText"/>
      </w:pPr>
      <w:r>
        <w:t xml:space="preserve">i.e. CM personnel budget</w:t>
      </w:r>
    </w:p>
    <w:p>
      <w:pPr>
        <w:pStyle w:val="BodyText"/>
      </w:pPr>
      <w:r>
        <w:t xml:space="preserve">i.e. Contract documentation (RFP, SOW, CDRL, DID)</w:t>
      </w:r>
    </w:p>
    <w:p>
      <w:pPr>
        <w:pStyle w:val="BodyText"/>
      </w:pPr>
      <w:r>
        <w:t xml:space="preserve">i.e. CM Training Plan</w:t>
      </w:r>
    </w:p>
    <w:bookmarkEnd w:id="131"/>
    <w:bookmarkStart w:id="132" w:name="Xcc7972cad72322186504b17e9b2f097abf6d6c2"/>
    <w:p>
      <w:pPr>
        <w:pStyle w:val="Heading2"/>
      </w:pPr>
      <w:r>
        <w:rPr>
          <w:bCs/>
          <w:b/>
        </w:rPr>
        <w:t xml:space="preserve">5.3 Technology &amp;</w:t>
      </w:r>
      <w:r>
        <w:t xml:space="preserve">** Maturation Risk Reduction CM Tasks**</w:t>
      </w:r>
    </w:p>
    <w:p>
      <w:pPr>
        <w:pStyle w:val="FirstParagraph"/>
      </w:pPr>
      <w:r>
        <w:rPr>
          <w:iCs/>
          <w:i/>
        </w:rPr>
        <w:t xml:space="preserve">&lt;</w:t>
      </w:r>
      <w:r>
        <w:rPr>
          <w:bCs/>
          <w:b/>
          <w:iCs/>
          <w:i/>
        </w:rPr>
        <w:t xml:space="preserve">List each CM task for this phase with a one-sentence description</w:t>
      </w:r>
      <w:r>
        <w:rPr>
          <w:iCs/>
          <w:i/>
        </w:rPr>
        <w:t xml:space="preserve">&gt;</w:t>
      </w:r>
    </w:p>
    <w:p>
      <w:pPr>
        <w:pStyle w:val="BodyText"/>
      </w:pPr>
      <w:r>
        <w:t xml:space="preserve">i.e. Update functional baseline</w:t>
      </w:r>
    </w:p>
    <w:p>
      <w:pPr>
        <w:pStyle w:val="BodyText"/>
      </w:pPr>
      <w:r>
        <w:t xml:space="preserve">i.e. Capture all required information</w:t>
      </w:r>
    </w:p>
    <w:p>
      <w:pPr>
        <w:pStyle w:val="BodyText"/>
      </w:pPr>
      <w:r>
        <w:t xml:space="preserve">i.e. Distribute updated CMP</w:t>
      </w:r>
    </w:p>
    <w:bookmarkEnd w:id="132"/>
    <w:bookmarkStart w:id="133" w:name="Xe762007296812019c036a612bafd92fc7f3eea1"/>
    <w:p>
      <w:pPr>
        <w:pStyle w:val="Heading2"/>
      </w:pPr>
      <w:r>
        <w:rPr>
          <w:bCs/>
          <w:b/>
        </w:rPr>
        <w:t xml:space="preserve">5.4 Technology &amp;</w:t>
      </w:r>
      <w:r>
        <w:t xml:space="preserve">** Maturation Risk Reduction CM Deliverables**</w:t>
      </w:r>
    </w:p>
    <w:p>
      <w:pPr>
        <w:pStyle w:val="FirstParagraph"/>
      </w:pPr>
      <w:r>
        <w:rPr>
          <w:iCs/>
          <w:i/>
        </w:rPr>
        <w:t xml:space="preserve">&lt;</w:t>
      </w:r>
      <w:r>
        <w:rPr>
          <w:bCs/>
          <w:b/>
          <w:iCs/>
          <w:i/>
        </w:rPr>
        <w:t xml:space="preserve">List each CM deliverable for this phase with a one-sentence description</w:t>
      </w:r>
      <w:r>
        <w:rPr>
          <w:iCs/>
          <w:i/>
        </w:rPr>
        <w:t xml:space="preserve">&gt;</w:t>
      </w:r>
    </w:p>
    <w:p>
      <w:pPr>
        <w:pStyle w:val="BodyText"/>
      </w:pPr>
      <w:r>
        <w:t xml:space="preserve">i.e. Functional Baseline Report</w:t>
      </w:r>
    </w:p>
    <w:p>
      <w:pPr>
        <w:pStyle w:val="BodyText"/>
      </w:pPr>
      <w:r>
        <w:t xml:space="preserve">i.e. Configuration Status Accounting Report</w:t>
      </w:r>
    </w:p>
    <w:p>
      <w:pPr>
        <w:pStyle w:val="BodyText"/>
      </w:pPr>
      <w:r>
        <w:t xml:space="preserve">i.e. Acquisition documentation</w:t>
      </w:r>
    </w:p>
    <w:bookmarkEnd w:id="133"/>
    <w:bookmarkStart w:id="134" w:name="engineering-manufacturing-cm-tasks"/>
    <w:p>
      <w:pPr>
        <w:pStyle w:val="Heading2"/>
      </w:pPr>
      <w:r>
        <w:rPr>
          <w:bCs/>
          <w:b/>
        </w:rPr>
        <w:t xml:space="preserve">5.5 Engineering &amp;</w:t>
      </w:r>
      <w:r>
        <w:t xml:space="preserve">** Manufacturing CM Tasks**</w:t>
      </w:r>
    </w:p>
    <w:p>
      <w:pPr>
        <w:pStyle w:val="FirstParagraph"/>
      </w:pPr>
      <w:r>
        <w:rPr>
          <w:iCs/>
          <w:i/>
        </w:rPr>
        <w:t xml:space="preserve">&lt;</w:t>
      </w:r>
      <w:r>
        <w:rPr>
          <w:bCs/>
          <w:b/>
          <w:iCs/>
          <w:i/>
        </w:rPr>
        <w:t xml:space="preserve">List each CM task for this phase with a one-sentence description</w:t>
      </w:r>
      <w:r>
        <w:rPr>
          <w:iCs/>
          <w:i/>
        </w:rPr>
        <w:t xml:space="preserve">&gt;</w:t>
      </w:r>
    </w:p>
    <w:p>
      <w:pPr>
        <w:pStyle w:val="BodyText"/>
      </w:pPr>
      <w:r>
        <w:t xml:space="preserve">i.e. Update change request process</w:t>
      </w:r>
    </w:p>
    <w:p>
      <w:pPr>
        <w:pStyle w:val="BodyText"/>
      </w:pPr>
      <w:r>
        <w:t xml:space="preserve">i.e. Create allocated baseline</w:t>
      </w:r>
    </w:p>
    <w:p>
      <w:pPr>
        <w:pStyle w:val="BodyText"/>
      </w:pPr>
      <w:r>
        <w:t xml:space="preserve">i.e. Conduct Functional Configuration Audit (F42–F44)</w:t>
      </w:r>
    </w:p>
    <w:bookmarkEnd w:id="134"/>
    <w:bookmarkStart w:id="135" w:name="X37171f7ed58e5160d778dfa4bed7ca2ac7e735d"/>
    <w:p>
      <w:pPr>
        <w:pStyle w:val="Heading2"/>
      </w:pPr>
      <w:r>
        <w:rPr>
          <w:bCs/>
          <w:b/>
        </w:rPr>
        <w:t xml:space="preserve">5.6 Engineering &amp;</w:t>
      </w:r>
      <w:r>
        <w:t xml:space="preserve">** Manufacturing CM Deliverables**</w:t>
      </w:r>
    </w:p>
    <w:p>
      <w:pPr>
        <w:pStyle w:val="FirstParagraph"/>
      </w:pPr>
      <w:r>
        <w:rPr>
          <w:iCs/>
          <w:i/>
        </w:rPr>
        <w:t xml:space="preserve">&lt;</w:t>
      </w:r>
      <w:r>
        <w:rPr>
          <w:bCs/>
          <w:b/>
          <w:iCs/>
          <w:i/>
        </w:rPr>
        <w:t xml:space="preserve">List each CM deliverable for this phase with a one-sentence description</w:t>
      </w:r>
      <w:r>
        <w:rPr>
          <w:iCs/>
          <w:i/>
        </w:rPr>
        <w:t xml:space="preserve">&gt;</w:t>
      </w:r>
    </w:p>
    <w:p>
      <w:pPr>
        <w:pStyle w:val="BodyText"/>
      </w:pPr>
      <w:r>
        <w:t xml:space="preserve">i.e. Change request process flow</w:t>
      </w:r>
    </w:p>
    <w:p>
      <w:pPr>
        <w:pStyle w:val="BodyText"/>
      </w:pPr>
      <w:r>
        <w:t xml:space="preserve">i.e. Allocated Baseline Report</w:t>
      </w:r>
    </w:p>
    <w:p>
      <w:pPr>
        <w:pStyle w:val="BodyText"/>
      </w:pPr>
      <w:r>
        <w:t xml:space="preserve">i.e. Functional Configuration Audit Report including documented non-compliances provided to the Acquirer (F43)</w:t>
      </w:r>
    </w:p>
    <w:bookmarkEnd w:id="135"/>
    <w:bookmarkStart w:id="136" w:name="production-development-cm-tasks"/>
    <w:p>
      <w:pPr>
        <w:pStyle w:val="Heading2"/>
      </w:pPr>
      <w:r>
        <w:rPr>
          <w:bCs/>
          <w:b/>
        </w:rPr>
        <w:t xml:space="preserve">5.7 Production &amp;</w:t>
      </w:r>
      <w:r>
        <w:t xml:space="preserve">** Development CM Tasks**</w:t>
      </w:r>
    </w:p>
    <w:p>
      <w:pPr>
        <w:pStyle w:val="FirstParagraph"/>
      </w:pPr>
      <w:r>
        <w:rPr>
          <w:iCs/>
          <w:i/>
        </w:rPr>
        <w:t xml:space="preserve">&lt;</w:t>
      </w:r>
      <w:r>
        <w:rPr>
          <w:bCs/>
          <w:b/>
          <w:iCs/>
          <w:i/>
        </w:rPr>
        <w:t xml:space="preserve">List each CM task for this phase with a one-sentence description</w:t>
      </w:r>
      <w:r>
        <w:rPr>
          <w:iCs/>
          <w:i/>
        </w:rPr>
        <w:t xml:space="preserve">&gt;</w:t>
      </w:r>
    </w:p>
    <w:p>
      <w:pPr>
        <w:pStyle w:val="BodyText"/>
      </w:pPr>
      <w:r>
        <w:t xml:space="preserve">i.e. Conduct Physical Configuration Audit (F29–F31)</w:t>
      </w:r>
    </w:p>
    <w:p>
      <w:pPr>
        <w:pStyle w:val="BodyText"/>
      </w:pPr>
      <w:r>
        <w:t xml:space="preserve">i.e. Identify differences between production CI and the development CI used for FCA (F34)</w:t>
      </w:r>
    </w:p>
    <w:p>
      <w:pPr>
        <w:pStyle w:val="BodyText"/>
      </w:pPr>
      <w:r>
        <w:t xml:space="preserve">i.e. Update product baseline</w:t>
      </w:r>
    </w:p>
    <w:p>
      <w:pPr>
        <w:pStyle w:val="BodyText"/>
      </w:pPr>
      <w:r>
        <w:t xml:space="preserve">i.e. Verify CMP implementation</w:t>
      </w:r>
    </w:p>
    <w:bookmarkEnd w:id="136"/>
    <w:bookmarkStart w:id="137" w:name="production-development-cm-deliverables"/>
    <w:p>
      <w:pPr>
        <w:pStyle w:val="Heading2"/>
      </w:pPr>
      <w:r>
        <w:rPr>
          <w:bCs/>
          <w:b/>
        </w:rPr>
        <w:t xml:space="preserve">5.8 Production &amp;</w:t>
      </w:r>
      <w:r>
        <w:t xml:space="preserve">** Development CM Deliverables**</w:t>
      </w:r>
    </w:p>
    <w:p>
      <w:pPr>
        <w:pStyle w:val="FirstParagraph"/>
      </w:pPr>
      <w:r>
        <w:rPr>
          <w:iCs/>
          <w:i/>
        </w:rPr>
        <w:t xml:space="preserve">&lt;</w:t>
      </w:r>
      <w:r>
        <w:rPr>
          <w:bCs/>
          <w:b/>
          <w:iCs/>
          <w:i/>
        </w:rPr>
        <w:t xml:space="preserve">List each CM deliverable for this phase with a one-sentence description</w:t>
      </w:r>
      <w:r>
        <w:rPr>
          <w:iCs/>
          <w:i/>
        </w:rPr>
        <w:t xml:space="preserve">&gt;</w:t>
      </w:r>
    </w:p>
    <w:p>
      <w:pPr>
        <w:pStyle w:val="BodyText"/>
      </w:pPr>
      <w:r>
        <w:t xml:space="preserve">i.e. Physical Configuration Audit Report including documented non-compliances provided to the Acquirer (F31)</w:t>
      </w:r>
    </w:p>
    <w:p>
      <w:pPr>
        <w:pStyle w:val="BodyText"/>
      </w:pPr>
      <w:r>
        <w:t xml:space="preserve">i.e. Product Baseline Report</w:t>
      </w:r>
    </w:p>
    <w:p>
      <w:pPr>
        <w:pStyle w:val="BodyText"/>
      </w:pPr>
      <w:r>
        <w:t xml:space="preserve">i.e. Process Audit Report</w:t>
      </w:r>
    </w:p>
    <w:bookmarkEnd w:id="137"/>
    <w:bookmarkStart w:id="138" w:name="operations-support-cm-tasks"/>
    <w:p>
      <w:pPr>
        <w:pStyle w:val="Heading2"/>
      </w:pPr>
      <w:r>
        <w:rPr>
          <w:bCs/>
          <w:b/>
        </w:rPr>
        <w:t xml:space="preserve">5.9 Operations &amp;</w:t>
      </w:r>
      <w:r>
        <w:t xml:space="preserve">** Support CM Tasks**</w:t>
      </w:r>
    </w:p>
    <w:p>
      <w:pPr>
        <w:pStyle w:val="FirstParagraph"/>
      </w:pPr>
      <w:r>
        <w:rPr>
          <w:iCs/>
          <w:i/>
        </w:rPr>
        <w:t xml:space="preserve">&lt;</w:t>
      </w:r>
      <w:r>
        <w:rPr>
          <w:bCs/>
          <w:b/>
          <w:iCs/>
          <w:i/>
        </w:rPr>
        <w:t xml:space="preserve">List each CM task for this phase with a one-sentence description</w:t>
      </w:r>
      <w:r>
        <w:rPr>
          <w:iCs/>
          <w:i/>
        </w:rPr>
        <w:t xml:space="preserve">&gt;</w:t>
      </w:r>
    </w:p>
    <w:p>
      <w:pPr>
        <w:pStyle w:val="BodyText"/>
      </w:pPr>
      <w:r>
        <w:t xml:space="preserve">i.e. Create as-installed baseline</w:t>
      </w:r>
    </w:p>
    <w:p>
      <w:pPr>
        <w:pStyle w:val="BodyText"/>
      </w:pPr>
      <w:r>
        <w:t xml:space="preserve">i.e. Document incorporation of retrofit changes to units identified for retrofit (F33)</w:t>
      </w:r>
    </w:p>
    <w:p>
      <w:pPr>
        <w:pStyle w:val="BodyText"/>
      </w:pPr>
      <w:r>
        <w:t xml:space="preserve">i.e. Capture CI disposal status</w:t>
      </w:r>
    </w:p>
    <w:p>
      <w:pPr>
        <w:pStyle w:val="BodyText"/>
      </w:pPr>
      <w:r>
        <w:t xml:space="preserve">i.e. Update the CMP</w:t>
      </w:r>
    </w:p>
    <w:bookmarkEnd w:id="138"/>
    <w:bookmarkStart w:id="139" w:name="operations-support-cm-deliverables"/>
    <w:p>
      <w:pPr>
        <w:pStyle w:val="Heading2"/>
      </w:pPr>
      <w:r>
        <w:rPr>
          <w:bCs/>
          <w:b/>
        </w:rPr>
        <w:t xml:space="preserve">5.10 Operations &amp;</w:t>
      </w:r>
      <w:r>
        <w:t xml:space="preserve">** Support CM Deliverables**</w:t>
      </w:r>
    </w:p>
    <w:p>
      <w:pPr>
        <w:pStyle w:val="FirstParagraph"/>
      </w:pPr>
      <w:r>
        <w:rPr>
          <w:iCs/>
          <w:i/>
        </w:rPr>
        <w:t xml:space="preserve">&lt;</w:t>
      </w:r>
      <w:r>
        <w:rPr>
          <w:bCs/>
          <w:b/>
          <w:iCs/>
          <w:i/>
        </w:rPr>
        <w:t xml:space="preserve">List each CM deliverable for this phase with a one-sentence description</w:t>
      </w:r>
      <w:r>
        <w:rPr>
          <w:iCs/>
          <w:i/>
        </w:rPr>
        <w:t xml:space="preserve">&gt;</w:t>
      </w:r>
    </w:p>
    <w:p>
      <w:pPr>
        <w:pStyle w:val="BodyText"/>
      </w:pPr>
      <w:r>
        <w:t xml:space="preserve">i.e. As-Installed Baseline Report</w:t>
      </w:r>
    </w:p>
    <w:p>
      <w:pPr>
        <w:pStyle w:val="BodyText"/>
      </w:pPr>
      <w:r>
        <w:t xml:space="preserve">i.e. Baseline report reflecting disposal status</w:t>
      </w:r>
    </w:p>
    <w:p>
      <w:pPr>
        <w:pStyle w:val="BodyText"/>
      </w:pPr>
      <w:r>
        <w:t xml:space="preserve">i.e. Updated CMP</w:t>
      </w:r>
    </w:p>
    <w:bookmarkEnd w:id="139"/>
    <w:bookmarkEnd w:id="140"/>
    <w:bookmarkStart w:id="153" w:name="platform-configuration-management"/>
    <w:p>
      <w:pPr>
        <w:pStyle w:val="Heading1"/>
      </w:pPr>
      <w:r>
        <w:rPr>
          <w:bCs/>
          <w:b/>
        </w:rPr>
        <w:t xml:space="preserve">6.0 Platform Configuration Management</w:t>
      </w:r>
    </w:p>
    <w:p>
      <w:pPr>
        <w:pStyle w:val="FirstParagraph"/>
      </w:pPr>
      <w:r>
        <w:rPr>
          <w:iCs/>
          <w:i/>
        </w:rPr>
        <w:t xml:space="preserve">&lt;</w:t>
      </w:r>
      <w:r>
        <w:rPr>
          <w:bCs/>
          <w:b/>
          <w:iCs/>
          <w:i/>
        </w:rPr>
        <w:t xml:space="preserve">The platform CM tasks and deliverables below apply in addition to any external process that may be required. Delete this section if no platform role applies.</w:t>
      </w:r>
      <w:r>
        <w:rPr>
          <w:iCs/>
          <w:i/>
        </w:rPr>
        <w:t xml:space="preserve">&gt;</w:t>
      </w:r>
    </w:p>
    <w:bookmarkStart w:id="141" w:name="configuration-data-transition-cm-tasks"/>
    <w:p>
      <w:pPr>
        <w:pStyle w:val="Heading2"/>
      </w:pPr>
      <w:r>
        <w:rPr>
          <w:bCs/>
          <w:b/>
        </w:rPr>
        <w:t xml:space="preserve">6.1 Configuration Data Transition CM Tasks</w:t>
      </w:r>
    </w:p>
    <w:p>
      <w:pPr>
        <w:pStyle w:val="FirstParagraph"/>
      </w:pPr>
      <w:r>
        <w:rPr>
          <w:iCs/>
          <w:i/>
        </w:rPr>
        <w:t xml:space="preserve">&lt;</w:t>
      </w:r>
      <w:r>
        <w:rPr>
          <w:bCs/>
          <w:b/>
          <w:iCs/>
          <w:i/>
        </w:rPr>
        <w:t xml:space="preserve">List each CM task for this phase with a one-sentence description</w:t>
      </w:r>
      <w:r>
        <w:rPr>
          <w:iCs/>
          <w:i/>
        </w:rPr>
        <w:t xml:space="preserve">&gt;</w:t>
      </w:r>
    </w:p>
    <w:p>
      <w:pPr>
        <w:pStyle w:val="BodyText"/>
      </w:pPr>
      <w:r>
        <w:t xml:space="preserve">i.e. Collect planning and requirement documents</w:t>
      </w:r>
    </w:p>
    <w:p>
      <w:pPr>
        <w:pStyle w:val="BodyText"/>
      </w:pPr>
      <w:r>
        <w:t xml:space="preserve">i.e. Create advanced coordinated fielding plan</w:t>
      </w:r>
    </w:p>
    <w:p>
      <w:pPr>
        <w:pStyle w:val="BodyText"/>
      </w:pPr>
      <w:r>
        <w:t xml:space="preserve">i.e. Verify data and document management information</w:t>
      </w:r>
    </w:p>
    <w:bookmarkEnd w:id="141"/>
    <w:bookmarkStart w:id="142" w:name="Xf0346a703f1ba6bc5bb9b0fa9abe475a79eb2c1"/>
    <w:p>
      <w:pPr>
        <w:pStyle w:val="Heading2"/>
      </w:pPr>
      <w:r>
        <w:rPr>
          <w:bCs/>
          <w:b/>
        </w:rPr>
        <w:t xml:space="preserve">6.2 Configuration Data Transition CM Deliverables</w:t>
      </w:r>
    </w:p>
    <w:p>
      <w:pPr>
        <w:pStyle w:val="FirstParagraph"/>
      </w:pPr>
      <w:r>
        <w:rPr>
          <w:iCs/>
          <w:i/>
        </w:rPr>
        <w:t xml:space="preserve">&lt;</w:t>
      </w:r>
      <w:r>
        <w:rPr>
          <w:bCs/>
          <w:b/>
          <w:iCs/>
          <w:i/>
        </w:rPr>
        <w:t xml:space="preserve">List each CM deliverable for this phase with a one-sentence description</w:t>
      </w:r>
      <w:r>
        <w:rPr>
          <w:iCs/>
          <w:i/>
        </w:rPr>
        <w:t xml:space="preserve">&gt;</w:t>
      </w:r>
    </w:p>
    <w:p>
      <w:pPr>
        <w:pStyle w:val="BodyText"/>
      </w:pPr>
      <w:r>
        <w:t xml:space="preserve">i.e. Planning and requirement document library</w:t>
      </w:r>
    </w:p>
    <w:p>
      <w:pPr>
        <w:pStyle w:val="BodyText"/>
      </w:pPr>
      <w:r>
        <w:t xml:space="preserve">i.e. Advanced coordinated fielding plan</w:t>
      </w:r>
    </w:p>
    <w:p>
      <w:pPr>
        <w:pStyle w:val="BodyText"/>
      </w:pPr>
      <w:r>
        <w:t xml:space="preserve">i.e. Data and document management information</w:t>
      </w:r>
    </w:p>
    <w:bookmarkEnd w:id="142"/>
    <w:bookmarkStart w:id="143" w:name="baseline-management-cm-tasks"/>
    <w:p>
      <w:pPr>
        <w:pStyle w:val="Heading2"/>
      </w:pPr>
      <w:r>
        <w:rPr>
          <w:bCs/>
          <w:b/>
        </w:rPr>
        <w:t xml:space="preserve">6.3 Baseline Management CM Tasks</w:t>
      </w:r>
    </w:p>
    <w:p>
      <w:pPr>
        <w:pStyle w:val="FirstParagraph"/>
      </w:pPr>
      <w:r>
        <w:rPr>
          <w:iCs/>
          <w:i/>
        </w:rPr>
        <w:t xml:space="preserve">&lt;</w:t>
      </w:r>
      <w:r>
        <w:rPr>
          <w:bCs/>
          <w:b/>
          <w:iCs/>
          <w:i/>
        </w:rPr>
        <w:t xml:space="preserve">List each CM task for this phase with a one-sentence description</w:t>
      </w:r>
      <w:r>
        <w:rPr>
          <w:iCs/>
          <w:i/>
        </w:rPr>
        <w:t xml:space="preserve">&gt;</w:t>
      </w:r>
    </w:p>
    <w:p>
      <w:pPr>
        <w:pStyle w:val="BodyText"/>
      </w:pPr>
      <w:r>
        <w:t xml:space="preserve">i.e. Create platform baseline</w:t>
      </w:r>
    </w:p>
    <w:p>
      <w:pPr>
        <w:pStyle w:val="BodyText"/>
      </w:pPr>
      <w:r>
        <w:t xml:space="preserve">i.e. Process change requests against platform baseline</w:t>
      </w:r>
    </w:p>
    <w:bookmarkEnd w:id="143"/>
    <w:bookmarkStart w:id="144" w:name="baseline-management-cm-deliverables"/>
    <w:p>
      <w:pPr>
        <w:pStyle w:val="Heading2"/>
      </w:pPr>
      <w:r>
        <w:rPr>
          <w:bCs/>
          <w:b/>
        </w:rPr>
        <w:t xml:space="preserve">6.4 Baseline Management CM Deliverables</w:t>
      </w:r>
    </w:p>
    <w:p>
      <w:pPr>
        <w:pStyle w:val="FirstParagraph"/>
      </w:pPr>
      <w:r>
        <w:rPr>
          <w:iCs/>
          <w:i/>
        </w:rPr>
        <w:t xml:space="preserve">&lt;</w:t>
      </w:r>
      <w:r>
        <w:rPr>
          <w:bCs/>
          <w:b/>
          <w:iCs/>
          <w:i/>
        </w:rPr>
        <w:t xml:space="preserve">List each CM deliverable for this phase with a one-sentence description</w:t>
      </w:r>
      <w:r>
        <w:rPr>
          <w:iCs/>
          <w:i/>
        </w:rPr>
        <w:t xml:space="preserve">&gt;</w:t>
      </w:r>
    </w:p>
    <w:p>
      <w:pPr>
        <w:pStyle w:val="BodyText"/>
      </w:pPr>
      <w:r>
        <w:t xml:space="preserve">i.e. Platform Baseline Report</w:t>
      </w:r>
    </w:p>
    <w:p>
      <w:pPr>
        <w:pStyle w:val="BodyText"/>
      </w:pPr>
      <w:r>
        <w:t xml:space="preserve">i.e. Change request log</w:t>
      </w:r>
    </w:p>
    <w:bookmarkEnd w:id="144"/>
    <w:bookmarkStart w:id="145" w:name="release-management-cm-tasks"/>
    <w:p>
      <w:pPr>
        <w:pStyle w:val="Heading2"/>
      </w:pPr>
      <w:r>
        <w:rPr>
          <w:bCs/>
          <w:b/>
        </w:rPr>
        <w:t xml:space="preserve">6.5 Release Management CM Tasks</w:t>
      </w:r>
    </w:p>
    <w:p>
      <w:pPr>
        <w:pStyle w:val="FirstParagraph"/>
      </w:pPr>
      <w:r>
        <w:rPr>
          <w:iCs/>
          <w:i/>
        </w:rPr>
        <w:t xml:space="preserve">&lt;</w:t>
      </w:r>
      <w:r>
        <w:rPr>
          <w:bCs/>
          <w:b/>
          <w:iCs/>
          <w:i/>
        </w:rPr>
        <w:t xml:space="preserve">List each CM task for this phase with a one-sentence description</w:t>
      </w:r>
      <w:r>
        <w:rPr>
          <w:iCs/>
          <w:i/>
        </w:rPr>
        <w:t xml:space="preserve">&gt;</w:t>
      </w:r>
    </w:p>
    <w:p>
      <w:pPr>
        <w:pStyle w:val="BodyText"/>
      </w:pPr>
      <w:r>
        <w:t xml:space="preserve">i.e. Verify release package content</w:t>
      </w:r>
    </w:p>
    <w:p>
      <w:pPr>
        <w:pStyle w:val="BodyText"/>
      </w:pPr>
      <w:r>
        <w:t xml:space="preserve">i.e. Release approved baseline changes via the documented engineering release system (F13)</w:t>
      </w:r>
    </w:p>
    <w:bookmarkEnd w:id="145"/>
    <w:bookmarkStart w:id="146" w:name="release-management-cm-deliverables"/>
    <w:p>
      <w:pPr>
        <w:pStyle w:val="Heading2"/>
      </w:pPr>
      <w:r>
        <w:rPr>
          <w:bCs/>
          <w:b/>
        </w:rPr>
        <w:t xml:space="preserve">6.6 Release Management CM Deliverables</w:t>
      </w:r>
    </w:p>
    <w:p>
      <w:pPr>
        <w:pStyle w:val="FirstParagraph"/>
      </w:pPr>
      <w:r>
        <w:rPr>
          <w:iCs/>
          <w:i/>
        </w:rPr>
        <w:t xml:space="preserve">&lt;</w:t>
      </w:r>
      <w:r>
        <w:rPr>
          <w:bCs/>
          <w:b/>
          <w:iCs/>
          <w:i/>
        </w:rPr>
        <w:t xml:space="preserve">List each CM deliverable for this phase with a one-sentence description</w:t>
      </w:r>
      <w:r>
        <w:rPr>
          <w:iCs/>
          <w:i/>
        </w:rPr>
        <w:t xml:space="preserve">&gt;</w:t>
      </w:r>
    </w:p>
    <w:p>
      <w:pPr>
        <w:pStyle w:val="BodyText"/>
      </w:pPr>
      <w:r>
        <w:t xml:space="preserve">i.e. Release records with before/after revision traceability (F23)</w:t>
      </w:r>
    </w:p>
    <w:bookmarkEnd w:id="146"/>
    <w:bookmarkStart w:id="147" w:name="installation-management-cm-tasks"/>
    <w:p>
      <w:pPr>
        <w:pStyle w:val="Heading2"/>
      </w:pPr>
      <w:r>
        <w:rPr>
          <w:bCs/>
          <w:b/>
        </w:rPr>
        <w:t xml:space="preserve">6.7 Installation Management CM Tasks</w:t>
      </w:r>
    </w:p>
    <w:p>
      <w:pPr>
        <w:pStyle w:val="FirstParagraph"/>
      </w:pPr>
      <w:r>
        <w:rPr>
          <w:iCs/>
          <w:i/>
        </w:rPr>
        <w:t xml:space="preserve">&lt;</w:t>
      </w:r>
      <w:r>
        <w:rPr>
          <w:bCs/>
          <w:b/>
          <w:iCs/>
          <w:i/>
        </w:rPr>
        <w:t xml:space="preserve">List each CM task for this phase with a one-sentence description</w:t>
      </w:r>
      <w:r>
        <w:rPr>
          <w:iCs/>
          <w:i/>
        </w:rPr>
        <w:t xml:space="preserve">&gt;</w:t>
      </w:r>
    </w:p>
    <w:p>
      <w:pPr>
        <w:pStyle w:val="BodyText"/>
      </w:pPr>
      <w:r>
        <w:t xml:space="preserve">i.e. Track installation status</w:t>
      </w:r>
    </w:p>
    <w:p>
      <w:pPr>
        <w:pStyle w:val="BodyText"/>
      </w:pPr>
      <w:r>
        <w:t xml:space="preserve">i.e. Verify proper parts installed against approved configuration (F30)</w:t>
      </w:r>
    </w:p>
    <w:bookmarkEnd w:id="147"/>
    <w:bookmarkStart w:id="148" w:name="installation-management-cm-deliverables"/>
    <w:p>
      <w:pPr>
        <w:pStyle w:val="Heading2"/>
      </w:pPr>
      <w:r>
        <w:rPr>
          <w:bCs/>
          <w:b/>
        </w:rPr>
        <w:t xml:space="preserve">6.8 Installation Management CM Deliverables</w:t>
      </w:r>
    </w:p>
    <w:p>
      <w:pPr>
        <w:pStyle w:val="FirstParagraph"/>
      </w:pPr>
      <w:r>
        <w:rPr>
          <w:iCs/>
          <w:i/>
        </w:rPr>
        <w:t xml:space="preserve">&lt;</w:t>
      </w:r>
      <w:r>
        <w:rPr>
          <w:bCs/>
          <w:b/>
          <w:iCs/>
          <w:i/>
        </w:rPr>
        <w:t xml:space="preserve">List each CM deliverable for this phase with a one-sentence description</w:t>
      </w:r>
      <w:r>
        <w:rPr>
          <w:iCs/>
          <w:i/>
        </w:rPr>
        <w:t xml:space="preserve">&gt;</w:t>
      </w:r>
    </w:p>
    <w:p>
      <w:pPr>
        <w:pStyle w:val="BodyText"/>
      </w:pPr>
      <w:r>
        <w:t xml:space="preserve">i.e. Installation status records</w:t>
      </w:r>
    </w:p>
    <w:p>
      <w:pPr>
        <w:pStyle w:val="BodyText"/>
      </w:pPr>
      <w:r>
        <w:t xml:space="preserve">i.e. As-installed discrepancy report</w:t>
      </w:r>
    </w:p>
    <w:bookmarkEnd w:id="148"/>
    <w:bookmarkStart w:id="149" w:name="sustainment-cm-tasks"/>
    <w:p>
      <w:pPr>
        <w:pStyle w:val="Heading2"/>
      </w:pPr>
      <w:r>
        <w:rPr>
          <w:bCs/>
          <w:b/>
        </w:rPr>
        <w:t xml:space="preserve">6.9 Sustainment CM Tasks</w:t>
      </w:r>
    </w:p>
    <w:p>
      <w:pPr>
        <w:pStyle w:val="FirstParagraph"/>
      </w:pPr>
      <w:r>
        <w:rPr>
          <w:iCs/>
          <w:i/>
        </w:rPr>
        <w:t xml:space="preserve">&lt;</w:t>
      </w:r>
      <w:r>
        <w:rPr>
          <w:bCs/>
          <w:b/>
          <w:iCs/>
          <w:i/>
        </w:rPr>
        <w:t xml:space="preserve">List each CM task for this phase with a one-sentence description</w:t>
      </w:r>
      <w:r>
        <w:rPr>
          <w:iCs/>
          <w:i/>
        </w:rPr>
        <w:t xml:space="preserve">&gt;</w:t>
      </w:r>
    </w:p>
    <w:p>
      <w:pPr>
        <w:pStyle w:val="BodyText"/>
      </w:pPr>
      <w:r>
        <w:t xml:space="preserve">i.e. Monitor platform baseline</w:t>
      </w:r>
    </w:p>
    <w:p>
      <w:pPr>
        <w:pStyle w:val="BodyText"/>
      </w:pPr>
      <w:r>
        <w:t xml:space="preserve">i.e. Participate in platform configuration audit</w:t>
      </w:r>
    </w:p>
    <w:p>
      <w:pPr>
        <w:pStyle w:val="BodyText"/>
      </w:pPr>
      <w:r>
        <w:t xml:space="preserve">i.e. Review platform CSA records</w:t>
      </w:r>
    </w:p>
    <w:bookmarkEnd w:id="149"/>
    <w:bookmarkStart w:id="150" w:name="sustainment-cm-deliverables"/>
    <w:p>
      <w:pPr>
        <w:pStyle w:val="Heading2"/>
      </w:pPr>
      <w:r>
        <w:rPr>
          <w:bCs/>
          <w:b/>
        </w:rPr>
        <w:t xml:space="preserve">6.10 Sustainment CM Deliverables</w:t>
      </w:r>
    </w:p>
    <w:p>
      <w:pPr>
        <w:pStyle w:val="FirstParagraph"/>
      </w:pPr>
      <w:r>
        <w:rPr>
          <w:iCs/>
          <w:i/>
        </w:rPr>
        <w:t xml:space="preserve">&lt;</w:t>
      </w:r>
      <w:r>
        <w:rPr>
          <w:bCs/>
          <w:b/>
          <w:iCs/>
          <w:i/>
        </w:rPr>
        <w:t xml:space="preserve">List each CM deliverable for this phase with a one-sentence description</w:t>
      </w:r>
      <w:r>
        <w:rPr>
          <w:iCs/>
          <w:i/>
        </w:rPr>
        <w:t xml:space="preserve">&gt;</w:t>
      </w:r>
    </w:p>
    <w:p>
      <w:pPr>
        <w:pStyle w:val="BodyText"/>
      </w:pPr>
      <w:r>
        <w:t xml:space="preserve">i.e. Platform baseline discrepancy report</w:t>
      </w:r>
    </w:p>
    <w:p>
      <w:pPr>
        <w:pStyle w:val="BodyText"/>
      </w:pPr>
      <w:r>
        <w:t xml:space="preserve">i.e. Platform configuration audit report</w:t>
      </w:r>
    </w:p>
    <w:p>
      <w:pPr>
        <w:pStyle w:val="BodyText"/>
      </w:pPr>
      <w:r>
        <w:t xml:space="preserve">i.e. Platform CSA records</w:t>
      </w:r>
    </w:p>
    <w:bookmarkEnd w:id="150"/>
    <w:bookmarkStart w:id="151" w:name="disposal-cm-tasks"/>
    <w:p>
      <w:pPr>
        <w:pStyle w:val="Heading2"/>
      </w:pPr>
      <w:r>
        <w:rPr>
          <w:bCs/>
          <w:b/>
        </w:rPr>
        <w:t xml:space="preserve">6.11 Disposal CM Tasks</w:t>
      </w:r>
    </w:p>
    <w:p>
      <w:pPr>
        <w:pStyle w:val="FirstParagraph"/>
      </w:pPr>
      <w:r>
        <w:rPr>
          <w:iCs/>
          <w:i/>
        </w:rPr>
        <w:t xml:space="preserve">&lt;</w:t>
      </w:r>
      <w:r>
        <w:rPr>
          <w:bCs/>
          <w:b/>
          <w:iCs/>
          <w:i/>
        </w:rPr>
        <w:t xml:space="preserve">List each CM task for this phase with a one-sentence description</w:t>
      </w:r>
      <w:r>
        <w:rPr>
          <w:iCs/>
          <w:i/>
        </w:rPr>
        <w:t xml:space="preserve">&gt;</w:t>
      </w:r>
    </w:p>
    <w:p>
      <w:pPr>
        <w:pStyle w:val="BodyText"/>
      </w:pPr>
      <w:r>
        <w:t xml:space="preserve">i.e. Create change request for end of life</w:t>
      </w:r>
    </w:p>
    <w:p>
      <w:pPr>
        <w:pStyle w:val="BodyText"/>
      </w:pPr>
      <w:r>
        <w:t xml:space="preserve">i.e. Update the platform baseline</w:t>
      </w:r>
    </w:p>
    <w:p>
      <w:pPr>
        <w:pStyle w:val="BodyText"/>
      </w:pPr>
      <w:r>
        <w:t xml:space="preserve">i.e. Update platform CSA records</w:t>
      </w:r>
    </w:p>
    <w:bookmarkEnd w:id="151"/>
    <w:bookmarkStart w:id="152" w:name="disposal-cm-deliverables"/>
    <w:p>
      <w:pPr>
        <w:pStyle w:val="Heading2"/>
      </w:pPr>
      <w:r>
        <w:rPr>
          <w:bCs/>
          <w:b/>
        </w:rPr>
        <w:t xml:space="preserve">6.12 Disposal CM Deliverables</w:t>
      </w:r>
    </w:p>
    <w:p>
      <w:pPr>
        <w:pStyle w:val="FirstParagraph"/>
      </w:pPr>
      <w:r>
        <w:rPr>
          <w:iCs/>
          <w:i/>
        </w:rPr>
        <w:t xml:space="preserve">&lt;</w:t>
      </w:r>
      <w:r>
        <w:rPr>
          <w:bCs/>
          <w:b/>
          <w:iCs/>
          <w:i/>
        </w:rPr>
        <w:t xml:space="preserve">List each CM deliverable for this phase with a one-sentence description</w:t>
      </w:r>
      <w:r>
        <w:rPr>
          <w:iCs/>
          <w:i/>
        </w:rPr>
        <w:t xml:space="preserve">&gt;</w:t>
      </w:r>
    </w:p>
    <w:p>
      <w:pPr>
        <w:pStyle w:val="BodyText"/>
      </w:pPr>
      <w:r>
        <w:t xml:space="preserve">i.e. Alteration completion report</w:t>
      </w:r>
    </w:p>
    <w:p>
      <w:pPr>
        <w:pStyle w:val="BodyText"/>
      </w:pPr>
      <w:r>
        <w:t xml:space="preserve">i.e. Platform baseline report</w:t>
      </w:r>
    </w:p>
    <w:p>
      <w:pPr>
        <w:pStyle w:val="BodyText"/>
      </w:pPr>
      <w:r>
        <w:t xml:space="preserve">i.e. Platform CSA records</w:t>
      </w:r>
    </w:p>
    <w:bookmarkEnd w:id="152"/>
    <w:bookmarkEnd w:id="153"/>
    <w:bookmarkStart w:id="158" w:name="Xaa24833f547dba13918f7f6632f8388929a8b75"/>
    <w:p>
      <w:pPr>
        <w:pStyle w:val="Heading1"/>
      </w:pPr>
      <w:r>
        <w:rPr>
          <w:bCs/>
          <w:b/>
        </w:rPr>
        <w:t xml:space="preserve">7.0 Implementation of Safety Barrier CM Requirements</w:t>
      </w:r>
    </w:p>
    <w:p>
      <w:pPr>
        <w:pStyle w:val="FirstParagraph"/>
      </w:pPr>
      <w:r>
        <w:t xml:space="preserve">This section states how the CM requirements that serve as safety barriers are implemented. Each is a discrete EIA-649-1A (Rev. A)</w:t>
      </w:r>
      <w:r>
        <w:t xml:space="preserve"> </w:t>
      </w:r>
      <w:r>
        <w:t xml:space="preserve">“</w:t>
      </w:r>
      <w:r>
        <w:t xml:space="preserve">shall</w:t>
      </w:r>
      <w:r>
        <w:t xml:space="preserve">”</w:t>
      </w:r>
      <w:r>
        <w:t xml:space="preserve"> </w:t>
      </w:r>
      <w:r>
        <w:t xml:space="preserve">statement traceable to the hazard it controls. These requirements are performed on all safety-significant product lines, or are satisfied by documented equivalent controls approved by</w:t>
      </w:r>
      <w:r>
        <w:t xml:space="preserve"> </w:t>
      </w:r>
      <w:r>
        <w:t xml:space="preserve">. Requirement text below is paraphrased for reference by EIA-649-1A clause; the governing text is the standard itself (EIA-649-1A, SAE, issued Nov 2014, revised Aug 2020). Inclusion categories: Clean, Judgment, Conditional (see Section 1.4 and Appendix Q).</w:t>
      </w:r>
    </w:p>
    <w:p>
      <w:pPr>
        <w:pStyle w:val="BodyText"/>
      </w:pPr>
      <w:r>
        <w:t xml:space="preserve">*&lt;**Source: [organizational register name] version ___ dated ___. Reconcile this section and Appendix Q against that register at each CMP revision and whenever the register is reissued; record the reconciliation date below.**&gt;*</w:t>
      </w:r>
    </w:p>
    <w:p>
      <w:pPr>
        <w:pStyle w:val="BodyText"/>
      </w:pPr>
      <w:r>
        <w:rPr>
          <w:iCs/>
          <w:i/>
        </w:rPr>
        <w:t xml:space="preserve">&lt;</w:t>
      </w:r>
      <w:r>
        <w:rPr>
          <w:bCs/>
          <w:b/>
          <w:iCs/>
          <w:i/>
        </w:rPr>
        <w:t xml:space="preserve">For every row: complete the Implementation column with the process, tool, and responsible role that satisfies the clause, or cite the approved documented equivalent control. Where the inclusion category is Judgment, record the judgment made; where Conditional, record the triggering condition and whether it obtains on this program. Do not delete rows.</w:t>
      </w:r>
      <w:r>
        <w:rPr>
          <w:iCs/>
          <w:i/>
        </w:rPr>
        <w:t xml:space="preserve">&gt;</w:t>
      </w:r>
    </w:p>
    <w:p>
      <w:pPr>
        <w:pStyle w:val="BodyText"/>
      </w:pPr>
      <w:r>
        <w:rPr>
          <w:iCs/>
          <w:i/>
        </w:rPr>
        <w:t xml:space="preserve">&lt;</w:t>
      </w:r>
      <w:r>
        <w:rPr>
          <w:bCs/>
          <w:b/>
          <w:iCs/>
          <w:i/>
        </w:rPr>
        <w:t xml:space="preserve">The Implementation column states how the requirement is met. It is not the disposition record. Disposition status, equivalent-control approvals, health checks and any risk acceptance are recorded in the disposition record identified in 1.4 and are not reproduced here. Where a requirement is not performed on this program, state the equivalent control or cite the disposition record reference — do not record a risk acceptance in this table.</w:t>
      </w:r>
      <w:r>
        <w:rPr>
          <w:iCs/>
          <w:i/>
        </w:rPr>
        <w:t xml:space="preserve">&gt;</w:t>
      </w:r>
    </w:p>
    <w:bookmarkStart w:id="154" w:name="X8870a6e40e842253a7eceb956ac680f112f43ce"/>
    <w:p>
      <w:pPr>
        <w:pStyle w:val="Heading2"/>
      </w:pPr>
      <w:r>
        <w:rPr>
          <w:bCs/>
          <w:b/>
        </w:rPr>
        <w:t xml:space="preserve">7.1 Cluster 1: Hazard ID &amp;</w:t>
      </w:r>
      <w:r>
        <w:t xml:space="preserve">** Critical-Item Recognition**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Barrier Req. ID</w:t>
            </w:r>
          </w:p>
        </w:tc>
        <w:tc>
          <w:tcPr/>
          <w:p>
            <w:pPr>
              <w:pStyle w:val="Compact"/>
              <w:jc w:val="left"/>
            </w:pPr>
            <w:r>
              <w:rPr>
                <w:bCs/>
                <w:b/>
              </w:rPr>
              <w:t xml:space="preserve">EIA-649-1A Clause</w:t>
            </w:r>
          </w:p>
        </w:tc>
        <w:tc>
          <w:tcPr/>
          <w:p>
            <w:pPr>
              <w:pStyle w:val="Compact"/>
              <w:jc w:val="left"/>
            </w:pPr>
            <w:r>
              <w:rPr>
                <w:bCs/>
                <w:b/>
              </w:rPr>
              <w:t xml:space="preserve">Requirement (paraphrased — governing text is EIA-649-1A)</w:t>
            </w:r>
          </w:p>
        </w:tc>
        <w:tc>
          <w:tcPr/>
          <w:p>
            <w:pPr>
              <w:pStyle w:val="Compact"/>
              <w:jc w:val="left"/>
            </w:pPr>
            <w:r>
              <w:rPr>
                <w:bCs/>
                <w:b/>
              </w:rPr>
              <w:t xml:space="preserve">Inclusion</w:t>
            </w:r>
          </w:p>
        </w:tc>
        <w:tc>
          <w:tcPr/>
          <w:p>
            <w:pPr>
              <w:pStyle w:val="Compact"/>
              <w:jc w:val="left"/>
            </w:pPr>
            <w:r>
              <w:rPr>
                <w:bCs/>
                <w:b/>
              </w:rPr>
              <w:t xml:space="preserve">Implementation in this CMP</w:t>
            </w:r>
          </w:p>
        </w:tc>
      </w:tr>
      <w:tr>
        <w:tc>
          <w:tcPr/>
          <w:p>
            <w:pPr>
              <w:pStyle w:val="Compact"/>
              <w:jc w:val="left"/>
            </w:pPr>
            <w:r>
              <w:t xml:space="preserve">F01</w:t>
            </w:r>
          </w:p>
        </w:tc>
        <w:tc>
          <w:tcPr/>
          <w:p>
            <w:pPr>
              <w:pStyle w:val="Compact"/>
              <w:jc w:val="left"/>
            </w:pPr>
            <w:r>
              <w:t xml:space="preserve">3.2.1(2)(b)</w:t>
            </w:r>
          </w:p>
        </w:tc>
        <w:tc>
          <w:tcPr/>
          <w:p>
            <w:pPr>
              <w:pStyle w:val="Compact"/>
              <w:jc w:val="left"/>
            </w:pPr>
            <w:r>
              <w:t xml:space="preserve">Identify as a CI any item whose failure could cause serious injury, loss of life, or loss of primary system capability</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2.3 Configuration Identification</w:t>
            </w:r>
          </w:p>
        </w:tc>
      </w:tr>
      <w:tr>
        <w:tc>
          <w:tcPr/>
          <w:p>
            <w:pPr>
              <w:pStyle w:val="Compact"/>
              <w:jc w:val="left"/>
            </w:pPr>
            <w:r>
              <w:t xml:space="preserve">F02</w:t>
            </w:r>
          </w:p>
        </w:tc>
        <w:tc>
          <w:tcPr/>
          <w:p>
            <w:pPr>
              <w:pStyle w:val="Compact"/>
              <w:jc w:val="left"/>
            </w:pPr>
            <w:r>
              <w:t xml:space="preserve">3.3.1.2(1)</w:t>
            </w:r>
          </w:p>
        </w:tc>
        <w:tc>
          <w:tcPr/>
          <w:p>
            <w:pPr>
              <w:pStyle w:val="Compact"/>
              <w:jc w:val="left"/>
            </w:pPr>
            <w:r>
              <w:t xml:space="preserve">Classify every engineering change as Major (Class I) or Minor (Class II)</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w:t>
            </w:r>
          </w:p>
        </w:tc>
      </w:tr>
      <w:tr>
        <w:tc>
          <w:tcPr/>
          <w:p>
            <w:pPr>
              <w:pStyle w:val="Compact"/>
              <w:jc w:val="left"/>
            </w:pPr>
            <w:r>
              <w:t xml:space="preserve">F03</w:t>
            </w:r>
          </w:p>
        </w:tc>
        <w:tc>
          <w:tcPr/>
          <w:p>
            <w:pPr>
              <w:pStyle w:val="Compact"/>
              <w:jc w:val="left"/>
            </w:pPr>
            <w:r>
              <w:t xml:space="preserve">3.3.1.2(2)(e)(6)(a)</w:t>
            </w:r>
          </w:p>
        </w:tc>
        <w:tc>
          <w:tcPr/>
          <w:p>
            <w:pPr>
              <w:pStyle w:val="Compact"/>
              <w:jc w:val="left"/>
            </w:pPr>
            <w:r>
              <w:t xml:space="preserve">Treat changes affecting safety as Major (Class I)</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w:t>
            </w:r>
          </w:p>
        </w:tc>
      </w:tr>
      <w:tr>
        <w:tc>
          <w:tcPr/>
          <w:p>
            <w:pPr>
              <w:pStyle w:val="Compact"/>
              <w:jc w:val="left"/>
            </w:pPr>
            <w:r>
              <w:t xml:space="preserve">F04</w:t>
            </w:r>
          </w:p>
        </w:tc>
        <w:tc>
          <w:tcPr/>
          <w:p>
            <w:pPr>
              <w:pStyle w:val="Compact"/>
              <w:jc w:val="left"/>
            </w:pPr>
            <w:r>
              <w:t xml:space="preserve">3.3(3)</w:t>
            </w:r>
          </w:p>
        </w:tc>
        <w:tc>
          <w:tcPr/>
          <w:p>
            <w:pPr>
              <w:pStyle w:val="Compact"/>
              <w:jc w:val="left"/>
            </w:pPr>
            <w:r>
              <w:t xml:space="preserve">Support a joint Acquirer/Supplier Configuration Control Board</w:t>
            </w:r>
          </w:p>
        </w:tc>
        <w:tc>
          <w:tcPr/>
          <w:p>
            <w:pPr>
              <w:pStyle w:val="Compact"/>
              <w:jc w:val="left"/>
            </w:pPr>
            <w:r>
              <w:t xml:space="preserve">Judgment</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 3.2 Acquirer–Supplier</w:t>
            </w:r>
          </w:p>
        </w:tc>
      </w:tr>
      <w:tr>
        <w:tc>
          <w:tcPr/>
          <w:p>
            <w:pPr>
              <w:pStyle w:val="Compact"/>
              <w:jc w:val="left"/>
            </w:pPr>
            <w:r>
              <w:t xml:space="preserve">F05</w:t>
            </w:r>
          </w:p>
        </w:tc>
        <w:tc>
          <w:tcPr/>
          <w:p>
            <w:pPr>
              <w:pStyle w:val="Compact"/>
              <w:jc w:val="left"/>
            </w:pPr>
            <w:r>
              <w:t xml:space="preserve">3.3.1.8.1(1)</w:t>
            </w:r>
          </w:p>
        </w:tc>
        <w:tc>
          <w:tcPr/>
          <w:p>
            <w:pPr>
              <w:pStyle w:val="Compact"/>
              <w:jc w:val="left"/>
            </w:pPr>
            <w:r>
              <w:t xml:space="preserve">Obtain Acquirer concurrence on Minor (Class II) classification</w:t>
            </w:r>
          </w:p>
        </w:tc>
        <w:tc>
          <w:tcPr/>
          <w:p>
            <w:pPr>
              <w:pStyle w:val="Compact"/>
              <w:jc w:val="left"/>
            </w:pPr>
            <w:r>
              <w:t xml:space="preserve">Judgment</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w:t>
            </w:r>
          </w:p>
        </w:tc>
      </w:tr>
    </w:tbl>
    <w:bookmarkEnd w:id="154"/>
    <w:bookmarkStart w:id="155" w:name="X54c0910c3e3625a38d567152c89876e75b5ba7c"/>
    <w:p>
      <w:pPr>
        <w:pStyle w:val="Heading2"/>
      </w:pPr>
      <w:r>
        <w:rPr>
          <w:bCs/>
          <w:b/>
        </w:rPr>
        <w:t xml:space="preserve">7.2 Cluster 2: Change Discipline &amp;</w:t>
      </w:r>
      <w:r>
        <w:t xml:space="preserve">** Impact Assessment**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Barrier Req. ID</w:t>
            </w:r>
          </w:p>
        </w:tc>
        <w:tc>
          <w:tcPr/>
          <w:p>
            <w:pPr>
              <w:pStyle w:val="Compact"/>
              <w:jc w:val="left"/>
            </w:pPr>
            <w:r>
              <w:rPr>
                <w:bCs/>
                <w:b/>
              </w:rPr>
              <w:t xml:space="preserve">EIA-649-1A Clause</w:t>
            </w:r>
          </w:p>
        </w:tc>
        <w:tc>
          <w:tcPr/>
          <w:p>
            <w:pPr>
              <w:pStyle w:val="Compact"/>
              <w:jc w:val="left"/>
            </w:pPr>
            <w:r>
              <w:rPr>
                <w:bCs/>
                <w:b/>
              </w:rPr>
              <w:t xml:space="preserve">Requirement (paraphrased — governing text is EIA-649-1A)</w:t>
            </w:r>
          </w:p>
        </w:tc>
        <w:tc>
          <w:tcPr/>
          <w:p>
            <w:pPr>
              <w:pStyle w:val="Compact"/>
              <w:jc w:val="left"/>
            </w:pPr>
            <w:r>
              <w:rPr>
                <w:bCs/>
                <w:b/>
              </w:rPr>
              <w:t xml:space="preserve">Inclusion</w:t>
            </w:r>
          </w:p>
        </w:tc>
        <w:tc>
          <w:tcPr/>
          <w:p>
            <w:pPr>
              <w:pStyle w:val="Compact"/>
              <w:jc w:val="left"/>
            </w:pPr>
            <w:r>
              <w:rPr>
                <w:bCs/>
                <w:b/>
              </w:rPr>
              <w:t xml:space="preserve">Implementation in this CMP</w:t>
            </w:r>
          </w:p>
        </w:tc>
      </w:tr>
      <w:tr>
        <w:tc>
          <w:tcPr/>
          <w:p>
            <w:pPr>
              <w:pStyle w:val="Compact"/>
              <w:jc w:val="left"/>
            </w:pPr>
            <w:r>
              <w:t xml:space="preserve">F06</w:t>
            </w:r>
          </w:p>
        </w:tc>
        <w:tc>
          <w:tcPr/>
          <w:p>
            <w:pPr>
              <w:pStyle w:val="Compact"/>
              <w:jc w:val="left"/>
            </w:pPr>
            <w:r>
              <w:t xml:space="preserve">3.3(1)</w:t>
            </w:r>
          </w:p>
        </w:tc>
        <w:tc>
          <w:tcPr/>
          <w:p>
            <w:pPr>
              <w:pStyle w:val="Compact"/>
              <w:jc w:val="left"/>
            </w:pPr>
            <w:r>
              <w:t xml:space="preserve">Apply configuration control to each CI, its components, and its documentation</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w:t>
            </w:r>
          </w:p>
        </w:tc>
      </w:tr>
      <w:tr>
        <w:tc>
          <w:tcPr/>
          <w:p>
            <w:pPr>
              <w:pStyle w:val="Compact"/>
              <w:jc w:val="left"/>
            </w:pPr>
            <w:r>
              <w:t xml:space="preserve">F07</w:t>
            </w:r>
          </w:p>
        </w:tc>
        <w:tc>
          <w:tcPr/>
          <w:p>
            <w:pPr>
              <w:pStyle w:val="Compact"/>
              <w:jc w:val="left"/>
            </w:pPr>
            <w:r>
              <w:t xml:space="preserve">3.3(2)(c)</w:t>
            </w:r>
          </w:p>
        </w:tc>
        <w:tc>
          <w:tcPr/>
          <w:p>
            <w:pPr>
              <w:pStyle w:val="Compact"/>
              <w:jc w:val="left"/>
            </w:pPr>
            <w:r>
              <w:t xml:space="preserve">Document, evaluate, disposition, record in CSA, and report changes and variances</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 2.5 CSA</w:t>
            </w:r>
          </w:p>
        </w:tc>
      </w:tr>
      <w:tr>
        <w:tc>
          <w:tcPr/>
          <w:p>
            <w:pPr>
              <w:pStyle w:val="Compact"/>
              <w:jc w:val="left"/>
            </w:pPr>
            <w:r>
              <w:t xml:space="preserve">F08</w:t>
            </w:r>
          </w:p>
        </w:tc>
        <w:tc>
          <w:tcPr/>
          <w:p>
            <w:pPr>
              <w:pStyle w:val="Compact"/>
              <w:jc w:val="left"/>
            </w:pPr>
            <w:r>
              <w:t xml:space="preserve">3.3(2)(e)</w:t>
            </w:r>
          </w:p>
        </w:tc>
        <w:tc>
          <w:tcPr/>
          <w:p>
            <w:pPr>
              <w:pStyle w:val="Compact"/>
              <w:jc w:val="left"/>
            </w:pPr>
            <w:r>
              <w:t xml:space="preserve">Incorporate approved changes into all product configuration information and implement them</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w:t>
            </w:r>
          </w:p>
        </w:tc>
      </w:tr>
      <w:tr>
        <w:tc>
          <w:tcPr/>
          <w:p>
            <w:pPr>
              <w:pStyle w:val="Compact"/>
              <w:jc w:val="left"/>
            </w:pPr>
            <w:r>
              <w:t xml:space="preserve">F09</w:t>
            </w:r>
          </w:p>
        </w:tc>
        <w:tc>
          <w:tcPr/>
          <w:p>
            <w:pPr>
              <w:pStyle w:val="Compact"/>
              <w:jc w:val="left"/>
            </w:pPr>
            <w:r>
              <w:t xml:space="preserve">3.3(2)(f)</w:t>
            </w:r>
          </w:p>
        </w:tc>
        <w:tc>
          <w:tcPr/>
          <w:p>
            <w:pPr>
              <w:pStyle w:val="Compact"/>
              <w:jc w:val="left"/>
            </w:pPr>
            <w:r>
              <w:t xml:space="preserve">Verify approved changes were incorporated</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 2.6 Verification &amp; Audit</w:t>
            </w:r>
          </w:p>
        </w:tc>
      </w:tr>
      <w:tr>
        <w:tc>
          <w:tcPr/>
          <w:p>
            <w:pPr>
              <w:pStyle w:val="Compact"/>
              <w:jc w:val="left"/>
            </w:pPr>
            <w:r>
              <w:t xml:space="preserve">F10</w:t>
            </w:r>
          </w:p>
        </w:tc>
        <w:tc>
          <w:tcPr/>
          <w:p>
            <w:pPr>
              <w:pStyle w:val="Compact"/>
              <w:jc w:val="left"/>
            </w:pPr>
            <w:r>
              <w:t xml:space="preserve">3.3.1(1)</w:t>
            </w:r>
          </w:p>
        </w:tc>
        <w:tc>
          <w:tcPr/>
          <w:p>
            <w:pPr>
              <w:pStyle w:val="Compact"/>
              <w:jc w:val="left"/>
            </w:pPr>
            <w:r>
              <w:t xml:space="preserve">Use an ECP to document baseline changes and submit to the change approval authority</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w:t>
            </w:r>
          </w:p>
        </w:tc>
      </w:tr>
      <w:tr>
        <w:tc>
          <w:tcPr/>
          <w:p>
            <w:pPr>
              <w:pStyle w:val="Compact"/>
              <w:jc w:val="left"/>
            </w:pPr>
            <w:r>
              <w:t xml:space="preserve">F11</w:t>
            </w:r>
          </w:p>
        </w:tc>
        <w:tc>
          <w:tcPr/>
          <w:p>
            <w:pPr>
              <w:pStyle w:val="Compact"/>
              <w:jc w:val="left"/>
            </w:pPr>
            <w:r>
              <w:t xml:space="preserve">3.3.1.1(1)(a)</w:t>
            </w:r>
          </w:p>
        </w:tc>
        <w:tc>
          <w:tcPr/>
          <w:p>
            <w:pPr>
              <w:pStyle w:val="Compact"/>
              <w:jc w:val="left"/>
            </w:pPr>
            <w:r>
              <w:t xml:space="preserve">Define the need for each change</w:t>
            </w:r>
          </w:p>
        </w:tc>
        <w:tc>
          <w:tcPr/>
          <w:p>
            <w:pPr>
              <w:pStyle w:val="Compact"/>
              <w:jc w:val="left"/>
            </w:pPr>
            <w:r>
              <w:t xml:space="preserve">Judgment</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w:t>
            </w:r>
          </w:p>
        </w:tc>
      </w:tr>
      <w:tr>
        <w:tc>
          <w:tcPr/>
          <w:p>
            <w:pPr>
              <w:pStyle w:val="Compact"/>
              <w:jc w:val="left"/>
            </w:pPr>
            <w:r>
              <w:t xml:space="preserve">F12</w:t>
            </w:r>
          </w:p>
        </w:tc>
        <w:tc>
          <w:tcPr/>
          <w:p>
            <w:pPr>
              <w:pStyle w:val="Compact"/>
              <w:jc w:val="left"/>
            </w:pPr>
            <w:r>
              <w:t xml:space="preserve">3.3.1.1(1)(e)</w:t>
            </w:r>
          </w:p>
        </w:tc>
        <w:tc>
          <w:tcPr/>
          <w:p>
            <w:pPr>
              <w:pStyle w:val="Compact"/>
              <w:jc w:val="left"/>
            </w:pPr>
            <w:r>
              <w:t xml:space="preserve">Incorporate the approved ECP into the configuration documentation</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w:t>
            </w:r>
          </w:p>
        </w:tc>
      </w:tr>
      <w:tr>
        <w:tc>
          <w:tcPr/>
          <w:p>
            <w:pPr>
              <w:pStyle w:val="Compact"/>
              <w:jc w:val="left"/>
            </w:pPr>
            <w:r>
              <w:t xml:space="preserve">F13</w:t>
            </w:r>
          </w:p>
        </w:tc>
        <w:tc>
          <w:tcPr/>
          <w:p>
            <w:pPr>
              <w:pStyle w:val="Compact"/>
              <w:jc w:val="left"/>
            </w:pPr>
            <w:r>
              <w:t xml:space="preserve">3.3.1.1(1)(f)</w:t>
            </w:r>
          </w:p>
        </w:tc>
        <w:tc>
          <w:tcPr/>
          <w:p>
            <w:pPr>
              <w:pStyle w:val="Compact"/>
              <w:jc w:val="left"/>
            </w:pPr>
            <w:r>
              <w:t xml:space="preserve">Implement and update documentation via a documented engineering release system</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 2.7 Data &amp; Document Management</w:t>
            </w:r>
          </w:p>
        </w:tc>
      </w:tr>
      <w:tr>
        <w:tc>
          <w:tcPr/>
          <w:p>
            <w:pPr>
              <w:pStyle w:val="Compact"/>
              <w:jc w:val="left"/>
            </w:pPr>
            <w:r>
              <w:t xml:space="preserve">F14</w:t>
            </w:r>
          </w:p>
        </w:tc>
        <w:tc>
          <w:tcPr/>
          <w:p>
            <w:pPr>
              <w:pStyle w:val="Compact"/>
              <w:jc w:val="left"/>
            </w:pPr>
            <w:r>
              <w:t xml:space="preserve">3.3.1.1(1)(g)</w:t>
            </w:r>
          </w:p>
        </w:tc>
        <w:tc>
          <w:tcPr/>
          <w:p>
            <w:pPr>
              <w:pStyle w:val="Compact"/>
              <w:jc w:val="left"/>
            </w:pPr>
            <w:r>
              <w:t xml:space="preserve">Record all changes in the CSA system</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2.5 Configuration Status Accounting</w:t>
            </w:r>
          </w:p>
        </w:tc>
      </w:tr>
      <w:tr>
        <w:tc>
          <w:tcPr/>
          <w:p>
            <w:pPr>
              <w:pStyle w:val="Compact"/>
              <w:jc w:val="left"/>
            </w:pPr>
            <w:r>
              <w:t xml:space="preserve">F15</w:t>
            </w:r>
          </w:p>
        </w:tc>
        <w:tc>
          <w:tcPr/>
          <w:p>
            <w:pPr>
              <w:pStyle w:val="Compact"/>
              <w:jc w:val="left"/>
            </w:pPr>
            <w:r>
              <w:t xml:space="preserve">3.3.1.1(1)(h)</w:t>
            </w:r>
          </w:p>
        </w:tc>
        <w:tc>
          <w:tcPr/>
          <w:p>
            <w:pPr>
              <w:pStyle w:val="Compact"/>
              <w:jc w:val="left"/>
            </w:pPr>
            <w:r>
              <w:t xml:space="preserve">Verify the approved change was implemented correctly</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 2.6 Verification &amp; Audit</w:t>
            </w:r>
          </w:p>
        </w:tc>
      </w:tr>
      <w:tr>
        <w:tc>
          <w:tcPr/>
          <w:p>
            <w:pPr>
              <w:pStyle w:val="Compact"/>
              <w:jc w:val="left"/>
            </w:pPr>
            <w:r>
              <w:t xml:space="preserve">F16</w:t>
            </w:r>
          </w:p>
        </w:tc>
        <w:tc>
          <w:tcPr/>
          <w:p>
            <w:pPr>
              <w:pStyle w:val="Compact"/>
              <w:jc w:val="left"/>
            </w:pPr>
            <w:r>
              <w:t xml:space="preserve">3.3.1.4(1)</w:t>
            </w:r>
          </w:p>
        </w:tc>
        <w:tc>
          <w:tcPr/>
          <w:p>
            <w:pPr>
              <w:pStyle w:val="Compact"/>
              <w:jc w:val="left"/>
            </w:pPr>
            <w:r>
              <w:t xml:space="preserve">Support each ECP with data to evaluate the change and its full impacts</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w:t>
            </w:r>
          </w:p>
        </w:tc>
      </w:tr>
      <w:tr>
        <w:tc>
          <w:tcPr/>
          <w:p>
            <w:pPr>
              <w:pStyle w:val="Compact"/>
              <w:jc w:val="left"/>
            </w:pPr>
            <w:r>
              <w:t xml:space="preserve">F17</w:t>
            </w:r>
          </w:p>
        </w:tc>
        <w:tc>
          <w:tcPr/>
          <w:p>
            <w:pPr>
              <w:pStyle w:val="Compact"/>
              <w:jc w:val="left"/>
            </w:pPr>
            <w:r>
              <w:t xml:space="preserve">3.3.1.4(3)</w:t>
            </w:r>
          </w:p>
        </w:tc>
        <w:tc>
          <w:tcPr/>
          <w:p>
            <w:pPr>
              <w:pStyle w:val="Compact"/>
              <w:jc w:val="left"/>
            </w:pPr>
            <w:r>
              <w:t xml:space="preserve">Include a summary of testing validating new concepts or technology</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w:t>
            </w:r>
          </w:p>
        </w:tc>
      </w:tr>
      <w:tr>
        <w:tc>
          <w:tcPr/>
          <w:p>
            <w:pPr>
              <w:pStyle w:val="Compact"/>
              <w:jc w:val="left"/>
            </w:pPr>
            <w:r>
              <w:t xml:space="preserve">F18</w:t>
            </w:r>
          </w:p>
        </w:tc>
        <w:tc>
          <w:tcPr/>
          <w:p>
            <w:pPr>
              <w:pStyle w:val="Compact"/>
              <w:jc w:val="left"/>
            </w:pPr>
            <w:r>
              <w:t xml:space="preserve">3.3.2(1)</w:t>
            </w:r>
          </w:p>
        </w:tc>
        <w:tc>
          <w:tcPr/>
          <w:p>
            <w:pPr>
              <w:pStyle w:val="Compact"/>
              <w:jc w:val="left"/>
            </w:pPr>
            <w:r>
              <w:t xml:space="preserve">Obtain Acquirer approval for any non-conforming item via a Request for Variance.</w:t>
            </w:r>
            <w:r>
              <w:t xml:space="preserve"> </w:t>
            </w:r>
            <w:r>
              <w:rPr>
                <w:iCs/>
                <w:i/>
              </w:rPr>
              <w:t xml:space="preserve">Scope: applies where a still-nonconforming item will be delivered or accepted — repair and use-as-is. See 2.4.6.1; rework that eliminates the nonconformance normally raises no variance.</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w:t>
            </w:r>
          </w:p>
        </w:tc>
      </w:tr>
      <w:tr>
        <w:tc>
          <w:tcPr/>
          <w:p>
            <w:pPr>
              <w:pStyle w:val="Compact"/>
              <w:jc w:val="left"/>
            </w:pPr>
            <w:r>
              <w:t xml:space="preserve">F19</w:t>
            </w:r>
          </w:p>
        </w:tc>
        <w:tc>
          <w:tcPr/>
          <w:p>
            <w:pPr>
              <w:pStyle w:val="Compact"/>
              <w:jc w:val="left"/>
            </w:pPr>
            <w:r>
              <w:t xml:space="preserve">3.3.2(2)</w:t>
            </w:r>
          </w:p>
        </w:tc>
        <w:tc>
          <w:tcPr/>
          <w:p>
            <w:pPr>
              <w:pStyle w:val="Compact"/>
              <w:jc w:val="left"/>
            </w:pPr>
            <w:r>
              <w:t xml:space="preserve">Submit an ECP when a variance is determined permanently acceptable (recurring-to-permanent)</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w:t>
            </w:r>
          </w:p>
        </w:tc>
      </w:tr>
      <w:tr>
        <w:tc>
          <w:tcPr/>
          <w:p>
            <w:pPr>
              <w:pStyle w:val="Compact"/>
              <w:jc w:val="left"/>
            </w:pPr>
            <w:r>
              <w:t xml:space="preserve">F20</w:t>
            </w:r>
          </w:p>
        </w:tc>
        <w:tc>
          <w:tcPr/>
          <w:p>
            <w:pPr>
              <w:pStyle w:val="Compact"/>
              <w:jc w:val="left"/>
            </w:pPr>
            <w:r>
              <w:t xml:space="preserve">3.3.1.1(1)(c)</w:t>
            </w:r>
          </w:p>
        </w:tc>
        <w:tc>
          <w:tcPr/>
          <w:p>
            <w:pPr>
              <w:pStyle w:val="Compact"/>
              <w:jc w:val="left"/>
            </w:pPr>
            <w:r>
              <w:t xml:space="preserve">Prepare an ECP, NOR, and supporting technical data for the change</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w:t>
            </w:r>
          </w:p>
        </w:tc>
      </w:tr>
      <w:tr>
        <w:tc>
          <w:tcPr/>
          <w:p>
            <w:pPr>
              <w:pStyle w:val="Compact"/>
              <w:jc w:val="left"/>
            </w:pPr>
            <w:r>
              <w:t xml:space="preserve">F21</w:t>
            </w:r>
          </w:p>
        </w:tc>
        <w:tc>
          <w:tcPr/>
          <w:p>
            <w:pPr>
              <w:pStyle w:val="Compact"/>
              <w:jc w:val="left"/>
            </w:pPr>
            <w:r>
              <w:t xml:space="preserve">3.3.4(1)</w:t>
            </w:r>
          </w:p>
        </w:tc>
        <w:tc>
          <w:tcPr/>
          <w:p>
            <w:pPr>
              <w:pStyle w:val="Compact"/>
              <w:jc w:val="left"/>
            </w:pPr>
            <w:r>
              <w:t xml:space="preserve">Submit a NOR for each document affected by an ECP</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w:t>
            </w:r>
          </w:p>
        </w:tc>
      </w:tr>
      <w:tr>
        <w:tc>
          <w:tcPr/>
          <w:p>
            <w:pPr>
              <w:pStyle w:val="Compact"/>
              <w:jc w:val="left"/>
            </w:pPr>
            <w:r>
              <w:t xml:space="preserve">F22</w:t>
            </w:r>
          </w:p>
        </w:tc>
        <w:tc>
          <w:tcPr/>
          <w:p>
            <w:pPr>
              <w:pStyle w:val="Compact"/>
              <w:jc w:val="left"/>
            </w:pPr>
            <w:r>
              <w:t xml:space="preserve">3.3.4(2)</w:t>
            </w:r>
          </w:p>
        </w:tc>
        <w:tc>
          <w:tcPr/>
          <w:p>
            <w:pPr>
              <w:pStyle w:val="Compact"/>
              <w:jc w:val="left"/>
            </w:pPr>
            <w:r>
              <w:t xml:space="preserve">Provide all information needed to disposition each NOR</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w:t>
            </w:r>
          </w:p>
        </w:tc>
      </w:tr>
      <w:tr>
        <w:tc>
          <w:tcPr/>
          <w:p>
            <w:pPr>
              <w:pStyle w:val="Compact"/>
              <w:jc w:val="left"/>
            </w:pPr>
            <w:r>
              <w:t xml:space="preserve">F23</w:t>
            </w:r>
          </w:p>
        </w:tc>
        <w:tc>
          <w:tcPr/>
          <w:p>
            <w:pPr>
              <w:pStyle w:val="Compact"/>
              <w:jc w:val="left"/>
            </w:pPr>
            <w:r>
              <w:t xml:space="preserve">3.2.3.3(1)</w:t>
            </w:r>
          </w:p>
        </w:tc>
        <w:tc>
          <w:tcPr/>
          <w:p>
            <w:pPr>
              <w:pStyle w:val="Compact"/>
              <w:jc w:val="left"/>
            </w:pPr>
            <w:r>
              <w:t xml:space="preserve">Create a new revision of approved documentation after change approval, with before/after traceability</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 2.7 Data &amp; Document Management</w:t>
            </w:r>
          </w:p>
        </w:tc>
      </w:tr>
    </w:tbl>
    <w:bookmarkEnd w:id="155"/>
    <w:bookmarkStart w:id="156" w:name="Xebb0b53f4f9b4e84c150f3a5105ce42f20fd022"/>
    <w:p>
      <w:pPr>
        <w:pStyle w:val="Heading2"/>
      </w:pPr>
      <w:r>
        <w:rPr>
          <w:bCs/>
          <w:b/>
        </w:rPr>
        <w:t xml:space="preserve">7.3 Cluster 3: As-Designed to As-Built Reconciliation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Barrier Req. ID</w:t>
            </w:r>
          </w:p>
        </w:tc>
        <w:tc>
          <w:tcPr/>
          <w:p>
            <w:pPr>
              <w:pStyle w:val="Compact"/>
              <w:jc w:val="left"/>
            </w:pPr>
            <w:r>
              <w:rPr>
                <w:bCs/>
                <w:b/>
              </w:rPr>
              <w:t xml:space="preserve">EIA-649-1A Clause</w:t>
            </w:r>
          </w:p>
        </w:tc>
        <w:tc>
          <w:tcPr/>
          <w:p>
            <w:pPr>
              <w:pStyle w:val="Compact"/>
              <w:jc w:val="left"/>
            </w:pPr>
            <w:r>
              <w:rPr>
                <w:bCs/>
                <w:b/>
              </w:rPr>
              <w:t xml:space="preserve">Requirement (paraphrased — governing text is EIA-649-1A)</w:t>
            </w:r>
          </w:p>
        </w:tc>
        <w:tc>
          <w:tcPr/>
          <w:p>
            <w:pPr>
              <w:pStyle w:val="Compact"/>
              <w:jc w:val="left"/>
            </w:pPr>
            <w:r>
              <w:rPr>
                <w:bCs/>
                <w:b/>
              </w:rPr>
              <w:t xml:space="preserve">Inclusion</w:t>
            </w:r>
          </w:p>
        </w:tc>
        <w:tc>
          <w:tcPr/>
          <w:p>
            <w:pPr>
              <w:pStyle w:val="Compact"/>
              <w:jc w:val="left"/>
            </w:pPr>
            <w:r>
              <w:rPr>
                <w:bCs/>
                <w:b/>
              </w:rPr>
              <w:t xml:space="preserve">Implementation in this CMP</w:t>
            </w:r>
          </w:p>
        </w:tc>
      </w:tr>
      <w:tr>
        <w:tc>
          <w:tcPr/>
          <w:p>
            <w:pPr>
              <w:pStyle w:val="Compact"/>
              <w:jc w:val="left"/>
            </w:pPr>
            <w:r>
              <w:t xml:space="preserve">F24</w:t>
            </w:r>
          </w:p>
        </w:tc>
        <w:tc>
          <w:tcPr/>
          <w:p>
            <w:pPr>
              <w:pStyle w:val="Compact"/>
              <w:jc w:val="left"/>
            </w:pPr>
            <w:r>
              <w:t xml:space="preserve">3.4(1)</w:t>
            </w:r>
          </w:p>
        </w:tc>
        <w:tc>
          <w:tcPr/>
          <w:p>
            <w:pPr>
              <w:pStyle w:val="Compact"/>
              <w:jc w:val="left"/>
            </w:pPr>
            <w:r>
              <w:t xml:space="preserve">Maintain CSA legitimacy by storing valid data</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2.5 Configuration Status Accounting</w:t>
            </w:r>
          </w:p>
        </w:tc>
      </w:tr>
      <w:tr>
        <w:tc>
          <w:tcPr/>
          <w:p>
            <w:pPr>
              <w:pStyle w:val="Compact"/>
              <w:jc w:val="left"/>
            </w:pPr>
            <w:r>
              <w:t xml:space="preserve">F25</w:t>
            </w:r>
          </w:p>
        </w:tc>
        <w:tc>
          <w:tcPr/>
          <w:p>
            <w:pPr>
              <w:pStyle w:val="Compact"/>
              <w:jc w:val="left"/>
            </w:pPr>
            <w:r>
              <w:t xml:space="preserve">3.4.1(2)</w:t>
            </w:r>
          </w:p>
        </w:tc>
        <w:tc>
          <w:tcPr/>
          <w:p>
            <w:pPr>
              <w:pStyle w:val="Compact"/>
              <w:jc w:val="left"/>
            </w:pPr>
            <w:r>
              <w:t xml:space="preserve">Capture, store, and maintain product configuration information</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2.5 Configuration Status Accounting</w:t>
            </w:r>
          </w:p>
        </w:tc>
      </w:tr>
      <w:tr>
        <w:tc>
          <w:tcPr/>
          <w:p>
            <w:pPr>
              <w:pStyle w:val="Compact"/>
              <w:jc w:val="left"/>
            </w:pPr>
            <w:r>
              <w:t xml:space="preserve">F26</w:t>
            </w:r>
          </w:p>
        </w:tc>
        <w:tc>
          <w:tcPr/>
          <w:p>
            <w:pPr>
              <w:pStyle w:val="Compact"/>
              <w:jc w:val="left"/>
            </w:pPr>
            <w:r>
              <w:t xml:space="preserve">3.4.1(3)(a)</w:t>
            </w:r>
          </w:p>
        </w:tc>
        <w:tc>
          <w:tcPr/>
          <w:p>
            <w:pPr>
              <w:pStyle w:val="Compact"/>
              <w:jc w:val="left"/>
            </w:pPr>
            <w:r>
              <w:t xml:space="preserve">Capture and maintain currently approved configuration information by each CI’s identification number</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2.5 Configuration Status Accounting</w:t>
            </w:r>
          </w:p>
        </w:tc>
      </w:tr>
      <w:tr>
        <w:tc>
          <w:tcPr/>
          <w:p>
            <w:pPr>
              <w:pStyle w:val="Compact"/>
              <w:jc w:val="left"/>
            </w:pPr>
            <w:r>
              <w:t xml:space="preserve">F27</w:t>
            </w:r>
          </w:p>
        </w:tc>
        <w:tc>
          <w:tcPr/>
          <w:p>
            <w:pPr>
              <w:pStyle w:val="Compact"/>
              <w:jc w:val="left"/>
            </w:pPr>
            <w:r>
              <w:t xml:space="preserve">3.4.1(3)(c)</w:t>
            </w:r>
          </w:p>
        </w:tc>
        <w:tc>
          <w:tcPr/>
          <w:p>
            <w:pPr>
              <w:pStyle w:val="Compact"/>
              <w:jc w:val="left"/>
            </w:pPr>
            <w:r>
              <w:t xml:space="preserve">Store and manage all product configuration information</w:t>
            </w:r>
          </w:p>
        </w:tc>
        <w:tc>
          <w:tcPr/>
          <w:p>
            <w:pPr>
              <w:pStyle w:val="Compact"/>
              <w:jc w:val="left"/>
            </w:pPr>
            <w:r>
              <w:t xml:space="preserve">Judgment</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2.5 CSA; 2.7 Data &amp; Document Management</w:t>
            </w:r>
          </w:p>
        </w:tc>
      </w:tr>
      <w:tr>
        <w:tc>
          <w:tcPr/>
          <w:p>
            <w:pPr>
              <w:pStyle w:val="Compact"/>
              <w:jc w:val="left"/>
            </w:pPr>
            <w:r>
              <w:t xml:space="preserve">F28</w:t>
            </w:r>
          </w:p>
        </w:tc>
        <w:tc>
          <w:tcPr/>
          <w:p>
            <w:pPr>
              <w:pStyle w:val="Compact"/>
              <w:jc w:val="left"/>
            </w:pPr>
            <w:r>
              <w:t xml:space="preserve">3.4.1(4)(c)</w:t>
            </w:r>
          </w:p>
        </w:tc>
        <w:tc>
          <w:tcPr/>
          <w:p>
            <w:pPr>
              <w:pStyle w:val="Compact"/>
              <w:jc w:val="left"/>
            </w:pPr>
            <w:r>
              <w:t xml:space="preserve">Secure, safeguard, and retrieve recorded configuration information</w:t>
            </w:r>
          </w:p>
        </w:tc>
        <w:tc>
          <w:tcPr/>
          <w:p>
            <w:pPr>
              <w:pStyle w:val="Compact"/>
              <w:jc w:val="left"/>
            </w:pPr>
            <w:r>
              <w:t xml:space="preserve">Judgment</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2.5 CSA; 2.7 Data &amp; Document Management</w:t>
            </w:r>
          </w:p>
        </w:tc>
      </w:tr>
      <w:tr>
        <w:tc>
          <w:tcPr/>
          <w:p>
            <w:pPr>
              <w:pStyle w:val="Compact"/>
              <w:jc w:val="left"/>
            </w:pPr>
            <w:r>
              <w:t xml:space="preserve">F29</w:t>
            </w:r>
          </w:p>
        </w:tc>
        <w:tc>
          <w:tcPr/>
          <w:p>
            <w:pPr>
              <w:pStyle w:val="Compact"/>
              <w:jc w:val="left"/>
            </w:pPr>
            <w:r>
              <w:t xml:space="preserve">3.5.3(1)</w:t>
            </w:r>
          </w:p>
        </w:tc>
        <w:tc>
          <w:tcPr/>
          <w:p>
            <w:pPr>
              <w:pStyle w:val="Compact"/>
              <w:jc w:val="left"/>
            </w:pPr>
            <w:r>
              <w:t xml:space="preserve">Conduct the PCA to verify product configuration documentation is consistent with the validated CI</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2.6 Configuration Verification &amp; Audit</w:t>
            </w:r>
          </w:p>
        </w:tc>
      </w:tr>
      <w:tr>
        <w:tc>
          <w:tcPr/>
          <w:p>
            <w:pPr>
              <w:pStyle w:val="Compact"/>
              <w:jc w:val="left"/>
            </w:pPr>
            <w:r>
              <w:t xml:space="preserve">F30</w:t>
            </w:r>
          </w:p>
        </w:tc>
        <w:tc>
          <w:tcPr/>
          <w:p>
            <w:pPr>
              <w:pStyle w:val="Compact"/>
              <w:jc w:val="left"/>
            </w:pPr>
            <w:r>
              <w:t xml:space="preserve">3.5.3(2)</w:t>
            </w:r>
          </w:p>
        </w:tc>
        <w:tc>
          <w:tcPr/>
          <w:p>
            <w:pPr>
              <w:pStyle w:val="Compact"/>
              <w:jc w:val="left"/>
            </w:pPr>
            <w:r>
              <w:t xml:space="preserve">Confirm the CI against the PPSL and verify proper parts are installed</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2.6 Configuration Verification &amp; Audit</w:t>
            </w:r>
          </w:p>
        </w:tc>
      </w:tr>
      <w:tr>
        <w:tc>
          <w:tcPr/>
          <w:p>
            <w:pPr>
              <w:pStyle w:val="Compact"/>
              <w:jc w:val="left"/>
            </w:pPr>
            <w:r>
              <w:t xml:space="preserve">F31</w:t>
            </w:r>
          </w:p>
        </w:tc>
        <w:tc>
          <w:tcPr/>
          <w:p>
            <w:pPr>
              <w:pStyle w:val="Compact"/>
              <w:jc w:val="left"/>
            </w:pPr>
            <w:r>
              <w:t xml:space="preserve">3.5.3(4)</w:t>
            </w:r>
          </w:p>
        </w:tc>
        <w:tc>
          <w:tcPr/>
          <w:p>
            <w:pPr>
              <w:pStyle w:val="Compact"/>
              <w:jc w:val="left"/>
            </w:pPr>
            <w:r>
              <w:t xml:space="preserve">Document each PCA non-compliance and provide it to the Acquirer</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2.6 Configuration Verification &amp; Audit</w:t>
            </w:r>
          </w:p>
        </w:tc>
      </w:tr>
      <w:tr>
        <w:tc>
          <w:tcPr/>
          <w:p>
            <w:pPr>
              <w:pStyle w:val="Compact"/>
              <w:jc w:val="left"/>
            </w:pPr>
            <w:r>
              <w:t xml:space="preserve">F32</w:t>
            </w:r>
          </w:p>
        </w:tc>
        <w:tc>
          <w:tcPr/>
          <w:p>
            <w:pPr>
              <w:pStyle w:val="Compact"/>
              <w:jc w:val="left"/>
            </w:pPr>
            <w:r>
              <w:t xml:space="preserve">3.4.1(3)(b)</w:t>
            </w:r>
          </w:p>
        </w:tc>
        <w:tc>
          <w:tcPr/>
          <w:p>
            <w:pPr>
              <w:pStyle w:val="Compact"/>
              <w:jc w:val="left"/>
            </w:pPr>
            <w:r>
              <w:t xml:space="preserve">Capture and maintain all historical configuration information with traceability from contract award to present</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2.5 Configuration Status Accounting</w:t>
            </w:r>
          </w:p>
        </w:tc>
      </w:tr>
      <w:tr>
        <w:tc>
          <w:tcPr/>
          <w:p>
            <w:pPr>
              <w:pStyle w:val="Compact"/>
              <w:jc w:val="left"/>
            </w:pPr>
            <w:r>
              <w:t xml:space="preserve">F33</w:t>
            </w:r>
          </w:p>
        </w:tc>
        <w:tc>
          <w:tcPr/>
          <w:p>
            <w:pPr>
              <w:pStyle w:val="Compact"/>
              <w:jc w:val="left"/>
            </w:pPr>
            <w:r>
              <w:t xml:space="preserve">3.4.1(6)</w:t>
            </w:r>
          </w:p>
        </w:tc>
        <w:tc>
          <w:tcPr/>
          <w:p>
            <w:pPr>
              <w:pStyle w:val="Compact"/>
              <w:jc w:val="left"/>
            </w:pPr>
            <w:r>
              <w:t xml:space="preserve">Document the incorporation of all retrofit changes to units identified for retrofit</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2.5 Configuration Status Accounting</w:t>
            </w:r>
          </w:p>
        </w:tc>
      </w:tr>
      <w:tr>
        <w:tc>
          <w:tcPr/>
          <w:p>
            <w:pPr>
              <w:pStyle w:val="Compact"/>
              <w:jc w:val="left"/>
            </w:pPr>
            <w:r>
              <w:t xml:space="preserve">F34</w:t>
            </w:r>
          </w:p>
        </w:tc>
        <w:tc>
          <w:tcPr/>
          <w:p>
            <w:pPr>
              <w:pStyle w:val="Compact"/>
              <w:jc w:val="left"/>
            </w:pPr>
            <w:r>
              <w:t xml:space="preserve">3.5.3.1(1)(b)</w:t>
            </w:r>
          </w:p>
        </w:tc>
        <w:tc>
          <w:tcPr/>
          <w:p>
            <w:pPr>
              <w:pStyle w:val="Compact"/>
              <w:jc w:val="left"/>
            </w:pPr>
            <w:r>
              <w:t xml:space="preserve">Identify differences between the production CI and the development CI used for FCA</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2.6 Configuration Verification &amp; Audit</w:t>
            </w:r>
          </w:p>
        </w:tc>
      </w:tr>
    </w:tbl>
    <w:bookmarkEnd w:id="156"/>
    <w:bookmarkStart w:id="157" w:name="Xa1be38ea6070a471d1baef80b22e6d991820a9c"/>
    <w:p>
      <w:pPr>
        <w:pStyle w:val="Heading2"/>
      </w:pPr>
      <w:r>
        <w:rPr>
          <w:bCs/>
          <w:b/>
        </w:rPr>
        <w:t xml:space="preserve">7.4 Cluster 4: Supply Chain, Interfaces &amp;</w:t>
      </w:r>
      <w:r>
        <w:t xml:space="preserve">** Verification**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Barrier Req. ID</w:t>
            </w:r>
          </w:p>
        </w:tc>
        <w:tc>
          <w:tcPr/>
          <w:p>
            <w:pPr>
              <w:pStyle w:val="Compact"/>
              <w:jc w:val="left"/>
            </w:pPr>
            <w:r>
              <w:rPr>
                <w:bCs/>
                <w:b/>
              </w:rPr>
              <w:t xml:space="preserve">EIA-649-1A Clause</w:t>
            </w:r>
          </w:p>
        </w:tc>
        <w:tc>
          <w:tcPr/>
          <w:p>
            <w:pPr>
              <w:pStyle w:val="Compact"/>
              <w:jc w:val="left"/>
            </w:pPr>
            <w:r>
              <w:rPr>
                <w:bCs/>
                <w:b/>
              </w:rPr>
              <w:t xml:space="preserve">Requirement (paraphrased — governing text is EIA-649-1A)</w:t>
            </w:r>
          </w:p>
        </w:tc>
        <w:tc>
          <w:tcPr/>
          <w:p>
            <w:pPr>
              <w:pStyle w:val="Compact"/>
              <w:jc w:val="left"/>
            </w:pPr>
            <w:r>
              <w:rPr>
                <w:bCs/>
                <w:b/>
              </w:rPr>
              <w:t xml:space="preserve">Inclusion</w:t>
            </w:r>
          </w:p>
        </w:tc>
        <w:tc>
          <w:tcPr/>
          <w:p>
            <w:pPr>
              <w:pStyle w:val="Compact"/>
              <w:jc w:val="left"/>
            </w:pPr>
            <w:r>
              <w:rPr>
                <w:bCs/>
                <w:b/>
              </w:rPr>
              <w:t xml:space="preserve">Implementation in this CMP</w:t>
            </w:r>
          </w:p>
        </w:tc>
      </w:tr>
      <w:tr>
        <w:tc>
          <w:tcPr/>
          <w:p>
            <w:pPr>
              <w:pStyle w:val="Compact"/>
              <w:jc w:val="left"/>
            </w:pPr>
            <w:r>
              <w:t xml:space="preserve">F35</w:t>
            </w:r>
          </w:p>
        </w:tc>
        <w:tc>
          <w:tcPr/>
          <w:p>
            <w:pPr>
              <w:pStyle w:val="Compact"/>
              <w:jc w:val="left"/>
            </w:pPr>
            <w:r>
              <w:t xml:space="preserve">3.2.5.1(1)</w:t>
            </w:r>
          </w:p>
        </w:tc>
        <w:tc>
          <w:tcPr/>
          <w:p>
            <w:pPr>
              <w:pStyle w:val="Compact"/>
              <w:jc w:val="left"/>
            </w:pPr>
            <w:r>
              <w:t xml:space="preserve">Identify internal and external interface requirements</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2.3 Configuration Identification</w:t>
            </w:r>
          </w:p>
        </w:tc>
      </w:tr>
      <w:tr>
        <w:tc>
          <w:tcPr/>
          <w:p>
            <w:pPr>
              <w:pStyle w:val="Compact"/>
              <w:jc w:val="left"/>
            </w:pPr>
            <w:r>
              <w:t xml:space="preserve">F36</w:t>
            </w:r>
          </w:p>
        </w:tc>
        <w:tc>
          <w:tcPr/>
          <w:p>
            <w:pPr>
              <w:pStyle w:val="Compact"/>
              <w:jc w:val="left"/>
            </w:pPr>
            <w:r>
              <w:t xml:space="preserve">3.2.5.1(2)</w:t>
            </w:r>
          </w:p>
        </w:tc>
        <w:tc>
          <w:tcPr/>
          <w:p>
            <w:pPr>
              <w:pStyle w:val="Compact"/>
              <w:jc w:val="left"/>
            </w:pPr>
            <w:r>
              <w:t xml:space="preserve">Incorporate interface information into the FCD/ACD/PCD</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2.3 Configuration Identification</w:t>
            </w:r>
          </w:p>
        </w:tc>
      </w:tr>
      <w:tr>
        <w:tc>
          <w:tcPr/>
          <w:p>
            <w:pPr>
              <w:pStyle w:val="Compact"/>
              <w:jc w:val="left"/>
            </w:pPr>
            <w:r>
              <w:t xml:space="preserve">F37</w:t>
            </w:r>
          </w:p>
        </w:tc>
        <w:tc>
          <w:tcPr/>
          <w:p>
            <w:pPr>
              <w:pStyle w:val="Compact"/>
              <w:jc w:val="left"/>
            </w:pPr>
            <w:r>
              <w:t xml:space="preserve">3.2.5.1(3)</w:t>
            </w:r>
          </w:p>
        </w:tc>
        <w:tc>
          <w:tcPr/>
          <w:p>
            <w:pPr>
              <w:pStyle w:val="Compact"/>
              <w:jc w:val="left"/>
            </w:pPr>
            <w:r>
              <w:t xml:space="preserve">Maintain configuration control of baselined interface requirements</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2.3 Configuration Identification; 2.4 Configuration Control</w:t>
            </w:r>
          </w:p>
        </w:tc>
      </w:tr>
      <w:tr>
        <w:tc>
          <w:tcPr/>
          <w:p>
            <w:pPr>
              <w:pStyle w:val="Compact"/>
              <w:jc w:val="left"/>
            </w:pPr>
            <w:r>
              <w:t xml:space="preserve">F38</w:t>
            </w:r>
          </w:p>
        </w:tc>
        <w:tc>
          <w:tcPr/>
          <w:p>
            <w:pPr>
              <w:pStyle w:val="Compact"/>
              <w:jc w:val="left"/>
            </w:pPr>
            <w:r>
              <w:t xml:space="preserve">3.2.5.2(1)</w:t>
            </w:r>
          </w:p>
        </w:tc>
        <w:tc>
          <w:tcPr/>
          <w:p>
            <w:pPr>
              <w:pStyle w:val="Compact"/>
              <w:jc w:val="left"/>
            </w:pPr>
            <w:r>
              <w:t xml:space="preserve">Provide a representative to the Acquirer’s ICWG where one exists</w:t>
            </w:r>
          </w:p>
        </w:tc>
        <w:tc>
          <w:tcPr/>
          <w:p>
            <w:pPr>
              <w:pStyle w:val="Compact"/>
              <w:jc w:val="left"/>
            </w:pPr>
            <w:r>
              <w:t xml:space="preserve">Conditional</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3.2 Acquirer–Supplier; 3.6 SOS–FOS</w:t>
            </w:r>
          </w:p>
        </w:tc>
      </w:tr>
      <w:tr>
        <w:tc>
          <w:tcPr/>
          <w:p>
            <w:pPr>
              <w:pStyle w:val="Compact"/>
              <w:jc w:val="left"/>
            </w:pPr>
            <w:r>
              <w:t xml:space="preserve">F39</w:t>
            </w:r>
          </w:p>
        </w:tc>
        <w:tc>
          <w:tcPr/>
          <w:p>
            <w:pPr>
              <w:pStyle w:val="Compact"/>
              <w:jc w:val="left"/>
            </w:pPr>
            <w:r>
              <w:t xml:space="preserve">3.4.1(3)(j)</w:t>
            </w:r>
          </w:p>
        </w:tc>
        <w:tc>
          <w:tcPr/>
          <w:p>
            <w:pPr>
              <w:pStyle w:val="Compact"/>
              <w:jc w:val="left"/>
            </w:pPr>
            <w:r>
              <w:t xml:space="preserve">Record and report sub-tier supplier data with traceability to the next higher assembly</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2.5 CSA; 3.2 Acquirer–Supplier</w:t>
            </w:r>
          </w:p>
        </w:tc>
      </w:tr>
      <w:tr>
        <w:tc>
          <w:tcPr/>
          <w:p>
            <w:pPr>
              <w:pStyle w:val="Compact"/>
              <w:jc w:val="left"/>
            </w:pPr>
            <w:r>
              <w:t xml:space="preserve">F40</w:t>
            </w:r>
          </w:p>
        </w:tc>
        <w:tc>
          <w:tcPr/>
          <w:p>
            <w:pPr>
              <w:pStyle w:val="Compact"/>
              <w:jc w:val="left"/>
            </w:pPr>
            <w:r>
              <w:t xml:space="preserve">3.(2)</w:t>
            </w:r>
          </w:p>
        </w:tc>
        <w:tc>
          <w:tcPr/>
          <w:p>
            <w:pPr>
              <w:pStyle w:val="Compact"/>
              <w:jc w:val="left"/>
            </w:pPr>
            <w:r>
              <w:t xml:space="preserve">Require sub-suppliers to comply with or suitably tailor the same CM requirements imposed on the Supplier</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3.2 Acquirer–Supplier</w:t>
            </w:r>
          </w:p>
        </w:tc>
      </w:tr>
      <w:tr>
        <w:tc>
          <w:tcPr/>
          <w:p>
            <w:pPr>
              <w:pStyle w:val="Compact"/>
              <w:jc w:val="left"/>
            </w:pPr>
            <w:r>
              <w:t xml:space="preserve">F41</w:t>
            </w:r>
          </w:p>
        </w:tc>
        <w:tc>
          <w:tcPr/>
          <w:p>
            <w:pPr>
              <w:pStyle w:val="Compact"/>
              <w:jc w:val="left"/>
            </w:pPr>
            <w:r>
              <w:t xml:space="preserve">3.(4)</w:t>
            </w:r>
          </w:p>
        </w:tc>
        <w:tc>
          <w:tcPr/>
          <w:p>
            <w:pPr>
              <w:pStyle w:val="Compact"/>
              <w:jc w:val="left"/>
            </w:pPr>
            <w:r>
              <w:t xml:space="preserve">Support Acquirer audits of Supplier and sub-supplier CM</w:t>
            </w:r>
          </w:p>
        </w:tc>
        <w:tc>
          <w:tcPr/>
          <w:p>
            <w:pPr>
              <w:pStyle w:val="Compact"/>
              <w:jc w:val="left"/>
            </w:pPr>
            <w:r>
              <w:t xml:space="preserve">Judgment</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3.2 Acquirer–Supplier; 2.6 Verification &amp; Audit</w:t>
            </w:r>
          </w:p>
        </w:tc>
      </w:tr>
      <w:tr>
        <w:tc>
          <w:tcPr/>
          <w:p>
            <w:pPr>
              <w:pStyle w:val="Compact"/>
              <w:jc w:val="left"/>
            </w:pPr>
            <w:r>
              <w:t xml:space="preserve">F42</w:t>
            </w:r>
          </w:p>
        </w:tc>
        <w:tc>
          <w:tcPr/>
          <w:p>
            <w:pPr>
              <w:pStyle w:val="Compact"/>
              <w:jc w:val="left"/>
            </w:pPr>
            <w:r>
              <w:t xml:space="preserve">3.5.2(2)</w:t>
            </w:r>
          </w:p>
        </w:tc>
        <w:tc>
          <w:tcPr/>
          <w:p>
            <w:pPr>
              <w:pStyle w:val="Compact"/>
              <w:jc w:val="left"/>
            </w:pPr>
            <w:r>
              <w:t xml:space="preserve">Conduct the FCA to verify the CI meets performance requirements per approved FCD/ACD</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2.6 Configuration Verification &amp; Audit</w:t>
            </w:r>
          </w:p>
        </w:tc>
      </w:tr>
      <w:tr>
        <w:tc>
          <w:tcPr/>
          <w:p>
            <w:pPr>
              <w:pStyle w:val="Compact"/>
              <w:jc w:val="left"/>
            </w:pPr>
            <w:r>
              <w:t xml:space="preserve">F43</w:t>
            </w:r>
          </w:p>
        </w:tc>
        <w:tc>
          <w:tcPr/>
          <w:p>
            <w:pPr>
              <w:pStyle w:val="Compact"/>
              <w:jc w:val="left"/>
            </w:pPr>
            <w:r>
              <w:t xml:space="preserve">3.5.2(3)</w:t>
            </w:r>
          </w:p>
        </w:tc>
        <w:tc>
          <w:tcPr/>
          <w:p>
            <w:pPr>
              <w:pStyle w:val="Compact"/>
              <w:jc w:val="left"/>
            </w:pPr>
            <w:r>
              <w:t xml:space="preserve">Document each FCA non-compliance and provide it to the Acquirer</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2.6 Configuration Verification &amp; Audit</w:t>
            </w:r>
          </w:p>
        </w:tc>
      </w:tr>
      <w:tr>
        <w:tc>
          <w:tcPr/>
          <w:p>
            <w:pPr>
              <w:pStyle w:val="Compact"/>
              <w:jc w:val="left"/>
            </w:pPr>
            <w:r>
              <w:t xml:space="preserve">F44</w:t>
            </w:r>
          </w:p>
        </w:tc>
        <w:tc>
          <w:tcPr/>
          <w:p>
            <w:pPr>
              <w:pStyle w:val="Compact"/>
              <w:jc w:val="left"/>
            </w:pPr>
            <w:r>
              <w:t xml:space="preserve">3.5.2.1(1)(c)</w:t>
            </w:r>
          </w:p>
        </w:tc>
        <w:tc>
          <w:tcPr/>
          <w:p>
            <w:pPr>
              <w:pStyle w:val="Compact"/>
              <w:jc w:val="left"/>
            </w:pPr>
            <w:r>
              <w:t xml:space="preserve">Provide a requirements-to-test traceability matrix (each requirement maps to a test step)</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2.6 Configuration Verification &amp; Audit</w:t>
            </w:r>
          </w:p>
        </w:tc>
      </w:tr>
    </w:tbl>
    <w:bookmarkEnd w:id="157"/>
    <w:bookmarkEnd w:id="158"/>
    <w:bookmarkStart w:id="159" w:name="appendices"/>
    <w:p>
      <w:pPr>
        <w:pStyle w:val="Heading1"/>
      </w:pPr>
      <w:r>
        <w:rPr>
          <w:bCs/>
          <w:b/>
        </w:rPr>
        <w:t xml:space="preserve">8.0 Appendices</w:t>
      </w:r>
    </w:p>
    <w:p>
      <w:pPr>
        <w:pStyle w:val="FirstParagraph"/>
      </w:pPr>
      <w:r>
        <w:rPr>
          <w:iCs/>
          <w:i/>
        </w:rPr>
        <w:t xml:space="preserve">&lt;</w:t>
      </w:r>
      <w:r>
        <w:rPr>
          <w:bCs/>
          <w:b/>
          <w:iCs/>
          <w:i/>
        </w:rPr>
        <w:t xml:space="preserve">Include each appendix listed; mark not-applicable appendices with rationale</w:t>
      </w:r>
      <w:r>
        <w:rPr>
          <w:iCs/>
          <w:i/>
        </w:rPr>
        <w:t xml:space="preserve">&gt;</w:t>
      </w:r>
    </w:p>
    <w:p>
      <w:pPr>
        <w:pStyle w:val="BodyText"/>
      </w:pPr>
      <w:r>
        <w:t xml:space="preserve">Appendix A – Configuration Management Training Plan</w:t>
      </w:r>
    </w:p>
    <w:p>
      <w:pPr>
        <w:pStyle w:val="BodyText"/>
      </w:pPr>
      <w:r>
        <w:t xml:space="preserve">Appendix B – Configuration Item Selection Criteria (must implement F01: safety-critical CI selection)</w:t>
      </w:r>
    </w:p>
    <w:p>
      <w:pPr>
        <w:pStyle w:val="BodyText"/>
      </w:pPr>
      <w:r>
        <w:t xml:space="preserve">Appendix C – Technical Baseline Report Template</w:t>
      </w:r>
      <w:r>
        <w:t xml:space="preserve"> </w:t>
      </w:r>
      <w:r>
        <w:rPr>
          <w:iCs/>
          <w:i/>
        </w:rPr>
        <w:t xml:space="preserve">&lt;</w:t>
      </w:r>
      <w:r>
        <w:rPr>
          <w:bCs/>
          <w:b/>
          <w:iCs/>
          <w:i/>
        </w:rPr>
        <w:t xml:space="preserve">hierarchy basis is the CI hierarchy keyed to the specification hierarchy and architecture model per 2.3.4; do not adopt a work breakdown structure basis</w:t>
      </w:r>
      <w:r>
        <w:rPr>
          <w:iCs/>
          <w:i/>
        </w:rPr>
        <w:t xml:space="preserve">&gt;</w:t>
      </w:r>
    </w:p>
    <w:p>
      <w:pPr>
        <w:pStyle w:val="BodyText"/>
      </w:pPr>
      <w:r>
        <w:t xml:space="preserve">Appendix D – Technical Baseline Hierarchical Structure View</w:t>
      </w:r>
      <w:r>
        <w:t xml:space="preserve"> </w:t>
      </w:r>
      <w:r>
        <w:rPr>
          <w:iCs/>
          <w:i/>
        </w:rPr>
        <w:t xml:space="preserve">&lt;</w:t>
      </w:r>
      <w:r>
        <w:rPr>
          <w:bCs/>
          <w:b/>
          <w:iCs/>
          <w:i/>
        </w:rPr>
        <w:t xml:space="preserve">as above</w:t>
      </w:r>
      <w:r>
        <w:rPr>
          <w:iCs/>
          <w:i/>
        </w:rPr>
        <w:t xml:space="preserve">&gt;</w:t>
      </w:r>
    </w:p>
    <w:p>
      <w:pPr>
        <w:pStyle w:val="BodyText"/>
      </w:pPr>
      <w:r>
        <w:t xml:space="preserve">Appendix E – Configuration Control Board Charter (must implement F04: joint Acquirer/Supplier CCB support)</w:t>
      </w:r>
    </w:p>
    <w:p>
      <w:pPr>
        <w:pStyle w:val="BodyText"/>
      </w:pPr>
      <w:r>
        <w:t xml:space="preserve">Appendix F – Change Request Standard Process</w:t>
      </w:r>
    </w:p>
    <w:p>
      <w:pPr>
        <w:pStyle w:val="BodyText"/>
      </w:pPr>
      <w:r>
        <w:t xml:space="preserve">Appendix G – Change Request Template</w:t>
      </w:r>
    </w:p>
    <w:p>
      <w:pPr>
        <w:pStyle w:val="BodyText"/>
      </w:pPr>
      <w:r>
        <w:t xml:space="preserve">Appendix H – Configuration Control Board Agenda Minutes Template</w:t>
      </w:r>
    </w:p>
    <w:p>
      <w:pPr>
        <w:pStyle w:val="BodyText"/>
      </w:pPr>
      <w:r>
        <w:t xml:space="preserve">Appendix I – Functional Configuration Audit Standard Process (must implement F42–F44)</w:t>
      </w:r>
    </w:p>
    <w:p>
      <w:pPr>
        <w:pStyle w:val="BodyText"/>
      </w:pPr>
      <w:r>
        <w:t xml:space="preserve">Appendix J – Functional Configuration Audit Checklist</w:t>
      </w:r>
    </w:p>
    <w:p>
      <w:pPr>
        <w:pStyle w:val="BodyText"/>
      </w:pPr>
      <w:r>
        <w:t xml:space="preserve">Appendix K – Functional Configuration Audit Report Template</w:t>
      </w:r>
    </w:p>
    <w:p>
      <w:pPr>
        <w:pStyle w:val="BodyText"/>
      </w:pPr>
      <w:r>
        <w:t xml:space="preserve">Appendix L – Physical Configuration Audit Standard Process (must implement F29–F31, F34)</w:t>
      </w:r>
    </w:p>
    <w:p>
      <w:pPr>
        <w:pStyle w:val="BodyText"/>
      </w:pPr>
      <w:r>
        <w:t xml:space="preserve">Appendix M – Physical Configuration Audit Checklist</w:t>
      </w:r>
    </w:p>
    <w:p>
      <w:pPr>
        <w:pStyle w:val="BodyText"/>
      </w:pPr>
      <w:r>
        <w:t xml:space="preserve">Appendix N – Physical Configuration Audit Report Template</w:t>
      </w:r>
    </w:p>
    <w:p>
      <w:pPr>
        <w:pStyle w:val="BodyText"/>
      </w:pPr>
      <w:r>
        <w:t xml:space="preserve">Appendix O – Process Improvement Metrics</w:t>
      </w:r>
    </w:p>
    <w:p>
      <w:pPr>
        <w:pStyle w:val="BodyText"/>
      </w:pPr>
      <w:r>
        <w:t xml:space="preserve">Appendix P – Data and Document Management Conventions</w:t>
      </w:r>
    </w:p>
    <w:p>
      <w:pPr>
        <w:pStyle w:val="BodyText"/>
      </w:pPr>
      <w:r>
        <w:t xml:space="preserve">Appendix Q – Safety Barrier Requirement Traceability Matrix (this template, below)</w:t>
      </w:r>
    </w:p>
    <w:p>
      <w:pPr>
        <w:pStyle w:val="BodyText"/>
      </w:pPr>
      <w:r>
        <w:t xml:space="preserve">Appendix R – Sub-Supplier Work Type Classification Log (implements F40: recorded classification is the tailoring rationale)</w:t>
      </w:r>
    </w:p>
    <w:p>
      <w:pPr>
        <w:pStyle w:val="BodyText"/>
      </w:pPr>
      <w:r>
        <w:t xml:space="preserve">Appendix S – Sub-Supplier CM Effectiveness Records (deliverable receipts, findings and escapes, determinations, actions)</w:t>
      </w:r>
    </w:p>
    <w:p>
      <w:pPr>
        <w:pStyle w:val="BodyText"/>
      </w:pPr>
      <w:r>
        <w:t xml:space="preserve">Appendix T – Safety Barrier Requirement Disposition Record (structured and queryable; Appendix Q is its static traceability baseline)</w:t>
      </w:r>
    </w:p>
    <w:p>
      <w:pPr>
        <w:pStyle w:val="BodyText"/>
      </w:pPr>
      <w:r>
        <w:t xml:space="preserve">Appendix U – Configuration Item Index Extract</w:t>
      </w:r>
      <w:r>
        <w:t xml:space="preserve"> </w:t>
      </w:r>
      <w:r>
        <w:rPr>
          <w:iCs/>
          <w:i/>
        </w:rPr>
        <w:t xml:space="preserve">&lt;</w:t>
      </w:r>
      <w:r>
        <w:rPr>
          <w:bCs/>
          <w:b/>
          <w:iCs/>
          <w:i/>
        </w:rPr>
        <w:t xml:space="preserve">A dated extract of the CI index. The CI index is the authoritative record; this appendix is a snapshot. State the extract date and refresh it at each CMP revision, at CI list submittal for Acquirer concurrence, prior to each baseline establishment, and at each technical review. Columns: level; CI identifier; parent CI identifier; nomenclature; CI type (HWCI/CSCI/firmware); control level (Acquirer or Supplier); owning design activity and CAGE; PIN; specification number; safety-critical (Y/N); FBL/ABL/PBL status or date; latest audit designation assessment reference and date; scheduled and actual audit dates and results; status (active, proposed, de-designated). Retain de-designated rows for traceability. Omit any column whose content references a document not delivered with this CMP.</w:t>
      </w:r>
      <w:r>
        <w:rPr>
          <w:iCs/>
          <w:i/>
        </w:rPr>
        <w:t xml:space="preserve">&gt;</w:t>
      </w:r>
    </w:p>
    <w:bookmarkEnd w:id="159"/>
    <w:bookmarkStart w:id="160" w:name="references"/>
    <w:p>
      <w:pPr>
        <w:pStyle w:val="Heading1"/>
      </w:pPr>
      <w:r>
        <w:rPr>
          <w:bCs/>
          <w:b/>
        </w:rPr>
        <w:t xml:space="preserve">9.0 References</w:t>
      </w:r>
    </w:p>
    <w:p>
      <w:pPr>
        <w:pStyle w:val="FirstParagraph"/>
      </w:pPr>
      <w:r>
        <w:rPr>
          <w:iCs/>
          <w:i/>
        </w:rPr>
        <w:t xml:space="preserve">&lt;</w:t>
      </w:r>
      <w:r>
        <w:rPr>
          <w:bCs/>
          <w:b/>
          <w:iCs/>
          <w:i/>
        </w:rPr>
        <w:t xml:space="preserve">List the specifications, standards, instructions and other publications invoked by this CMP. The entries below are a candidate set drawn from the requirements addressed in this template — retain only those actually invoked by this program, and record any commonly expected standard that is not invoked in 1.5.2 with its basis. An entry listed here is an assertion that this CMP invokes it.</w:t>
      </w:r>
      <w:r>
        <w:rPr>
          <w:iCs/>
          <w:i/>
        </w:rPr>
        <w:t xml:space="preserve">&gt;</w:t>
      </w:r>
    </w:p>
    <w:p>
      <w:pPr>
        <w:pStyle w:val="BodyText"/>
      </w:pPr>
      <w:r>
        <w:rPr>
          <w:bCs/>
          <w:b/>
        </w:rPr>
        <w:t xml:space="preserve">Configuration management standards</w:t>
      </w:r>
    </w:p>
    <w:p>
      <w:pPr>
        <w:pStyle w:val="BodyText"/>
      </w:pPr>
      <w:r>
        <w:t xml:space="preserve">SAE EIA-649-1A – Configuration Management Requirements for Defense Contracts (governing text for all Section 7 requirements)</w:t>
      </w:r>
    </w:p>
    <w:p>
      <w:pPr>
        <w:pStyle w:val="BodyText"/>
      </w:pPr>
      <w:r>
        <w:t xml:space="preserve">ANSI/EIA-649 (Series) – Configuration Management Standard</w:t>
      </w:r>
    </w:p>
    <w:p>
      <w:pPr>
        <w:pStyle w:val="BodyText"/>
      </w:pPr>
      <w:r>
        <w:t xml:space="preserve">GEIA-HB-649 (Series) – Configuration Management Implementation Guidance</w:t>
      </w:r>
    </w:p>
    <w:p>
      <w:pPr>
        <w:pStyle w:val="BodyText"/>
      </w:pPr>
      <w:r>
        <w:t xml:space="preserve">ANSI/EIA-836 (Series) – Configuration Management Data Exchange and Interoperability</w:t>
      </w:r>
    </w:p>
    <w:p>
      <w:pPr>
        <w:pStyle w:val="BodyText"/>
      </w:pPr>
      <w:r>
        <w:t xml:space="preserve">ANSI/GEIA-859 (Series) – Data Management</w:t>
      </w:r>
    </w:p>
    <w:p>
      <w:pPr>
        <w:pStyle w:val="BodyText"/>
      </w:pPr>
      <w:r>
        <w:t xml:space="preserve">IEEE 828 (Series) – IEEE Standard for Software Configuration Management Plans</w:t>
      </w:r>
    </w:p>
    <w:p>
      <w:pPr>
        <w:pStyle w:val="BodyText"/>
      </w:pPr>
      <w:r>
        <w:t xml:space="preserve">IEEE 15288.2 – Technical Reviews and Audits on Defense Programs</w:t>
      </w:r>
      <w:r>
        <w:t xml:space="preserve"> </w:t>
      </w:r>
      <w:r>
        <w:rPr>
          <w:iCs/>
          <w:i/>
        </w:rPr>
        <w:t xml:space="preserve">&lt;</w:t>
      </w:r>
      <w:r>
        <w:rPr>
          <w:bCs/>
          <w:b/>
          <w:iCs/>
          <w:i/>
        </w:rPr>
        <w:t xml:space="preserve">where invoked</w:t>
      </w:r>
      <w:r>
        <w:rPr>
          <w:iCs/>
          <w:i/>
        </w:rPr>
        <w:t xml:space="preserve">&gt;</w:t>
      </w:r>
    </w:p>
    <w:p>
      <w:pPr>
        <w:pStyle w:val="BodyText"/>
      </w:pPr>
      <w:r>
        <w:rPr>
          <w:bCs/>
          <w:b/>
        </w:rPr>
        <w:t xml:space="preserve">Safety</w:t>
      </w:r>
    </w:p>
    <w:p>
      <w:pPr>
        <w:pStyle w:val="BodyText"/>
      </w:pPr>
      <w:r>
        <w:t xml:space="preserve">SM-0001 (Issue C) – Safety Management System Standard (hazard linkage in Appendix Q)</w:t>
      </w:r>
    </w:p>
    <w:p>
      <w:pPr>
        <w:pStyle w:val="BodyText"/>
      </w:pPr>
      <w:r>
        <w:rPr>
          <w:bCs/>
          <w:b/>
        </w:rPr>
        <w:t xml:space="preserve">Identification, marking and technical data</w:t>
      </w:r>
      <w:r>
        <w:t xml:space="preserve"> </w:t>
      </w:r>
      <w:r>
        <w:rPr>
          <w:iCs/>
          <w:i/>
        </w:rPr>
        <w:t xml:space="preserve">&lt;</w:t>
      </w:r>
      <w:r>
        <w:rPr>
          <w:bCs/>
          <w:b/>
          <w:iCs/>
          <w:i/>
        </w:rPr>
        <w:t xml:space="preserve">retain those applicable to the marking approach stated in 2.3.7</w:t>
      </w:r>
      <w:r>
        <w:rPr>
          <w:iCs/>
          <w:i/>
        </w:rPr>
        <w:t xml:space="preserve">&gt;</w:t>
      </w:r>
    </w:p>
    <w:p>
      <w:pPr>
        <w:pStyle w:val="BodyText"/>
      </w:pPr>
      <w:r>
        <w:t xml:space="preserve">MIL-STD-130 – Identification Marking of U.S. Military Property</w:t>
      </w:r>
    </w:p>
    <w:p>
      <w:pPr>
        <w:pStyle w:val="BodyText"/>
      </w:pPr>
      <w:r>
        <w:t xml:space="preserve">MIL-STD-1285 – Marking of Electrical and Electronic Parts</w:t>
      </w:r>
    </w:p>
    <w:p>
      <w:pPr>
        <w:pStyle w:val="BodyText"/>
      </w:pPr>
      <w:r>
        <w:t xml:space="preserve">MIL-STD-13231 – Marking of Electronic Items</w:t>
      </w:r>
    </w:p>
    <w:p>
      <w:pPr>
        <w:pStyle w:val="BodyText"/>
      </w:pPr>
      <w:r>
        <w:t xml:space="preserve">MIL-STD-196 – Joint Electronics Type Designation System</w:t>
      </w:r>
    </w:p>
    <w:p>
      <w:pPr>
        <w:pStyle w:val="BodyText"/>
      </w:pPr>
      <w:r>
        <w:t xml:space="preserve">MIL-STD-1464 – Army Nomenclature System</w:t>
      </w:r>
    </w:p>
    <w:p>
      <w:pPr>
        <w:pStyle w:val="BodyText"/>
      </w:pPr>
      <w:r>
        <w:t xml:space="preserve">MIL-STD-1661 – Mark and Mod Nomenclature System</w:t>
      </w:r>
    </w:p>
    <w:p>
      <w:pPr>
        <w:pStyle w:val="BodyText"/>
      </w:pPr>
      <w:r>
        <w:t xml:space="preserve">MIL-STD-31000 – Technical Data Packages</w:t>
      </w:r>
    </w:p>
    <w:p>
      <w:pPr>
        <w:pStyle w:val="BodyText"/>
      </w:pPr>
      <w:r>
        <w:t xml:space="preserve">MIL-STD-961 – Defense and Program-Unique Specifications Format and Content</w:t>
      </w:r>
    </w:p>
    <w:p>
      <w:pPr>
        <w:pStyle w:val="BodyText"/>
      </w:pPr>
      <w:r>
        <w:t xml:space="preserve">ASME Y14.100 – Engineering Drawing Practices</w:t>
      </w:r>
    </w:p>
    <w:p>
      <w:pPr>
        <w:pStyle w:val="BodyText"/>
      </w:pPr>
      <w:r>
        <w:t xml:space="preserve">MIL-DTL-15024 – Plates, Tags and Bands for Identification of Equipment</w:t>
      </w:r>
    </w:p>
    <w:p>
      <w:pPr>
        <w:pStyle w:val="BodyText"/>
      </w:pPr>
      <w:r>
        <w:t xml:space="preserve">DoD Item Unique Identification (IUID) directives</w:t>
      </w:r>
      <w:r>
        <w:t xml:space="preserve"> </w:t>
      </w:r>
      <w:r>
        <w:rPr>
          <w:iCs/>
          <w:i/>
        </w:rPr>
        <w:t xml:space="preserve">&lt;</w:t>
      </w:r>
      <w:r>
        <w:rPr>
          <w:bCs/>
          <w:b/>
          <w:iCs/>
          <w:i/>
        </w:rPr>
        <w:t xml:space="preserve">cite the specific directive invoked by contract</w:t>
      </w:r>
      <w:r>
        <w:rPr>
          <w:iCs/>
          <w:i/>
        </w:rPr>
        <w:t xml:space="preserve">&gt;</w:t>
      </w:r>
    </w:p>
    <w:p>
      <w:pPr>
        <w:pStyle w:val="BodyText"/>
      </w:pPr>
      <w:r>
        <w:rPr>
          <w:bCs/>
          <w:b/>
        </w:rPr>
        <w:t xml:space="preserve">Export control, program protection and information security</w:t>
      </w:r>
    </w:p>
    <w:p>
      <w:pPr>
        <w:pStyle w:val="BodyText"/>
      </w:pPr>
      <w:r>
        <w:t xml:space="preserve">DODI 5230.24 – Distribution Statements on Technical Documents</w:t>
      </w:r>
    </w:p>
    <w:p>
      <w:pPr>
        <w:pStyle w:val="BodyText"/>
      </w:pPr>
      <w:r>
        <w:rPr>
          <w:iCs/>
          <w:i/>
        </w:rPr>
        <w:t xml:space="preserve">&lt;</w:t>
      </w:r>
      <w:r>
        <w:rPr>
          <w:bCs/>
          <w:b/>
          <w:iCs/>
          <w:i/>
        </w:rPr>
        <w:t xml:space="preserve">Add the export control authorities applicable to this program (e.g. ITAR, EAR), the program protection instruction governing Critical Program Information where designated, and the cyber security requirement set applied for Acquirer digital-environment interoperability (2.5.5, 2.7.4).</w:t>
      </w:r>
      <w:r>
        <w:rPr>
          <w:iCs/>
          <w:i/>
        </w:rPr>
        <w:t xml:space="preserve">&gt;</w:t>
      </w:r>
    </w:p>
    <w:p>
      <w:pPr>
        <w:pStyle w:val="BodyText"/>
      </w:pPr>
      <w:r>
        <w:rPr>
          <w:bCs/>
          <w:b/>
        </w:rPr>
        <w:t xml:space="preserve">Change and variance forms</w:t>
      </w:r>
      <w:r>
        <w:t xml:space="preserve"> </w:t>
      </w:r>
      <w:r>
        <w:rPr>
          <w:iCs/>
          <w:i/>
        </w:rPr>
        <w:t xml:space="preserve">&lt;</w:t>
      </w:r>
      <w:r>
        <w:rPr>
          <w:bCs/>
          <w:b/>
          <w:iCs/>
          <w:i/>
        </w:rPr>
        <w:t xml:space="preserve">retain where invoked; see 1.5.1</w:t>
      </w:r>
      <w:r>
        <w:rPr>
          <w:iCs/>
          <w:i/>
        </w:rPr>
        <w:t xml:space="preserve">&gt;</w:t>
      </w:r>
    </w:p>
    <w:p>
      <w:pPr>
        <w:pStyle w:val="BodyText"/>
      </w:pPr>
      <w:r>
        <w:t xml:space="preserve">DD Form 1692 (Series) – Engineering Change Proposal</w:t>
      </w:r>
    </w:p>
    <w:p>
      <w:pPr>
        <w:pStyle w:val="BodyText"/>
      </w:pPr>
      <w:r>
        <w:t xml:space="preserve">DD Form 1694 – Request for Variance</w:t>
      </w:r>
    </w:p>
    <w:p>
      <w:pPr>
        <w:pStyle w:val="BodyText"/>
      </w:pPr>
      <w:r>
        <w:t xml:space="preserve">DD Form 250 – Material Inspection and Receiving Report</w:t>
      </w:r>
    </w:p>
    <w:p>
      <w:pPr>
        <w:pStyle w:val="BodyText"/>
      </w:pPr>
      <w:r>
        <w:t xml:space="preserve">FAR 46.407 – Nonconforming Supplies or Services</w:t>
      </w:r>
    </w:p>
    <w:p>
      <w:pPr>
        <w:pStyle w:val="BodyText"/>
      </w:pPr>
      <w:r>
        <w:t xml:space="preserve">14 CFR Part 21 Subpart D</w:t>
      </w:r>
      <w:r>
        <w:t xml:space="preserve"> </w:t>
      </w:r>
      <w:r>
        <w:rPr>
          <w:iCs/>
          <w:i/>
        </w:rPr>
        <w:t xml:space="preserve">&lt;</w:t>
      </w:r>
      <w:r>
        <w:rPr>
          <w:bCs/>
          <w:b/>
          <w:iCs/>
          <w:i/>
        </w:rPr>
        <w:t xml:space="preserve">where the product is a military derivative of an FAA-regulated commercial product; see 2.4.4.1</w:t>
      </w:r>
      <w:r>
        <w:rPr>
          <w:iCs/>
          <w:i/>
        </w:rPr>
        <w:t xml:space="preserve">&gt;</w:t>
      </w:r>
    </w:p>
    <w:p>
      <w:pPr>
        <w:pStyle w:val="BodyText"/>
      </w:pPr>
      <w:r>
        <w:rPr>
          <w:bCs/>
          <w:b/>
        </w:rPr>
        <w:t xml:space="preserve">Data item descriptions</w:t>
      </w:r>
      <w:r>
        <w:t xml:space="preserve"> </w:t>
      </w:r>
      <w:r>
        <w:rPr>
          <w:iCs/>
          <w:i/>
        </w:rPr>
        <w:t xml:space="preserve">&lt;</w:t>
      </w:r>
      <w:r>
        <w:rPr>
          <w:bCs/>
          <w:b/>
          <w:iCs/>
          <w:i/>
        </w:rPr>
        <w:t xml:space="preserve">retain only those cited in the contract CDRLs; see 1.5.1</w:t>
      </w:r>
      <w:r>
        <w:rPr>
          <w:iCs/>
          <w:i/>
        </w:rPr>
        <w:t xml:space="preserve">&gt;</w:t>
      </w:r>
    </w:p>
    <w:p>
      <w:pPr>
        <w:pStyle w:val="BodyText"/>
      </w:pPr>
      <w:r>
        <w:t xml:space="preserve">DI-SESS-80858 – Configuration Management Plan</w:t>
      </w:r>
    </w:p>
    <w:p>
      <w:pPr>
        <w:pStyle w:val="BodyText"/>
      </w:pPr>
      <w:r>
        <w:t xml:space="preserve">DI-SESS-80639 – Engineering Change Proposal</w:t>
      </w:r>
    </w:p>
    <w:p>
      <w:pPr>
        <w:pStyle w:val="BodyText"/>
      </w:pPr>
      <w:r>
        <w:t xml:space="preserve">DI-SESS-80640 – Request for Variance</w:t>
      </w:r>
    </w:p>
    <w:p>
      <w:pPr>
        <w:pStyle w:val="BodyText"/>
      </w:pPr>
      <w:r>
        <w:t xml:space="preserve">DI-SESS-80642 – Notice of Revision</w:t>
      </w:r>
    </w:p>
    <w:p>
      <w:pPr>
        <w:pStyle w:val="BodyText"/>
      </w:pPr>
      <w:r>
        <w:t xml:space="preserve">DI-SESS-80643 – Specification Change Notice</w:t>
      </w:r>
    </w:p>
    <w:p>
      <w:pPr>
        <w:pStyle w:val="BodyText"/>
      </w:pPr>
      <w:r>
        <w:t xml:space="preserve">DI-SESS-80463 – Engineering Release Record</w:t>
      </w:r>
    </w:p>
    <w:p>
      <w:pPr>
        <w:pStyle w:val="BodyText"/>
      </w:pPr>
      <w:r>
        <w:t xml:space="preserve">DI-SESS-81253 – Configuration Status Accounting Information</w:t>
      </w:r>
    </w:p>
    <w:p>
      <w:pPr>
        <w:pStyle w:val="BodyText"/>
      </w:pPr>
      <w:r>
        <w:t xml:space="preserve">DI-SESS-81254 – Request for Nomenclature</w:t>
      </w:r>
    </w:p>
    <w:p>
      <w:pPr>
        <w:pStyle w:val="BodyText"/>
      </w:pPr>
      <w:r>
        <w:t xml:space="preserve">DI-SESS-82007 – Configuration Item Documentation Recommendation</w:t>
      </w:r>
    </w:p>
    <w:p>
      <w:pPr>
        <w:pStyle w:val="BodyText"/>
      </w:pPr>
      <w:r>
        <w:t xml:space="preserve">DI-SESS-81011 – Drawing/Model Number Assignment Report</w:t>
      </w:r>
    </w:p>
    <w:p>
      <w:pPr>
        <w:pStyle w:val="BodyText"/>
      </w:pPr>
      <w:r>
        <w:t xml:space="preserve">DI-SESS-81121 – Baseline Description Document</w:t>
      </w:r>
    </w:p>
    <w:p>
      <w:pPr>
        <w:pStyle w:val="BodyText"/>
      </w:pPr>
      <w:r>
        <w:t xml:space="preserve">DI-SESS-81248 – Interface Control Document</w:t>
      </w:r>
    </w:p>
    <w:p>
      <w:pPr>
        <w:pStyle w:val="BodyText"/>
      </w:pPr>
      <w:r>
        <w:t xml:space="preserve">DI-SESS-81245 – Installation Completion Notification</w:t>
      </w:r>
    </w:p>
    <w:p>
      <w:pPr>
        <w:pStyle w:val="BodyText"/>
      </w:pPr>
      <w:r>
        <w:t xml:space="preserve">DI-SESS-81646 – Configuration Audit Plan</w:t>
      </w:r>
    </w:p>
    <w:p>
      <w:pPr>
        <w:pStyle w:val="BodyText"/>
      </w:pPr>
      <w:r>
        <w:t xml:space="preserve">DI-SESS-81022 – Configuration Audit Summary Report</w:t>
      </w:r>
    </w:p>
    <w:p>
      <w:pPr>
        <w:pStyle w:val="BodyText"/>
      </w:pPr>
      <w:r>
        <w:t xml:space="preserve">DI-ADMN-81249 – Conference Agenda</w:t>
      </w:r>
    </w:p>
    <w:p>
      <w:pPr>
        <w:pStyle w:val="BodyText"/>
      </w:pPr>
      <w:r>
        <w:t xml:space="preserve">DI-ADMN-81250 – Conference Minutes</w:t>
      </w:r>
    </w:p>
    <w:p>
      <w:pPr>
        <w:pStyle w:val="BodyText"/>
      </w:pPr>
      <w:r>
        <w:t xml:space="preserve">DI-IPSC-81441 – Software Product Specification</w:t>
      </w:r>
    </w:p>
    <w:p>
      <w:pPr>
        <w:pStyle w:val="BodyText"/>
      </w:pPr>
      <w:r>
        <w:t xml:space="preserve">DI-IPSC-81442 – Software Version Description</w:t>
      </w:r>
    </w:p>
    <w:p>
      <w:pPr>
        <w:pStyle w:val="BodyText"/>
      </w:pPr>
      <w:r>
        <w:rPr>
          <w:iCs/>
          <w:i/>
        </w:rPr>
        <w:t xml:space="preserve">&lt;</w:t>
      </w:r>
      <w:r>
        <w:rPr>
          <w:bCs/>
          <w:b/>
          <w:iCs/>
          <w:i/>
        </w:rPr>
        <w:t xml:space="preserve">Add other software data item descriptions invoked — SSDD, SRS, IRS, SDD, IDD, DBDD, STP/STD/STR, SUM, FSM (3.3.1).</w:t>
      </w:r>
      <w:r>
        <w:rPr>
          <w:iCs/>
          <w:i/>
        </w:rPr>
        <w:t xml:space="preserve">&gt;</w:t>
      </w:r>
    </w:p>
    <w:p>
      <w:pPr>
        <w:pStyle w:val="BodyText"/>
      </w:pPr>
      <w:r>
        <w:rPr>
          <w:iCs/>
          <w:i/>
          <w:bCs/>
          <w:b/>
        </w:rPr>
        <w:t xml:space="preserve">&lt;</w:t>
      </w:r>
      <w:r>
        <w:rPr>
          <w:iCs/>
          <w:i/>
          <w:bCs/>
          <w:b/>
        </w:rPr>
        <w:t xml:space="preserve">Add the organizational CM process documents invoked by this CMP. List only documents that exist and are current; do not list a process document that has not been issued. The set spans CM planning and management, CI identification, configuration change management, configuration status accounting, configuration audit (FCA/PCA), and sub-supplier CM requirements flowdown and effectiveness — where a function has no issued process document, omit it here and record the interim mechanism in 2.2.6.</w:t>
      </w:r>
      <w:r>
        <w:rPr>
          <w:iCs/>
          <w:i/>
          <w:bCs/>
          <w:b/>
        </w:rPr>
        <w:t xml:space="preserve">&gt;</w:t>
      </w:r>
    </w:p>
    <w:p>
      <w:pPr>
        <w:pStyle w:val="BodyText"/>
      </w:pPr>
      <w:r>
        <w:rPr>
          <w:iCs/>
          <w:i/>
          <w:bCs/>
          <w:b/>
        </w:rPr>
        <w:t xml:space="preserve">&lt;</w:t>
      </w:r>
      <w:r>
        <w:rPr>
          <w:iCs/>
          <w:i/>
          <w:bCs/>
          <w:b/>
        </w:rPr>
        <w:t xml:space="preserve">Where a CM function is not yet covered by its own process document, state the interim mechanism and the planned date in 2.2.6.</w:t>
      </w:r>
      <w:r>
        <w:rPr>
          <w:iCs/>
          <w:i/>
          <w:bCs/>
          <w:b/>
        </w:rPr>
        <w:t xml:space="preserve">&gt;</w:t>
      </w:r>
    </w:p>
    <w:bookmarkEnd w:id="160"/>
    <w:bookmarkStart w:id="161" w:name="glossary"/>
    <w:p>
      <w:pPr>
        <w:pStyle w:val="Heading1"/>
      </w:pPr>
      <w:r>
        <w:rPr>
          <w:bCs/>
          <w:b/>
        </w:rPr>
        <w:t xml:space="preserve">10.0 Glossary</w:t>
      </w:r>
    </w:p>
    <w:p>
      <w:pPr>
        <w:pStyle w:val="FirstParagraph"/>
      </w:pPr>
      <w:r>
        <w:rPr>
          <w:iCs/>
          <w:i/>
        </w:rPr>
        <w:t xml:space="preserve">&lt;</w:t>
      </w:r>
      <w:r>
        <w:rPr>
          <w:bCs/>
          <w:b/>
          <w:iCs/>
          <w:i/>
        </w:rPr>
        <w:t xml:space="preserve">Define the acronyms and terms used in this CMP. The minimum set below reflects the content of this template; add any program-specific terms. Where a term names an organizational convention rather than a term defined in EIA-649-1A, say so in the definition.</w:t>
      </w:r>
      <w:r>
        <w:rPr>
          <w:iCs/>
          <w:i/>
        </w:rPr>
        <w:t xml:space="preserve">&gt;</w:t>
      </w:r>
    </w:p>
    <w:p>
      <w:pPr>
        <w:pStyle w:val="BodyText"/>
      </w:pPr>
      <w:r>
        <w:rPr>
          <w:iCs/>
          <w:i/>
        </w:rPr>
        <w:t xml:space="preserve">&lt;</w:t>
      </w:r>
      <w:r>
        <w:rPr>
          <w:bCs/>
          <w:b/>
          <w:iCs/>
          <w:i/>
        </w:rPr>
        <w:t xml:space="preserve">Configuration management: ABL (allocated baseline), ACD (allocated configuration documentation), CCB (configuration control board), CI (configuration item), CMP (configuration management plan), CSA (configuration status accounting), FBL (functional baseline), FCD (functional configuration documentation), PBL (product baseline), PCD (product configuration documentation), TDP (technical data package).</w:t>
      </w:r>
      <w:r>
        <w:rPr>
          <w:iCs/>
          <w:i/>
        </w:rPr>
        <w:t xml:space="preserve">&gt;</w:t>
      </w:r>
    </w:p>
    <w:p>
      <w:pPr>
        <w:pStyle w:val="BodyText"/>
      </w:pPr>
      <w:r>
        <w:rPr>
          <w:iCs/>
          <w:i/>
        </w:rPr>
        <w:t xml:space="preserve">&lt;</w:t>
      </w:r>
      <w:r>
        <w:rPr>
          <w:bCs/>
          <w:b/>
          <w:iCs/>
          <w:i/>
        </w:rPr>
        <w:t xml:space="preserve">Identification: CAGE (commercial and government entity code), IUID (item unique identification), PIN (part or identifying number), UII (unique item identifier), nomenclature, effectivity, interchangeability.</w:t>
      </w:r>
      <w:r>
        <w:rPr>
          <w:iCs/>
          <w:i/>
        </w:rPr>
        <w:t xml:space="preserve">&gt;</w:t>
      </w:r>
    </w:p>
    <w:p>
      <w:pPr>
        <w:pStyle w:val="BodyText"/>
      </w:pPr>
      <w:r>
        <w:rPr>
          <w:iCs/>
          <w:i/>
        </w:rPr>
        <w:t xml:space="preserve">&lt;</w:t>
      </w:r>
      <w:r>
        <w:rPr>
          <w:bCs/>
          <w:b/>
          <w:iCs/>
          <w:i/>
        </w:rPr>
        <w:t xml:space="preserve">Change and variance: ECP (engineering change proposal), NOR (notice of revision), SCN (specification change notice), RFV (request for variance), NCR (nonconformance report), MRB (material review board), UAI (use-as-is), rework, repair, scrap, quality escape. State explicitly that engineering change classification (Major/Class I, Minor/Class II) and variance classification (Critical, Major, Minor) are distinct schemes — see 2.4.3.</w:t>
      </w:r>
      <w:r>
        <w:rPr>
          <w:iCs/>
          <w:i/>
        </w:rPr>
        <w:t xml:space="preserve">&gt;</w:t>
      </w:r>
    </w:p>
    <w:p>
      <w:pPr>
        <w:pStyle w:val="BodyText"/>
      </w:pPr>
      <w:r>
        <w:rPr>
          <w:iCs/>
          <w:i/>
        </w:rPr>
        <w:t xml:space="preserve">&lt;</w:t>
      </w:r>
      <w:r>
        <w:rPr>
          <w:bCs/>
          <w:b/>
          <w:iCs/>
          <w:i/>
        </w:rPr>
        <w:t xml:space="preserve">Audit and verification: FCA (functional configuration audit), PCA (physical configuration audit), PPSL (program parts selection list), RTM/VCRM (requirements traceability / verification cross-reference matrix), RFA (request for action) where used.</w:t>
      </w:r>
      <w:r>
        <w:rPr>
          <w:iCs/>
          <w:i/>
        </w:rPr>
        <w:t xml:space="preserve">&gt;</w:t>
      </w:r>
    </w:p>
    <w:p>
      <w:pPr>
        <w:pStyle w:val="BodyText"/>
      </w:pPr>
      <w:r>
        <w:rPr>
          <w:iCs/>
          <w:i/>
        </w:rPr>
        <w:t xml:space="preserve">&lt;</w:t>
      </w:r>
      <w:r>
        <w:rPr>
          <w:bCs/>
          <w:b/>
          <w:iCs/>
          <w:i/>
        </w:rPr>
        <w:t xml:space="preserve">Software: CSCI (computer software configuration item), SVD (software version description), SPS (software product specification), developmental configuration, build environment, COTS and non-developmental software.</w:t>
      </w:r>
      <w:r>
        <w:rPr>
          <w:iCs/>
          <w:i/>
        </w:rPr>
        <w:t xml:space="preserve">&gt;</w:t>
      </w:r>
    </w:p>
    <w:p>
      <w:pPr>
        <w:pStyle w:val="BodyText"/>
      </w:pPr>
      <w:r>
        <w:rPr>
          <w:iCs/>
          <w:i/>
        </w:rPr>
        <w:t xml:space="preserve">&lt;</w:t>
      </w:r>
      <w:r>
        <w:rPr>
          <w:bCs/>
          <w:b/>
          <w:iCs/>
          <w:i/>
        </w:rPr>
        <w:t xml:space="preserve">Configuration states: as-designed, as-planned, as-built, as-maintained, and the bill of material terms used to represent them (EBOM, MBOM, ABOM). These BOM terms are an organizational convention and are not EIA-649-1A terminology — see 2.3.6.1.</w:t>
      </w:r>
      <w:r>
        <w:rPr>
          <w:iCs/>
          <w:i/>
        </w:rPr>
        <w:t xml:space="preserve">&gt;</w:t>
      </w:r>
    </w:p>
    <w:p>
      <w:pPr>
        <w:pStyle w:val="BodyText"/>
      </w:pPr>
      <w:r>
        <w:rPr>
          <w:iCs/>
          <w:i/>
        </w:rPr>
        <w:t xml:space="preserve">&lt;</w:t>
      </w:r>
      <w:r>
        <w:rPr>
          <w:bCs/>
          <w:b/>
          <w:iCs/>
          <w:i/>
        </w:rPr>
        <w:t xml:space="preserve">Safety barrier requirements: barrier identifiers B1–B16 (named in Appendix Q); inclusion categories Clean, Judgment, Conditional (1.4); documented equivalent control (1.4.2); disposition record (1.4).</w:t>
      </w:r>
      <w:r>
        <w:rPr>
          <w:iCs/>
          <w:i/>
        </w:rPr>
        <w:t xml:space="preserve">&gt;</w:t>
      </w:r>
    </w:p>
    <w:p>
      <w:pPr>
        <w:pStyle w:val="BodyText"/>
      </w:pPr>
      <w:r>
        <w:rPr>
          <w:iCs/>
          <w:i/>
        </w:rPr>
        <w:t xml:space="preserve">&lt;</w:t>
      </w:r>
      <w:r>
        <w:rPr>
          <w:bCs/>
          <w:b/>
          <w:iCs/>
          <w:i/>
        </w:rPr>
        <w:t xml:space="preserve">Organizations: ICWG (interface control working group), SMS (safety management system), Acquirer, Acquirer’s designated representative, sub-supplier.</w:t>
      </w:r>
      <w:r>
        <w:rPr>
          <w:iCs/>
          <w:i/>
        </w:rPr>
        <w:t xml:space="preserve">&gt;</w:t>
      </w:r>
    </w:p>
    <w:bookmarkEnd w:id="161"/>
    <w:bookmarkStart w:id="162" w:name="X4789338461c04c7b2ed977e1b90922c468b0cc0"/>
    <w:p>
      <w:pPr>
        <w:pStyle w:val="Heading1"/>
      </w:pPr>
      <w:r>
        <w:rPr>
          <w:bCs/>
          <w:b/>
        </w:rPr>
        <w:t xml:space="preserve">Appendix Q – Safety Barrier Requirement Traceability Matrix</w:t>
      </w:r>
    </w:p>
    <w:p>
      <w:pPr>
        <w:pStyle w:val="FirstParagraph"/>
      </w:pPr>
      <w:r>
        <w:t xml:space="preserve">Source: the organizational register of CM requirements serving as safety barriers. Requirement text is paraphrased; the governing text is EIA-649-1A. Maintain this matrix under configuration control; each row must trace to the Section 7 implementation statement.</w:t>
      </w:r>
    </w:p>
    <w:p>
      <w:pPr>
        <w:pStyle w:val="BodyText"/>
      </w:pPr>
      <w:r>
        <w:t xml:space="preserve">This matrix is the traceability baseline: it fixes each safety barrier requirement to its clause, barrier, hazard, inclusion category, and implementing CMP section. It is not the disposition record. The disposition of each requirement on this program — performed, equivalent control, or risk-accepted — with its evidence reference, health check, next-due date, and sign-off is maintained as structured records per Appendix T.</w:t>
      </w:r>
    </w:p>
    <w:p>
      <w:pPr>
        <w:pStyle w:val="BodyText"/>
      </w:pPr>
      <w:r>
        <w:rPr>
          <w:bCs/>
          <w:b/>
        </w:rPr>
        <w:t xml:space="preserve">Barrier reference.</w:t>
      </w:r>
      <w:r>
        <w:t xml:space="preserve"> </w:t>
      </w:r>
      <w:r>
        <w:t xml:space="preserve">Each requirement below serves one or more of the sixteen CM barriers. The barrier names the CM discipline through which the requirement controls its hazard.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ID</w:t>
            </w:r>
          </w:p>
        </w:tc>
        <w:tc>
          <w:tcPr/>
          <w:p>
            <w:pPr>
              <w:pStyle w:val="Compact"/>
              <w:jc w:val="left"/>
            </w:pPr>
            <w:r>
              <w:rPr>
                <w:bCs/>
                <w:b/>
              </w:rPr>
              <w:t xml:space="preserve">Barrier</w:t>
            </w:r>
          </w:p>
        </w:tc>
        <w:tc>
          <w:tcPr/>
          <w:p>
            <w:pPr>
              <w:pStyle w:val="Compact"/>
              <w:jc w:val="left"/>
            </w:pPr>
            <w:r>
              <w:rPr>
                <w:bCs/>
                <w:b/>
              </w:rPr>
              <w:t xml:space="preserve">Cluster</w:t>
            </w:r>
          </w:p>
        </w:tc>
        <w:tc>
          <w:tcPr/>
          <w:p>
            <w:pPr>
              <w:pStyle w:val="Compact"/>
              <w:jc w:val="left"/>
            </w:pPr>
            <w:r>
              <w:rPr>
                <w:bCs/>
                <w:b/>
              </w:rPr>
              <w:t xml:space="preserve">ID</w:t>
            </w:r>
          </w:p>
        </w:tc>
        <w:tc>
          <w:tcPr/>
          <w:p>
            <w:pPr>
              <w:pStyle w:val="Compact"/>
              <w:jc w:val="left"/>
            </w:pPr>
            <w:r>
              <w:rPr>
                <w:bCs/>
                <w:b/>
              </w:rPr>
              <w:t xml:space="preserve">Barrier</w:t>
            </w:r>
          </w:p>
        </w:tc>
        <w:tc>
          <w:tcPr/>
          <w:p>
            <w:pPr>
              <w:pStyle w:val="Compact"/>
              <w:jc w:val="left"/>
            </w:pPr>
            <w:r>
              <w:rPr>
                <w:bCs/>
                <w:b/>
              </w:rPr>
              <w:t xml:space="preserve">Cluster</w:t>
            </w:r>
          </w:p>
        </w:tc>
      </w:tr>
      <w:tr>
        <w:tc>
          <w:tcPr/>
          <w:p>
            <w:pPr>
              <w:pStyle w:val="Compact"/>
              <w:jc w:val="left"/>
            </w:pPr>
            <w:r>
              <w:t xml:space="preserve">B1</w:t>
            </w:r>
          </w:p>
        </w:tc>
        <w:tc>
          <w:tcPr/>
          <w:p>
            <w:pPr>
              <w:pStyle w:val="Compact"/>
              <w:jc w:val="left"/>
            </w:pPr>
            <w:r>
              <w:t xml:space="preserve">Safety-Critical CI Selection</w:t>
            </w:r>
          </w:p>
        </w:tc>
        <w:tc>
          <w:tcPr/>
          <w:p>
            <w:pPr>
              <w:pStyle w:val="Compact"/>
              <w:jc w:val="left"/>
            </w:pPr>
            <w:r>
              <w:t xml:space="preserve">1</w:t>
            </w:r>
          </w:p>
        </w:tc>
        <w:tc>
          <w:tcPr/>
          <w:p>
            <w:pPr>
              <w:pStyle w:val="Compact"/>
              <w:jc w:val="left"/>
            </w:pPr>
            <w:r>
              <w:t xml:space="preserve">B9</w:t>
            </w:r>
          </w:p>
        </w:tc>
        <w:tc>
          <w:tcPr/>
          <w:p>
            <w:pPr>
              <w:pStyle w:val="Compact"/>
              <w:jc w:val="left"/>
            </w:pPr>
            <w:r>
              <w:t xml:space="preserve">Physical Configuration Audit</w:t>
            </w:r>
          </w:p>
        </w:tc>
        <w:tc>
          <w:tcPr/>
          <w:p>
            <w:pPr>
              <w:pStyle w:val="Compact"/>
              <w:jc w:val="left"/>
            </w:pPr>
            <w:r>
              <w:t xml:space="preserve">3</w:t>
            </w:r>
          </w:p>
        </w:tc>
      </w:tr>
      <w:tr>
        <w:tc>
          <w:tcPr/>
          <w:p>
            <w:pPr>
              <w:pStyle w:val="Compact"/>
              <w:jc w:val="left"/>
            </w:pPr>
            <w:r>
              <w:t xml:space="preserve">B2</w:t>
            </w:r>
          </w:p>
        </w:tc>
        <w:tc>
          <w:tcPr/>
          <w:p>
            <w:pPr>
              <w:pStyle w:val="Compact"/>
              <w:jc w:val="left"/>
            </w:pPr>
            <w:r>
              <w:t xml:space="preserve">Classification and Authority Alignment</w:t>
            </w:r>
          </w:p>
        </w:tc>
        <w:tc>
          <w:tcPr/>
          <w:p>
            <w:pPr>
              <w:pStyle w:val="Compact"/>
              <w:jc w:val="left"/>
            </w:pPr>
            <w:r>
              <w:t xml:space="preserve">1</w:t>
            </w:r>
          </w:p>
        </w:tc>
        <w:tc>
          <w:tcPr/>
          <w:p>
            <w:pPr>
              <w:pStyle w:val="Compact"/>
              <w:jc w:val="left"/>
            </w:pPr>
            <w:r>
              <w:t xml:space="preserve">B10</w:t>
            </w:r>
          </w:p>
        </w:tc>
        <w:tc>
          <w:tcPr/>
          <w:p>
            <w:pPr>
              <w:pStyle w:val="Compact"/>
              <w:jc w:val="left"/>
            </w:pPr>
            <w:r>
              <w:t xml:space="preserve">Historical Traceability</w:t>
            </w:r>
          </w:p>
        </w:tc>
        <w:tc>
          <w:tcPr/>
          <w:p>
            <w:pPr>
              <w:pStyle w:val="Compact"/>
              <w:jc w:val="left"/>
            </w:pPr>
            <w:r>
              <w:t xml:space="preserve">3</w:t>
            </w:r>
          </w:p>
        </w:tc>
      </w:tr>
      <w:tr>
        <w:tc>
          <w:tcPr/>
          <w:p>
            <w:pPr>
              <w:pStyle w:val="Compact"/>
              <w:jc w:val="left"/>
            </w:pPr>
            <w:r>
              <w:t xml:space="preserve">B3</w:t>
            </w:r>
          </w:p>
        </w:tc>
        <w:tc>
          <w:tcPr/>
          <w:p>
            <w:pPr>
              <w:pStyle w:val="Compact"/>
              <w:jc w:val="left"/>
            </w:pPr>
            <w:r>
              <w:t xml:space="preserve">Engineering Change Process</w:t>
            </w:r>
          </w:p>
        </w:tc>
        <w:tc>
          <w:tcPr/>
          <w:p>
            <w:pPr>
              <w:pStyle w:val="Compact"/>
              <w:jc w:val="left"/>
            </w:pPr>
            <w:r>
              <w:t xml:space="preserve">2</w:t>
            </w:r>
          </w:p>
        </w:tc>
        <w:tc>
          <w:tcPr/>
          <w:p>
            <w:pPr>
              <w:pStyle w:val="Compact"/>
              <w:jc w:val="left"/>
            </w:pPr>
            <w:r>
              <w:t xml:space="preserve">B11</w:t>
            </w:r>
          </w:p>
        </w:tc>
        <w:tc>
          <w:tcPr/>
          <w:p>
            <w:pPr>
              <w:pStyle w:val="Compact"/>
              <w:jc w:val="left"/>
            </w:pPr>
            <w:r>
              <w:t xml:space="preserve">As-Maintained Configuration After Retrofit</w:t>
            </w:r>
          </w:p>
        </w:tc>
        <w:tc>
          <w:tcPr/>
          <w:p>
            <w:pPr>
              <w:pStyle w:val="Compact"/>
              <w:jc w:val="left"/>
            </w:pPr>
            <w:r>
              <w:t xml:space="preserve">3</w:t>
            </w:r>
          </w:p>
        </w:tc>
      </w:tr>
      <w:tr>
        <w:tc>
          <w:tcPr/>
          <w:p>
            <w:pPr>
              <w:pStyle w:val="Compact"/>
              <w:jc w:val="left"/>
            </w:pPr>
            <w:r>
              <w:t xml:space="preserve">B4</w:t>
            </w:r>
          </w:p>
        </w:tc>
        <w:tc>
          <w:tcPr/>
          <w:p>
            <w:pPr>
              <w:pStyle w:val="Compact"/>
              <w:jc w:val="left"/>
            </w:pPr>
            <w:r>
              <w:t xml:space="preserve">Comprehensive Impact Assessment</w:t>
            </w:r>
          </w:p>
        </w:tc>
        <w:tc>
          <w:tcPr/>
          <w:p>
            <w:pPr>
              <w:pStyle w:val="Compact"/>
              <w:jc w:val="left"/>
            </w:pPr>
            <w:r>
              <w:t xml:space="preserve">2</w:t>
            </w:r>
          </w:p>
        </w:tc>
        <w:tc>
          <w:tcPr/>
          <w:p>
            <w:pPr>
              <w:pStyle w:val="Compact"/>
              <w:jc w:val="left"/>
            </w:pPr>
            <w:r>
              <w:t xml:space="preserve">B12</w:t>
            </w:r>
          </w:p>
        </w:tc>
        <w:tc>
          <w:tcPr/>
          <w:p>
            <w:pPr>
              <w:pStyle w:val="Compact"/>
              <w:jc w:val="left"/>
            </w:pPr>
            <w:r>
              <w:t xml:space="preserve">Production vs Development CI Difference</w:t>
            </w:r>
          </w:p>
        </w:tc>
        <w:tc>
          <w:tcPr/>
          <w:p>
            <w:pPr>
              <w:pStyle w:val="Compact"/>
              <w:jc w:val="left"/>
            </w:pPr>
            <w:r>
              <w:t xml:space="preserve">3</w:t>
            </w:r>
          </w:p>
        </w:tc>
      </w:tr>
      <w:tr>
        <w:tc>
          <w:tcPr/>
          <w:p>
            <w:pPr>
              <w:pStyle w:val="Compact"/>
              <w:jc w:val="left"/>
            </w:pPr>
            <w:r>
              <w:t xml:space="preserve">B5</w:t>
            </w:r>
          </w:p>
        </w:tc>
        <w:tc>
          <w:tcPr/>
          <w:p>
            <w:pPr>
              <w:pStyle w:val="Compact"/>
              <w:jc w:val="left"/>
            </w:pPr>
            <w:r>
              <w:t xml:space="preserve">Recurring Variance to Permanent Fix</w:t>
            </w:r>
          </w:p>
        </w:tc>
        <w:tc>
          <w:tcPr/>
          <w:p>
            <w:pPr>
              <w:pStyle w:val="Compact"/>
              <w:jc w:val="left"/>
            </w:pPr>
            <w:r>
              <w:t xml:space="preserve">2</w:t>
            </w:r>
          </w:p>
        </w:tc>
        <w:tc>
          <w:tcPr/>
          <w:p>
            <w:pPr>
              <w:pStyle w:val="Compact"/>
              <w:jc w:val="left"/>
            </w:pPr>
            <w:r>
              <w:t xml:space="preserve">B13</w:t>
            </w:r>
          </w:p>
        </w:tc>
        <w:tc>
          <w:tcPr/>
          <w:p>
            <w:pPr>
              <w:pStyle w:val="Compact"/>
              <w:jc w:val="left"/>
            </w:pPr>
            <w:r>
              <w:t xml:space="preserve">Interface Management</w:t>
            </w:r>
          </w:p>
        </w:tc>
        <w:tc>
          <w:tcPr/>
          <w:p>
            <w:pPr>
              <w:pStyle w:val="Compact"/>
              <w:jc w:val="left"/>
            </w:pPr>
            <w:r>
              <w:t xml:space="preserve">4</w:t>
            </w:r>
          </w:p>
        </w:tc>
      </w:tr>
      <w:tr>
        <w:tc>
          <w:tcPr/>
          <w:p>
            <w:pPr>
              <w:pStyle w:val="Compact"/>
              <w:jc w:val="left"/>
            </w:pPr>
            <w:r>
              <w:t xml:space="preserve">B6</w:t>
            </w:r>
          </w:p>
        </w:tc>
        <w:tc>
          <w:tcPr/>
          <w:p>
            <w:pPr>
              <w:pStyle w:val="Compact"/>
              <w:jc w:val="left"/>
            </w:pPr>
            <w:r>
              <w:t xml:space="preserve">Change Propagation / NOR Discipline</w:t>
            </w:r>
          </w:p>
        </w:tc>
        <w:tc>
          <w:tcPr/>
          <w:p>
            <w:pPr>
              <w:pStyle w:val="Compact"/>
              <w:jc w:val="left"/>
            </w:pPr>
            <w:r>
              <w:t xml:space="preserve">2</w:t>
            </w:r>
          </w:p>
        </w:tc>
        <w:tc>
          <w:tcPr/>
          <w:p>
            <w:pPr>
              <w:pStyle w:val="Compact"/>
              <w:jc w:val="left"/>
            </w:pPr>
            <w:r>
              <w:t xml:space="preserve">B14</w:t>
            </w:r>
          </w:p>
        </w:tc>
        <w:tc>
          <w:tcPr/>
          <w:p>
            <w:pPr>
              <w:pStyle w:val="Compact"/>
              <w:jc w:val="left"/>
            </w:pPr>
            <w:r>
              <w:t xml:space="preserve">Sub-Supplier Traceability</w:t>
            </w:r>
          </w:p>
        </w:tc>
        <w:tc>
          <w:tcPr/>
          <w:p>
            <w:pPr>
              <w:pStyle w:val="Compact"/>
              <w:jc w:val="left"/>
            </w:pPr>
            <w:r>
              <w:t xml:space="preserve">4</w:t>
            </w:r>
          </w:p>
        </w:tc>
      </w:tr>
      <w:tr>
        <w:tc>
          <w:tcPr/>
          <w:p>
            <w:pPr>
              <w:pStyle w:val="Compact"/>
              <w:jc w:val="left"/>
            </w:pPr>
            <w:r>
              <w:t xml:space="preserve">B7</w:t>
            </w:r>
          </w:p>
        </w:tc>
        <w:tc>
          <w:tcPr/>
          <w:p>
            <w:pPr>
              <w:pStyle w:val="Compact"/>
              <w:jc w:val="left"/>
            </w:pPr>
            <w:r>
              <w:t xml:space="preserve">Configuration Documentation Currency</w:t>
            </w:r>
          </w:p>
        </w:tc>
        <w:tc>
          <w:tcPr/>
          <w:p>
            <w:pPr>
              <w:pStyle w:val="Compact"/>
              <w:jc w:val="left"/>
            </w:pPr>
            <w:r>
              <w:t xml:space="preserve">2</w:t>
            </w:r>
          </w:p>
        </w:tc>
        <w:tc>
          <w:tcPr/>
          <w:p>
            <w:pPr>
              <w:pStyle w:val="Compact"/>
              <w:jc w:val="left"/>
            </w:pPr>
            <w:r>
              <w:t xml:space="preserve">B15</w:t>
            </w:r>
          </w:p>
        </w:tc>
        <w:tc>
          <w:tcPr/>
          <w:p>
            <w:pPr>
              <w:pStyle w:val="Compact"/>
              <w:jc w:val="left"/>
            </w:pPr>
            <w:r>
              <w:t xml:space="preserve">CM Flow-Down to Sub-Suppliers</w:t>
            </w:r>
          </w:p>
        </w:tc>
        <w:tc>
          <w:tcPr/>
          <w:p>
            <w:pPr>
              <w:pStyle w:val="Compact"/>
              <w:jc w:val="left"/>
            </w:pPr>
            <w:r>
              <w:t xml:space="preserve">4</w:t>
            </w:r>
          </w:p>
        </w:tc>
      </w:tr>
      <w:tr>
        <w:tc>
          <w:tcPr/>
          <w:p>
            <w:pPr>
              <w:pStyle w:val="Compact"/>
              <w:jc w:val="left"/>
            </w:pPr>
            <w:r>
              <w:t xml:space="preserve">B8</w:t>
            </w:r>
          </w:p>
        </w:tc>
        <w:tc>
          <w:tcPr/>
          <w:p>
            <w:pPr>
              <w:pStyle w:val="Compact"/>
              <w:jc w:val="left"/>
            </w:pPr>
            <w:r>
              <w:t xml:space="preserve">Configuration Status Accounting (As-Built Accuracy)</w:t>
            </w:r>
          </w:p>
        </w:tc>
        <w:tc>
          <w:tcPr/>
          <w:p>
            <w:pPr>
              <w:pStyle w:val="Compact"/>
              <w:jc w:val="left"/>
            </w:pPr>
            <w:r>
              <w:t xml:space="preserve">3</w:t>
            </w:r>
          </w:p>
        </w:tc>
        <w:tc>
          <w:tcPr/>
          <w:p>
            <w:pPr>
              <w:pStyle w:val="Compact"/>
              <w:jc w:val="left"/>
            </w:pPr>
            <w:r>
              <w:t xml:space="preserve">B16</w:t>
            </w:r>
          </w:p>
        </w:tc>
        <w:tc>
          <w:tcPr/>
          <w:p>
            <w:pPr>
              <w:pStyle w:val="Compact"/>
              <w:jc w:val="left"/>
            </w:pPr>
            <w:r>
              <w:t xml:space="preserve">Functional Configuration Audit</w:t>
            </w:r>
          </w:p>
        </w:tc>
        <w:tc>
          <w:tcPr/>
          <w:p>
            <w:pPr>
              <w:pStyle w:val="Compact"/>
              <w:jc w:val="left"/>
            </w:pPr>
            <w:r>
              <w:t xml:space="preserve">4</w:t>
            </w:r>
          </w:p>
        </w:tc>
      </w:tr>
    </w:tbl>
    <w:p>
      <w:pPr>
        <w:pStyle w:val="BodyText"/>
      </w:pPr>
      <w:r>
        <w:rPr>
          <w:iCs/>
          <w:i/>
        </w:rPr>
        <w:t xml:space="preserve">&lt;</w:t>
      </w:r>
      <w:r>
        <w:rPr>
          <w:bCs/>
          <w:b/>
          <w:iCs/>
          <w:i/>
        </w:rPr>
        <w:t xml:space="preserve">Hazard references below cite the organizational safety standard by clause. Replace each with the hazard title, or add the title alongside the clause, so a reader without access to that standard can interpret the column.</w:t>
      </w:r>
      <w:r>
        <w:rPr>
          <w:iCs/>
          <w:i/>
        </w:rPr>
        <w:t xml:space="preserve">&gt;</w:t>
      </w:r>
    </w:p>
    <w:p>
      <w:pPr>
        <w:pStyle w:val="BodyText"/>
      </w:pPr>
      <w:r>
        <w:rPr>
          <w:iCs/>
          <w:i/>
        </w:rPr>
        <w:t xml:space="preserve">&lt;</w:t>
      </w:r>
      <w:r>
        <w:rPr>
          <w:bCs/>
          <w:b/>
          <w:iCs/>
          <w:i/>
        </w:rPr>
        <w:t xml:space="preserve">Clusters correspond to Sections 7.1–7.4: 1 Hazard ID and Critical-Item Recognition; 2 Change Discipline; 3 As-Designed to As-Built Reconciliation; 4 Interfaces and Supply Chain.</w:t>
      </w:r>
      <w:r>
        <w:rPr>
          <w:iCs/>
          <w:i/>
        </w:rPr>
        <w:t xml:space="preserve">&gt;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rPr>
                <w:bCs/>
                <w:b/>
              </w:rPr>
              <w:t xml:space="preserve">Barrier Req. ID</w:t>
            </w:r>
          </w:p>
        </w:tc>
        <w:tc>
          <w:tcPr/>
          <w:p>
            <w:pPr>
              <w:pStyle w:val="Compact"/>
              <w:jc w:val="left"/>
            </w:pPr>
            <w:r>
              <w:rPr>
                <w:bCs/>
                <w:b/>
              </w:rPr>
              <w:t xml:space="preserve">EIA-649-1A Clause</w:t>
            </w:r>
          </w:p>
        </w:tc>
        <w:tc>
          <w:tcPr/>
          <w:p>
            <w:pPr>
              <w:pStyle w:val="Compact"/>
              <w:jc w:val="left"/>
            </w:pPr>
            <w:r>
              <w:rPr>
                <w:bCs/>
                <w:b/>
              </w:rPr>
              <w:t xml:space="preserve">Requirement (paraphrased)</w:t>
            </w:r>
          </w:p>
        </w:tc>
        <w:tc>
          <w:tcPr/>
          <w:p>
            <w:pPr>
              <w:pStyle w:val="Compact"/>
              <w:jc w:val="left"/>
            </w:pPr>
            <w:r>
              <w:rPr>
                <w:bCs/>
                <w:b/>
              </w:rPr>
              <w:t xml:space="preserve">Barrier(s)</w:t>
            </w:r>
          </w:p>
        </w:tc>
        <w:tc>
          <w:tcPr/>
          <w:p>
            <w:pPr>
              <w:pStyle w:val="Compact"/>
              <w:jc w:val="left"/>
            </w:pPr>
            <w:r>
              <w:rPr>
                <w:bCs/>
                <w:b/>
              </w:rPr>
              <w:t xml:space="preserve">SM-0001 hazard controlled</w:t>
            </w:r>
          </w:p>
        </w:tc>
        <w:tc>
          <w:tcPr/>
          <w:p>
            <w:pPr>
              <w:pStyle w:val="Compact"/>
              <w:jc w:val="left"/>
            </w:pPr>
            <w:r>
              <w:rPr>
                <w:bCs/>
                <w:b/>
              </w:rPr>
              <w:t xml:space="preserve">Inclusion</w:t>
            </w:r>
          </w:p>
        </w:tc>
        <w:tc>
          <w:tcPr/>
          <w:p>
            <w:pPr>
              <w:pStyle w:val="Compact"/>
              <w:jc w:val="left"/>
            </w:pPr>
            <w:r>
              <w:rPr>
                <w:bCs/>
                <w:b/>
              </w:rPr>
              <w:t xml:space="preserve">CMP Section(s)</w:t>
            </w:r>
          </w:p>
        </w:tc>
      </w:tr>
      <w:tr>
        <w:tc>
          <w:tcPr/>
          <w:p>
            <w:pPr>
              <w:pStyle w:val="Compact"/>
              <w:jc w:val="left"/>
            </w:pPr>
            <w:r>
              <w:t xml:space="preserve">F01</w:t>
            </w:r>
          </w:p>
        </w:tc>
        <w:tc>
          <w:tcPr/>
          <w:p>
            <w:pPr>
              <w:pStyle w:val="Compact"/>
              <w:jc w:val="left"/>
            </w:pPr>
            <w:r>
              <w:t xml:space="preserve">3.2.1(2)(b)</w:t>
            </w:r>
          </w:p>
        </w:tc>
        <w:tc>
          <w:tcPr/>
          <w:p>
            <w:pPr>
              <w:pStyle w:val="Compact"/>
              <w:jc w:val="left"/>
            </w:pPr>
            <w:r>
              <w:t xml:space="preserve">Identify as a CI any item whose failure could cause serious injury, loss of life, or loss of primary system capability</w:t>
            </w:r>
          </w:p>
        </w:tc>
        <w:tc>
          <w:tcPr/>
          <w:p>
            <w:pPr>
              <w:pStyle w:val="Compact"/>
              <w:jc w:val="left"/>
            </w:pPr>
            <w:r>
              <w:t xml:space="preserve">B1</w:t>
            </w:r>
          </w:p>
        </w:tc>
        <w:tc>
          <w:tcPr/>
          <w:p>
            <w:pPr>
              <w:pStyle w:val="Compact"/>
              <w:jc w:val="left"/>
            </w:pPr>
            <w:r>
              <w:t xml:space="preserve">§6.2.1 Hazard identification</w:t>
            </w:r>
          </w:p>
        </w:tc>
        <w:tc>
          <w:tcPr/>
          <w:p>
            <w:pPr>
              <w:pStyle w:val="Compact"/>
              <w:jc w:val="left"/>
            </w:pPr>
            <w:r>
              <w:t xml:space="preserve">Clean</w:t>
            </w:r>
          </w:p>
        </w:tc>
        <w:tc>
          <w:tcPr/>
          <w:p>
            <w:pPr>
              <w:pStyle w:val="Compact"/>
              <w:jc w:val="left"/>
            </w:pPr>
            <w:r>
              <w:t xml:space="preserve">2.3 Configuration Identification</w:t>
            </w:r>
          </w:p>
        </w:tc>
      </w:tr>
      <w:tr>
        <w:tc>
          <w:tcPr/>
          <w:p>
            <w:pPr>
              <w:pStyle w:val="Compact"/>
              <w:jc w:val="left"/>
            </w:pPr>
            <w:r>
              <w:t xml:space="preserve">F02</w:t>
            </w:r>
          </w:p>
        </w:tc>
        <w:tc>
          <w:tcPr/>
          <w:p>
            <w:pPr>
              <w:pStyle w:val="Compact"/>
              <w:jc w:val="left"/>
            </w:pPr>
            <w:r>
              <w:t xml:space="preserve">3.3.1.2(1)</w:t>
            </w:r>
          </w:p>
        </w:tc>
        <w:tc>
          <w:tcPr/>
          <w:p>
            <w:pPr>
              <w:pStyle w:val="Compact"/>
              <w:jc w:val="left"/>
            </w:pPr>
            <w:r>
              <w:t xml:space="preserve">Classify every engineering change as Major (Class I) or Minor (Class II)</w:t>
            </w:r>
          </w:p>
        </w:tc>
        <w:tc>
          <w:tcPr/>
          <w:p>
            <w:pPr>
              <w:pStyle w:val="Compact"/>
              <w:jc w:val="left"/>
            </w:pPr>
            <w:r>
              <w:t xml:space="preserve">B2</w:t>
            </w:r>
          </w:p>
        </w:tc>
        <w:tc>
          <w:tcPr/>
          <w:p>
            <w:pPr>
              <w:pStyle w:val="Compact"/>
              <w:jc w:val="left"/>
            </w:pPr>
            <w:r>
              <w:t xml:space="preserve">§6.2.2 Risk-acceptance authority</w:t>
            </w:r>
          </w:p>
        </w:tc>
        <w:tc>
          <w:tcPr/>
          <w:p>
            <w:pPr>
              <w:pStyle w:val="Compact"/>
              <w:jc w:val="left"/>
            </w:pPr>
            <w:r>
              <w:t xml:space="preserve">Clean</w:t>
            </w:r>
          </w:p>
        </w:tc>
        <w:tc>
          <w:tcPr/>
          <w:p>
            <w:pPr>
              <w:pStyle w:val="Compact"/>
              <w:jc w:val="left"/>
            </w:pPr>
            <w:r>
              <w:t xml:space="preserve">2.4 Configuration Control</w:t>
            </w:r>
          </w:p>
        </w:tc>
      </w:tr>
      <w:tr>
        <w:tc>
          <w:tcPr/>
          <w:p>
            <w:pPr>
              <w:pStyle w:val="Compact"/>
              <w:jc w:val="left"/>
            </w:pPr>
            <w:r>
              <w:t xml:space="preserve">F03</w:t>
            </w:r>
          </w:p>
        </w:tc>
        <w:tc>
          <w:tcPr/>
          <w:p>
            <w:pPr>
              <w:pStyle w:val="Compact"/>
              <w:jc w:val="left"/>
            </w:pPr>
            <w:r>
              <w:t xml:space="preserve">3.3.1.2(2)(e)(6)(a)</w:t>
            </w:r>
          </w:p>
        </w:tc>
        <w:tc>
          <w:tcPr/>
          <w:p>
            <w:pPr>
              <w:pStyle w:val="Compact"/>
              <w:jc w:val="left"/>
            </w:pPr>
            <w:r>
              <w:t xml:space="preserve">Treat changes affecting safety as Major (Class I)</w:t>
            </w:r>
          </w:p>
        </w:tc>
        <w:tc>
          <w:tcPr/>
          <w:p>
            <w:pPr>
              <w:pStyle w:val="Compact"/>
              <w:jc w:val="left"/>
            </w:pPr>
            <w:r>
              <w:t xml:space="preserve">B2</w:t>
            </w:r>
          </w:p>
        </w:tc>
        <w:tc>
          <w:tcPr/>
          <w:p>
            <w:pPr>
              <w:pStyle w:val="Compact"/>
              <w:jc w:val="left"/>
            </w:pPr>
            <w:r>
              <w:t xml:space="preserve">§6.2.2 Risk-acceptance authority</w:t>
            </w:r>
          </w:p>
        </w:tc>
        <w:tc>
          <w:tcPr/>
          <w:p>
            <w:pPr>
              <w:pStyle w:val="Compact"/>
              <w:jc w:val="left"/>
            </w:pPr>
            <w:r>
              <w:t xml:space="preserve">Clean</w:t>
            </w:r>
          </w:p>
        </w:tc>
        <w:tc>
          <w:tcPr/>
          <w:p>
            <w:pPr>
              <w:pStyle w:val="Compact"/>
              <w:jc w:val="left"/>
            </w:pPr>
            <w:r>
              <w:t xml:space="preserve">2.4 Configuration Control</w:t>
            </w:r>
          </w:p>
        </w:tc>
      </w:tr>
      <w:tr>
        <w:tc>
          <w:tcPr/>
          <w:p>
            <w:pPr>
              <w:pStyle w:val="Compact"/>
              <w:jc w:val="left"/>
            </w:pPr>
            <w:r>
              <w:t xml:space="preserve">F04</w:t>
            </w:r>
          </w:p>
        </w:tc>
        <w:tc>
          <w:tcPr/>
          <w:p>
            <w:pPr>
              <w:pStyle w:val="Compact"/>
              <w:jc w:val="left"/>
            </w:pPr>
            <w:r>
              <w:t xml:space="preserve">3.3(3)</w:t>
            </w:r>
          </w:p>
        </w:tc>
        <w:tc>
          <w:tcPr/>
          <w:p>
            <w:pPr>
              <w:pStyle w:val="Compact"/>
              <w:jc w:val="left"/>
            </w:pPr>
            <w:r>
              <w:t xml:space="preserve">Support a joint Acquirer/Supplier Configuration Control Board</w:t>
            </w:r>
          </w:p>
        </w:tc>
        <w:tc>
          <w:tcPr/>
          <w:p>
            <w:pPr>
              <w:pStyle w:val="Compact"/>
              <w:jc w:val="left"/>
            </w:pPr>
            <w:r>
              <w:t xml:space="preserve">B2</w:t>
            </w:r>
          </w:p>
        </w:tc>
        <w:tc>
          <w:tcPr/>
          <w:p>
            <w:pPr>
              <w:pStyle w:val="Compact"/>
              <w:jc w:val="left"/>
            </w:pPr>
            <w:r>
              <w:t xml:space="preserve">§6.2.2 Risk-acceptance authority</w:t>
            </w:r>
          </w:p>
        </w:tc>
        <w:tc>
          <w:tcPr/>
          <w:p>
            <w:pPr>
              <w:pStyle w:val="Compact"/>
              <w:jc w:val="left"/>
            </w:pPr>
            <w:r>
              <w:t xml:space="preserve">Judgment</w:t>
            </w:r>
          </w:p>
        </w:tc>
        <w:tc>
          <w:tcPr/>
          <w:p>
            <w:pPr>
              <w:pStyle w:val="Compact"/>
              <w:jc w:val="left"/>
            </w:pPr>
            <w:r>
              <w:t xml:space="preserve">2.4 Configuration Control; 3.2 Acquirer–Supplier</w:t>
            </w:r>
          </w:p>
        </w:tc>
      </w:tr>
      <w:tr>
        <w:tc>
          <w:tcPr/>
          <w:p>
            <w:pPr>
              <w:pStyle w:val="Compact"/>
              <w:jc w:val="left"/>
            </w:pPr>
            <w:r>
              <w:t xml:space="preserve">F05</w:t>
            </w:r>
          </w:p>
        </w:tc>
        <w:tc>
          <w:tcPr/>
          <w:p>
            <w:pPr>
              <w:pStyle w:val="Compact"/>
              <w:jc w:val="left"/>
            </w:pPr>
            <w:r>
              <w:t xml:space="preserve">3.3.1.8.1(1)</w:t>
            </w:r>
          </w:p>
        </w:tc>
        <w:tc>
          <w:tcPr/>
          <w:p>
            <w:pPr>
              <w:pStyle w:val="Compact"/>
              <w:jc w:val="left"/>
            </w:pPr>
            <w:r>
              <w:t xml:space="preserve">Obtain Acquirer concurrence on Minor (Class II) classification</w:t>
            </w:r>
          </w:p>
        </w:tc>
        <w:tc>
          <w:tcPr/>
          <w:p>
            <w:pPr>
              <w:pStyle w:val="Compact"/>
              <w:jc w:val="left"/>
            </w:pPr>
            <w:r>
              <w:t xml:space="preserve">B2</w:t>
            </w:r>
          </w:p>
        </w:tc>
        <w:tc>
          <w:tcPr/>
          <w:p>
            <w:pPr>
              <w:pStyle w:val="Compact"/>
              <w:jc w:val="left"/>
            </w:pPr>
            <w:r>
              <w:t xml:space="preserve">§6.2.2 Risk-acceptance authority</w:t>
            </w:r>
          </w:p>
        </w:tc>
        <w:tc>
          <w:tcPr/>
          <w:p>
            <w:pPr>
              <w:pStyle w:val="Compact"/>
              <w:jc w:val="left"/>
            </w:pPr>
            <w:r>
              <w:t xml:space="preserve">Judgment</w:t>
            </w:r>
          </w:p>
        </w:tc>
        <w:tc>
          <w:tcPr/>
          <w:p>
            <w:pPr>
              <w:pStyle w:val="Compact"/>
              <w:jc w:val="left"/>
            </w:pPr>
            <w:r>
              <w:t xml:space="preserve">2.4 Configuration Control; 3.2 Acquirer–Supplier</w:t>
            </w:r>
          </w:p>
        </w:tc>
      </w:tr>
      <w:tr>
        <w:tc>
          <w:tcPr/>
          <w:p>
            <w:pPr>
              <w:pStyle w:val="Compact"/>
              <w:jc w:val="left"/>
            </w:pPr>
            <w:r>
              <w:t xml:space="preserve">F06</w:t>
            </w:r>
          </w:p>
        </w:tc>
        <w:tc>
          <w:tcPr/>
          <w:p>
            <w:pPr>
              <w:pStyle w:val="Compact"/>
              <w:jc w:val="left"/>
            </w:pPr>
            <w:r>
              <w:t xml:space="preserve">3.3(1)</w:t>
            </w:r>
          </w:p>
        </w:tc>
        <w:tc>
          <w:tcPr/>
          <w:p>
            <w:pPr>
              <w:pStyle w:val="Compact"/>
              <w:jc w:val="left"/>
            </w:pPr>
            <w:r>
              <w:t xml:space="preserve">Apply configuration control to each CI, its components, and its documentation</w:t>
            </w:r>
          </w:p>
        </w:tc>
        <w:tc>
          <w:tcPr/>
          <w:p>
            <w:pPr>
              <w:pStyle w:val="Compact"/>
              <w:jc w:val="left"/>
            </w:pPr>
            <w:r>
              <w:t xml:space="preserve">B3</w:t>
            </w:r>
          </w:p>
        </w:tc>
        <w:tc>
          <w:tcPr/>
          <w:p>
            <w:pPr>
              <w:pStyle w:val="Compact"/>
              <w:jc w:val="left"/>
            </w:pPr>
            <w:r>
              <w:t xml:space="preserve">§6.2.1 Work not per approved data</w:t>
            </w:r>
          </w:p>
        </w:tc>
        <w:tc>
          <w:tcPr/>
          <w:p>
            <w:pPr>
              <w:pStyle w:val="Compact"/>
              <w:jc w:val="left"/>
            </w:pPr>
            <w:r>
              <w:t xml:space="preserve">Clean</w:t>
            </w:r>
          </w:p>
        </w:tc>
        <w:tc>
          <w:tcPr/>
          <w:p>
            <w:pPr>
              <w:pStyle w:val="Compact"/>
              <w:jc w:val="left"/>
            </w:pPr>
            <w:r>
              <w:t xml:space="preserve">2.4 Configuration Control</w:t>
            </w:r>
          </w:p>
        </w:tc>
      </w:tr>
      <w:tr>
        <w:tc>
          <w:tcPr/>
          <w:p>
            <w:pPr>
              <w:pStyle w:val="Compact"/>
              <w:jc w:val="left"/>
            </w:pPr>
            <w:r>
              <w:t xml:space="preserve">F07</w:t>
            </w:r>
          </w:p>
        </w:tc>
        <w:tc>
          <w:tcPr/>
          <w:p>
            <w:pPr>
              <w:pStyle w:val="Compact"/>
              <w:jc w:val="left"/>
            </w:pPr>
            <w:r>
              <w:t xml:space="preserve">3.3(2)(c)</w:t>
            </w:r>
          </w:p>
        </w:tc>
        <w:tc>
          <w:tcPr/>
          <w:p>
            <w:pPr>
              <w:pStyle w:val="Compact"/>
              <w:jc w:val="left"/>
            </w:pPr>
            <w:r>
              <w:t xml:space="preserve">Document, evaluate, disposition, record in CSA, and report changes and variances</w:t>
            </w:r>
          </w:p>
        </w:tc>
        <w:tc>
          <w:tcPr/>
          <w:p>
            <w:pPr>
              <w:pStyle w:val="Compact"/>
              <w:jc w:val="left"/>
            </w:pPr>
            <w:r>
              <w:t xml:space="preserve">B3</w:t>
            </w:r>
          </w:p>
        </w:tc>
        <w:tc>
          <w:tcPr/>
          <w:p>
            <w:pPr>
              <w:pStyle w:val="Compact"/>
              <w:jc w:val="left"/>
            </w:pPr>
            <w:r>
              <w:t xml:space="preserve">§6.2.1 Work not per approved data</w:t>
            </w:r>
          </w:p>
        </w:tc>
        <w:tc>
          <w:tcPr/>
          <w:p>
            <w:pPr>
              <w:pStyle w:val="Compact"/>
              <w:jc w:val="left"/>
            </w:pPr>
            <w:r>
              <w:t xml:space="preserve">Clean</w:t>
            </w:r>
          </w:p>
        </w:tc>
        <w:tc>
          <w:tcPr/>
          <w:p>
            <w:pPr>
              <w:pStyle w:val="Compact"/>
              <w:jc w:val="left"/>
            </w:pPr>
            <w:r>
              <w:t xml:space="preserve">2.4 Configuration Control; 2.5 CSA</w:t>
            </w:r>
          </w:p>
        </w:tc>
      </w:tr>
      <w:tr>
        <w:tc>
          <w:tcPr/>
          <w:p>
            <w:pPr>
              <w:pStyle w:val="Compact"/>
              <w:jc w:val="left"/>
            </w:pPr>
            <w:r>
              <w:t xml:space="preserve">F08</w:t>
            </w:r>
          </w:p>
        </w:tc>
        <w:tc>
          <w:tcPr/>
          <w:p>
            <w:pPr>
              <w:pStyle w:val="Compact"/>
              <w:jc w:val="left"/>
            </w:pPr>
            <w:r>
              <w:t xml:space="preserve">3.3(2)(e)</w:t>
            </w:r>
          </w:p>
        </w:tc>
        <w:tc>
          <w:tcPr/>
          <w:p>
            <w:pPr>
              <w:pStyle w:val="Compact"/>
              <w:jc w:val="left"/>
            </w:pPr>
            <w:r>
              <w:t xml:space="preserve">Incorporate approved changes into all product configuration information and implement them</w:t>
            </w:r>
          </w:p>
        </w:tc>
        <w:tc>
          <w:tcPr/>
          <w:p>
            <w:pPr>
              <w:pStyle w:val="Compact"/>
              <w:jc w:val="left"/>
            </w:pPr>
            <w:r>
              <w:t xml:space="preserve">B3</w:t>
            </w:r>
          </w:p>
        </w:tc>
        <w:tc>
          <w:tcPr/>
          <w:p>
            <w:pPr>
              <w:pStyle w:val="Compact"/>
              <w:jc w:val="left"/>
            </w:pPr>
            <w:r>
              <w:t xml:space="preserve">§6.2.1 Work not per approved data</w:t>
            </w:r>
          </w:p>
        </w:tc>
        <w:tc>
          <w:tcPr/>
          <w:p>
            <w:pPr>
              <w:pStyle w:val="Compact"/>
              <w:jc w:val="left"/>
            </w:pPr>
            <w:r>
              <w:t xml:space="preserve">Clean</w:t>
            </w:r>
          </w:p>
        </w:tc>
        <w:tc>
          <w:tcPr/>
          <w:p>
            <w:pPr>
              <w:pStyle w:val="Compact"/>
              <w:jc w:val="left"/>
            </w:pPr>
            <w:r>
              <w:t xml:space="preserve">2.4 Configuration Control</w:t>
            </w:r>
          </w:p>
        </w:tc>
      </w:tr>
      <w:tr>
        <w:tc>
          <w:tcPr/>
          <w:p>
            <w:pPr>
              <w:pStyle w:val="Compact"/>
              <w:jc w:val="left"/>
            </w:pPr>
            <w:r>
              <w:t xml:space="preserve">F09</w:t>
            </w:r>
          </w:p>
        </w:tc>
        <w:tc>
          <w:tcPr/>
          <w:p>
            <w:pPr>
              <w:pStyle w:val="Compact"/>
              <w:jc w:val="left"/>
            </w:pPr>
            <w:r>
              <w:t xml:space="preserve">3.3(2)(f)</w:t>
            </w:r>
          </w:p>
        </w:tc>
        <w:tc>
          <w:tcPr/>
          <w:p>
            <w:pPr>
              <w:pStyle w:val="Compact"/>
              <w:jc w:val="left"/>
            </w:pPr>
            <w:r>
              <w:t xml:space="preserve">Verify approved changes were incorporated</w:t>
            </w:r>
          </w:p>
        </w:tc>
        <w:tc>
          <w:tcPr/>
          <w:p>
            <w:pPr>
              <w:pStyle w:val="Compact"/>
              <w:jc w:val="left"/>
            </w:pPr>
            <w:r>
              <w:t xml:space="preserve">B3</w:t>
            </w:r>
          </w:p>
        </w:tc>
        <w:tc>
          <w:tcPr/>
          <w:p>
            <w:pPr>
              <w:pStyle w:val="Compact"/>
              <w:jc w:val="left"/>
            </w:pPr>
            <w:r>
              <w:t xml:space="preserve">§6.2.1 Work not per approved data</w:t>
            </w:r>
          </w:p>
        </w:tc>
        <w:tc>
          <w:tcPr/>
          <w:p>
            <w:pPr>
              <w:pStyle w:val="Compact"/>
              <w:jc w:val="left"/>
            </w:pPr>
            <w:r>
              <w:t xml:space="preserve">Clean</w:t>
            </w:r>
          </w:p>
        </w:tc>
        <w:tc>
          <w:tcPr/>
          <w:p>
            <w:pPr>
              <w:pStyle w:val="Compact"/>
              <w:jc w:val="left"/>
            </w:pPr>
            <w:r>
              <w:t xml:space="preserve">2.4 Configuration Control; 2.6 Verification &amp; Audit</w:t>
            </w:r>
          </w:p>
        </w:tc>
      </w:tr>
      <w:tr>
        <w:tc>
          <w:tcPr/>
          <w:p>
            <w:pPr>
              <w:pStyle w:val="Compact"/>
              <w:jc w:val="left"/>
            </w:pPr>
            <w:r>
              <w:t xml:space="preserve">F10</w:t>
            </w:r>
          </w:p>
        </w:tc>
        <w:tc>
          <w:tcPr/>
          <w:p>
            <w:pPr>
              <w:pStyle w:val="Compact"/>
              <w:jc w:val="left"/>
            </w:pPr>
            <w:r>
              <w:t xml:space="preserve">3.3.1(1)</w:t>
            </w:r>
          </w:p>
        </w:tc>
        <w:tc>
          <w:tcPr/>
          <w:p>
            <w:pPr>
              <w:pStyle w:val="Compact"/>
              <w:jc w:val="left"/>
            </w:pPr>
            <w:r>
              <w:t xml:space="preserve">Use an ECP to document baseline changes and submit to the change approval authority</w:t>
            </w:r>
          </w:p>
        </w:tc>
        <w:tc>
          <w:tcPr/>
          <w:p>
            <w:pPr>
              <w:pStyle w:val="Compact"/>
              <w:jc w:val="left"/>
            </w:pPr>
            <w:r>
              <w:t xml:space="preserve">B2, B3</w:t>
            </w:r>
          </w:p>
        </w:tc>
        <w:tc>
          <w:tcPr/>
          <w:p>
            <w:pPr>
              <w:pStyle w:val="Compact"/>
              <w:jc w:val="left"/>
            </w:pPr>
            <w:r>
              <w:t xml:space="preserve">§6.2.1 Work not per approved data</w:t>
            </w:r>
          </w:p>
        </w:tc>
        <w:tc>
          <w:tcPr/>
          <w:p>
            <w:pPr>
              <w:pStyle w:val="Compact"/>
              <w:jc w:val="left"/>
            </w:pPr>
            <w:r>
              <w:t xml:space="preserve">Clean</w:t>
            </w:r>
          </w:p>
        </w:tc>
        <w:tc>
          <w:tcPr/>
          <w:p>
            <w:pPr>
              <w:pStyle w:val="Compact"/>
              <w:jc w:val="left"/>
            </w:pPr>
            <w:r>
              <w:t xml:space="preserve">2.4 Configuration Control</w:t>
            </w:r>
          </w:p>
        </w:tc>
      </w:tr>
      <w:tr>
        <w:tc>
          <w:tcPr/>
          <w:p>
            <w:pPr>
              <w:pStyle w:val="Compact"/>
              <w:jc w:val="left"/>
            </w:pPr>
            <w:r>
              <w:t xml:space="preserve">F11</w:t>
            </w:r>
          </w:p>
        </w:tc>
        <w:tc>
          <w:tcPr/>
          <w:p>
            <w:pPr>
              <w:pStyle w:val="Compact"/>
              <w:jc w:val="left"/>
            </w:pPr>
            <w:r>
              <w:t xml:space="preserve">3.3.1.1(1)(a)</w:t>
            </w:r>
          </w:p>
        </w:tc>
        <w:tc>
          <w:tcPr/>
          <w:p>
            <w:pPr>
              <w:pStyle w:val="Compact"/>
              <w:jc w:val="left"/>
            </w:pPr>
            <w:r>
              <w:t xml:space="preserve">Define the need for each change</w:t>
            </w:r>
          </w:p>
        </w:tc>
        <w:tc>
          <w:tcPr/>
          <w:p>
            <w:pPr>
              <w:pStyle w:val="Compact"/>
              <w:jc w:val="left"/>
            </w:pPr>
            <w:r>
              <w:t xml:space="preserve">B3</w:t>
            </w:r>
          </w:p>
        </w:tc>
        <w:tc>
          <w:tcPr/>
          <w:p>
            <w:pPr>
              <w:pStyle w:val="Compact"/>
              <w:jc w:val="left"/>
            </w:pPr>
            <w:r>
              <w:t xml:space="preserve">§6.2.1 Work not per approved data</w:t>
            </w:r>
          </w:p>
        </w:tc>
        <w:tc>
          <w:tcPr/>
          <w:p>
            <w:pPr>
              <w:pStyle w:val="Compact"/>
              <w:jc w:val="left"/>
            </w:pPr>
            <w:r>
              <w:t xml:space="preserve">Judgment</w:t>
            </w:r>
          </w:p>
        </w:tc>
        <w:tc>
          <w:tcPr/>
          <w:p>
            <w:pPr>
              <w:pStyle w:val="Compact"/>
              <w:jc w:val="left"/>
            </w:pPr>
            <w:r>
              <w:t xml:space="preserve">2.4 Configuration Control</w:t>
            </w:r>
          </w:p>
        </w:tc>
      </w:tr>
      <w:tr>
        <w:tc>
          <w:tcPr/>
          <w:p>
            <w:pPr>
              <w:pStyle w:val="Compact"/>
              <w:jc w:val="left"/>
            </w:pPr>
            <w:r>
              <w:t xml:space="preserve">F12</w:t>
            </w:r>
          </w:p>
        </w:tc>
        <w:tc>
          <w:tcPr/>
          <w:p>
            <w:pPr>
              <w:pStyle w:val="Compact"/>
              <w:jc w:val="left"/>
            </w:pPr>
            <w:r>
              <w:t xml:space="preserve">3.3.1.1(1)(e)</w:t>
            </w:r>
          </w:p>
        </w:tc>
        <w:tc>
          <w:tcPr/>
          <w:p>
            <w:pPr>
              <w:pStyle w:val="Compact"/>
              <w:jc w:val="left"/>
            </w:pPr>
            <w:r>
              <w:t xml:space="preserve">Incorporate the approved ECP into the configuration documentation</w:t>
            </w:r>
          </w:p>
        </w:tc>
        <w:tc>
          <w:tcPr/>
          <w:p>
            <w:pPr>
              <w:pStyle w:val="Compact"/>
              <w:jc w:val="left"/>
            </w:pPr>
            <w:r>
              <w:t xml:space="preserve">B3</w:t>
            </w:r>
          </w:p>
        </w:tc>
        <w:tc>
          <w:tcPr/>
          <w:p>
            <w:pPr>
              <w:pStyle w:val="Compact"/>
              <w:jc w:val="left"/>
            </w:pPr>
            <w:r>
              <w:t xml:space="preserve">§6.2.1 Work not per approved data</w:t>
            </w:r>
          </w:p>
        </w:tc>
        <w:tc>
          <w:tcPr/>
          <w:p>
            <w:pPr>
              <w:pStyle w:val="Compact"/>
              <w:jc w:val="left"/>
            </w:pPr>
            <w:r>
              <w:t xml:space="preserve">Clean</w:t>
            </w:r>
          </w:p>
        </w:tc>
        <w:tc>
          <w:tcPr/>
          <w:p>
            <w:pPr>
              <w:pStyle w:val="Compact"/>
              <w:jc w:val="left"/>
            </w:pPr>
            <w:r>
              <w:t xml:space="preserve">2.4 Configuration Control</w:t>
            </w:r>
          </w:p>
        </w:tc>
      </w:tr>
      <w:tr>
        <w:tc>
          <w:tcPr/>
          <w:p>
            <w:pPr>
              <w:pStyle w:val="Compact"/>
              <w:jc w:val="left"/>
            </w:pPr>
            <w:r>
              <w:t xml:space="preserve">F13</w:t>
            </w:r>
          </w:p>
        </w:tc>
        <w:tc>
          <w:tcPr/>
          <w:p>
            <w:pPr>
              <w:pStyle w:val="Compact"/>
              <w:jc w:val="left"/>
            </w:pPr>
            <w:r>
              <w:t xml:space="preserve">3.3.1.1(1)(f)</w:t>
            </w:r>
          </w:p>
        </w:tc>
        <w:tc>
          <w:tcPr/>
          <w:p>
            <w:pPr>
              <w:pStyle w:val="Compact"/>
              <w:jc w:val="left"/>
            </w:pPr>
            <w:r>
              <w:t xml:space="preserve">Implement and update documentation via a documented engineering release system</w:t>
            </w:r>
          </w:p>
        </w:tc>
        <w:tc>
          <w:tcPr/>
          <w:p>
            <w:pPr>
              <w:pStyle w:val="Compact"/>
              <w:jc w:val="left"/>
            </w:pPr>
            <w:r>
              <w:t xml:space="preserve">B3</w:t>
            </w:r>
          </w:p>
        </w:tc>
        <w:tc>
          <w:tcPr/>
          <w:p>
            <w:pPr>
              <w:pStyle w:val="Compact"/>
              <w:jc w:val="left"/>
            </w:pPr>
            <w:r>
              <w:t xml:space="preserve">§6.2.1 Work not per approved data</w:t>
            </w:r>
          </w:p>
        </w:tc>
        <w:tc>
          <w:tcPr/>
          <w:p>
            <w:pPr>
              <w:pStyle w:val="Compact"/>
              <w:jc w:val="left"/>
            </w:pPr>
            <w:r>
              <w:t xml:space="preserve">Clean</w:t>
            </w:r>
          </w:p>
        </w:tc>
        <w:tc>
          <w:tcPr/>
          <w:p>
            <w:pPr>
              <w:pStyle w:val="Compact"/>
              <w:jc w:val="left"/>
            </w:pPr>
            <w:r>
              <w:t xml:space="preserve">2.4 Configuration Control; 2.7 Data &amp; Document Management</w:t>
            </w:r>
          </w:p>
        </w:tc>
      </w:tr>
      <w:tr>
        <w:tc>
          <w:tcPr/>
          <w:p>
            <w:pPr>
              <w:pStyle w:val="Compact"/>
              <w:jc w:val="left"/>
            </w:pPr>
            <w:r>
              <w:t xml:space="preserve">F14</w:t>
            </w:r>
          </w:p>
        </w:tc>
        <w:tc>
          <w:tcPr/>
          <w:p>
            <w:pPr>
              <w:pStyle w:val="Compact"/>
              <w:jc w:val="left"/>
            </w:pPr>
            <w:r>
              <w:t xml:space="preserve">3.3.1.1(1)(g)</w:t>
            </w:r>
          </w:p>
        </w:tc>
        <w:tc>
          <w:tcPr/>
          <w:p>
            <w:pPr>
              <w:pStyle w:val="Compact"/>
              <w:jc w:val="left"/>
            </w:pPr>
            <w:r>
              <w:t xml:space="preserve">Record all changes in the CSA system</w:t>
            </w:r>
          </w:p>
        </w:tc>
        <w:tc>
          <w:tcPr/>
          <w:p>
            <w:pPr>
              <w:pStyle w:val="Compact"/>
              <w:jc w:val="left"/>
            </w:pPr>
            <w:r>
              <w:t xml:space="preserve">B3</w:t>
            </w:r>
          </w:p>
        </w:tc>
        <w:tc>
          <w:tcPr/>
          <w:p>
            <w:pPr>
              <w:pStyle w:val="Compact"/>
              <w:jc w:val="left"/>
            </w:pPr>
            <w:r>
              <w:t xml:space="preserve">§6.2.1 Work not per approved data</w:t>
            </w:r>
          </w:p>
        </w:tc>
        <w:tc>
          <w:tcPr/>
          <w:p>
            <w:pPr>
              <w:pStyle w:val="Compact"/>
              <w:jc w:val="left"/>
            </w:pPr>
            <w:r>
              <w:t xml:space="preserve">Clean</w:t>
            </w:r>
          </w:p>
        </w:tc>
        <w:tc>
          <w:tcPr/>
          <w:p>
            <w:pPr>
              <w:pStyle w:val="Compact"/>
              <w:jc w:val="left"/>
            </w:pPr>
            <w:r>
              <w:t xml:space="preserve">2.5 Configuration Status Accounting</w:t>
            </w:r>
          </w:p>
        </w:tc>
      </w:tr>
      <w:tr>
        <w:tc>
          <w:tcPr/>
          <w:p>
            <w:pPr>
              <w:pStyle w:val="Compact"/>
              <w:jc w:val="left"/>
            </w:pPr>
            <w:r>
              <w:t xml:space="preserve">F15</w:t>
            </w:r>
          </w:p>
        </w:tc>
        <w:tc>
          <w:tcPr/>
          <w:p>
            <w:pPr>
              <w:pStyle w:val="Compact"/>
              <w:jc w:val="left"/>
            </w:pPr>
            <w:r>
              <w:t xml:space="preserve">3.3.1.1(1)(h)</w:t>
            </w:r>
          </w:p>
        </w:tc>
        <w:tc>
          <w:tcPr/>
          <w:p>
            <w:pPr>
              <w:pStyle w:val="Compact"/>
              <w:jc w:val="left"/>
            </w:pPr>
            <w:r>
              <w:t xml:space="preserve">Verify the approved change was implemented correctly</w:t>
            </w:r>
          </w:p>
        </w:tc>
        <w:tc>
          <w:tcPr/>
          <w:p>
            <w:pPr>
              <w:pStyle w:val="Compact"/>
              <w:jc w:val="left"/>
            </w:pPr>
            <w:r>
              <w:t xml:space="preserve">B3</w:t>
            </w:r>
          </w:p>
        </w:tc>
        <w:tc>
          <w:tcPr/>
          <w:p>
            <w:pPr>
              <w:pStyle w:val="Compact"/>
              <w:jc w:val="left"/>
            </w:pPr>
            <w:r>
              <w:t xml:space="preserve">§6.2.1 Work not per approved data</w:t>
            </w:r>
          </w:p>
        </w:tc>
        <w:tc>
          <w:tcPr/>
          <w:p>
            <w:pPr>
              <w:pStyle w:val="Compact"/>
              <w:jc w:val="left"/>
            </w:pPr>
            <w:r>
              <w:t xml:space="preserve">Clean</w:t>
            </w:r>
          </w:p>
        </w:tc>
        <w:tc>
          <w:tcPr/>
          <w:p>
            <w:pPr>
              <w:pStyle w:val="Compact"/>
              <w:jc w:val="left"/>
            </w:pPr>
            <w:r>
              <w:t xml:space="preserve">2.4 Configuration Control; 2.6 Verification &amp; Audit</w:t>
            </w:r>
          </w:p>
        </w:tc>
      </w:tr>
      <w:tr>
        <w:tc>
          <w:tcPr/>
          <w:p>
            <w:pPr>
              <w:pStyle w:val="Compact"/>
              <w:jc w:val="left"/>
            </w:pPr>
            <w:r>
              <w:t xml:space="preserve">F16</w:t>
            </w:r>
          </w:p>
        </w:tc>
        <w:tc>
          <w:tcPr/>
          <w:p>
            <w:pPr>
              <w:pStyle w:val="Compact"/>
              <w:jc w:val="left"/>
            </w:pPr>
            <w:r>
              <w:t xml:space="preserve">3.3.1.4(1)</w:t>
            </w:r>
          </w:p>
        </w:tc>
        <w:tc>
          <w:tcPr/>
          <w:p>
            <w:pPr>
              <w:pStyle w:val="Compact"/>
              <w:jc w:val="left"/>
            </w:pPr>
            <w:r>
              <w:t xml:space="preserve">Support each ECP with data to evaluate the change and its full impacts</w:t>
            </w:r>
          </w:p>
        </w:tc>
        <w:tc>
          <w:tcPr/>
          <w:p>
            <w:pPr>
              <w:pStyle w:val="Compact"/>
              <w:jc w:val="left"/>
            </w:pPr>
            <w:r>
              <w:t xml:space="preserve">B4</w:t>
            </w:r>
          </w:p>
        </w:tc>
        <w:tc>
          <w:tcPr/>
          <w:p>
            <w:pPr>
              <w:pStyle w:val="Compact"/>
              <w:jc w:val="left"/>
            </w:pPr>
            <w:r>
              <w:t xml:space="preserve">§6.2.3 Management of change</w:t>
            </w:r>
          </w:p>
        </w:tc>
        <w:tc>
          <w:tcPr/>
          <w:p>
            <w:pPr>
              <w:pStyle w:val="Compact"/>
              <w:jc w:val="left"/>
            </w:pPr>
            <w:r>
              <w:t xml:space="preserve">Clean</w:t>
            </w:r>
          </w:p>
        </w:tc>
        <w:tc>
          <w:tcPr/>
          <w:p>
            <w:pPr>
              <w:pStyle w:val="Compact"/>
              <w:jc w:val="left"/>
            </w:pPr>
            <w:r>
              <w:t xml:space="preserve">2.4 Configuration Control</w:t>
            </w:r>
          </w:p>
        </w:tc>
      </w:tr>
      <w:tr>
        <w:tc>
          <w:tcPr/>
          <w:p>
            <w:pPr>
              <w:pStyle w:val="Compact"/>
              <w:jc w:val="left"/>
            </w:pPr>
            <w:r>
              <w:t xml:space="preserve">F17</w:t>
            </w:r>
          </w:p>
        </w:tc>
        <w:tc>
          <w:tcPr/>
          <w:p>
            <w:pPr>
              <w:pStyle w:val="Compact"/>
              <w:jc w:val="left"/>
            </w:pPr>
            <w:r>
              <w:t xml:space="preserve">3.3.1.4(3)</w:t>
            </w:r>
          </w:p>
        </w:tc>
        <w:tc>
          <w:tcPr/>
          <w:p>
            <w:pPr>
              <w:pStyle w:val="Compact"/>
              <w:jc w:val="left"/>
            </w:pPr>
            <w:r>
              <w:t xml:space="preserve">Include a summary of testing validating new concepts or technology</w:t>
            </w:r>
          </w:p>
        </w:tc>
        <w:tc>
          <w:tcPr/>
          <w:p>
            <w:pPr>
              <w:pStyle w:val="Compact"/>
              <w:jc w:val="left"/>
            </w:pPr>
            <w:r>
              <w:t xml:space="preserve">B4</w:t>
            </w:r>
          </w:p>
        </w:tc>
        <w:tc>
          <w:tcPr/>
          <w:p>
            <w:pPr>
              <w:pStyle w:val="Compact"/>
              <w:jc w:val="left"/>
            </w:pPr>
            <w:r>
              <w:t xml:space="preserve">§6.2.3 Management of change</w:t>
            </w:r>
          </w:p>
        </w:tc>
        <w:tc>
          <w:tcPr/>
          <w:p>
            <w:pPr>
              <w:pStyle w:val="Compact"/>
              <w:jc w:val="left"/>
            </w:pPr>
            <w:r>
              <w:t xml:space="preserve">Clean</w:t>
            </w:r>
          </w:p>
        </w:tc>
        <w:tc>
          <w:tcPr/>
          <w:p>
            <w:pPr>
              <w:pStyle w:val="Compact"/>
              <w:jc w:val="left"/>
            </w:pPr>
            <w:r>
              <w:t xml:space="preserve">2.4 Configuration Control</w:t>
            </w:r>
          </w:p>
        </w:tc>
      </w:tr>
      <w:tr>
        <w:tc>
          <w:tcPr/>
          <w:p>
            <w:pPr>
              <w:pStyle w:val="Compact"/>
              <w:jc w:val="left"/>
            </w:pPr>
            <w:r>
              <w:t xml:space="preserve">F18</w:t>
            </w:r>
          </w:p>
        </w:tc>
        <w:tc>
          <w:tcPr/>
          <w:p>
            <w:pPr>
              <w:pStyle w:val="Compact"/>
              <w:jc w:val="left"/>
            </w:pPr>
            <w:r>
              <w:t xml:space="preserve">3.3.2(1)</w:t>
            </w:r>
          </w:p>
        </w:tc>
        <w:tc>
          <w:tcPr/>
          <w:p>
            <w:pPr>
              <w:pStyle w:val="Compact"/>
              <w:jc w:val="left"/>
            </w:pPr>
            <w:r>
              <w:t xml:space="preserve">Obtain Acquirer approval for any non-conforming item via a Request for Variance</w:t>
            </w:r>
          </w:p>
        </w:tc>
        <w:tc>
          <w:tcPr/>
          <w:p>
            <w:pPr>
              <w:pStyle w:val="Compact"/>
              <w:jc w:val="left"/>
            </w:pPr>
            <w:r>
              <w:t xml:space="preserve">B5</w:t>
            </w:r>
          </w:p>
        </w:tc>
        <w:tc>
          <w:tcPr/>
          <w:p>
            <w:pPr>
              <w:pStyle w:val="Compact"/>
              <w:jc w:val="left"/>
            </w:pPr>
            <w:r>
              <w:t xml:space="preserve">§6.3.3 Continuous improvement</w:t>
            </w:r>
          </w:p>
        </w:tc>
        <w:tc>
          <w:tcPr/>
          <w:p>
            <w:pPr>
              <w:pStyle w:val="Compact"/>
              <w:jc w:val="left"/>
            </w:pPr>
            <w:r>
              <w:t xml:space="preserve">Clean</w:t>
            </w:r>
          </w:p>
        </w:tc>
        <w:tc>
          <w:tcPr/>
          <w:p>
            <w:pPr>
              <w:pStyle w:val="Compact"/>
              <w:jc w:val="left"/>
            </w:pPr>
            <w:r>
              <w:t xml:space="preserve">2.4 Configuration Control</w:t>
            </w:r>
          </w:p>
        </w:tc>
      </w:tr>
      <w:tr>
        <w:tc>
          <w:tcPr/>
          <w:p>
            <w:pPr>
              <w:pStyle w:val="Compact"/>
              <w:jc w:val="left"/>
            </w:pPr>
            <w:r>
              <w:t xml:space="preserve">F19</w:t>
            </w:r>
          </w:p>
        </w:tc>
        <w:tc>
          <w:tcPr/>
          <w:p>
            <w:pPr>
              <w:pStyle w:val="Compact"/>
              <w:jc w:val="left"/>
            </w:pPr>
            <w:r>
              <w:t xml:space="preserve">3.3.2(2)</w:t>
            </w:r>
          </w:p>
        </w:tc>
        <w:tc>
          <w:tcPr/>
          <w:p>
            <w:pPr>
              <w:pStyle w:val="Compact"/>
              <w:jc w:val="left"/>
            </w:pPr>
            <w:r>
              <w:t xml:space="preserve">Submit an ECP when a variance is determined permanently acceptable (recurring-to-permanent)</w:t>
            </w:r>
          </w:p>
        </w:tc>
        <w:tc>
          <w:tcPr/>
          <w:p>
            <w:pPr>
              <w:pStyle w:val="Compact"/>
              <w:jc w:val="left"/>
            </w:pPr>
            <w:r>
              <w:t xml:space="preserve">B5</w:t>
            </w:r>
          </w:p>
        </w:tc>
        <w:tc>
          <w:tcPr/>
          <w:p>
            <w:pPr>
              <w:pStyle w:val="Compact"/>
              <w:jc w:val="left"/>
            </w:pPr>
            <w:r>
              <w:t xml:space="preserve">§6.3.3 Continuous improvement</w:t>
            </w:r>
          </w:p>
        </w:tc>
        <w:tc>
          <w:tcPr/>
          <w:p>
            <w:pPr>
              <w:pStyle w:val="Compact"/>
              <w:jc w:val="left"/>
            </w:pPr>
            <w:r>
              <w:t xml:space="preserve">Clean</w:t>
            </w:r>
          </w:p>
        </w:tc>
        <w:tc>
          <w:tcPr/>
          <w:p>
            <w:pPr>
              <w:pStyle w:val="Compact"/>
              <w:jc w:val="left"/>
            </w:pPr>
            <w:r>
              <w:t xml:space="preserve">2.4 Configuration Control</w:t>
            </w:r>
          </w:p>
        </w:tc>
      </w:tr>
      <w:tr>
        <w:tc>
          <w:tcPr/>
          <w:p>
            <w:pPr>
              <w:pStyle w:val="Compact"/>
              <w:jc w:val="left"/>
            </w:pPr>
            <w:r>
              <w:t xml:space="preserve">F20</w:t>
            </w:r>
          </w:p>
        </w:tc>
        <w:tc>
          <w:tcPr/>
          <w:p>
            <w:pPr>
              <w:pStyle w:val="Compact"/>
              <w:jc w:val="left"/>
            </w:pPr>
            <w:r>
              <w:t xml:space="preserve">3.3.1.1(1)(c)</w:t>
            </w:r>
          </w:p>
        </w:tc>
        <w:tc>
          <w:tcPr/>
          <w:p>
            <w:pPr>
              <w:pStyle w:val="Compact"/>
              <w:jc w:val="left"/>
            </w:pPr>
            <w:r>
              <w:t xml:space="preserve">Prepare an ECP, NOR, and supporting technical data for the change</w:t>
            </w:r>
          </w:p>
        </w:tc>
        <w:tc>
          <w:tcPr/>
          <w:p>
            <w:pPr>
              <w:pStyle w:val="Compact"/>
              <w:jc w:val="left"/>
            </w:pPr>
            <w:r>
              <w:t xml:space="preserve">B6</w:t>
            </w:r>
          </w:p>
        </w:tc>
        <w:tc>
          <w:tcPr/>
          <w:p>
            <w:pPr>
              <w:pStyle w:val="Compact"/>
              <w:jc w:val="left"/>
            </w:pPr>
            <w:r>
              <w:t xml:space="preserve">§6.2.1 Inaccurate/incomplete data</w:t>
            </w:r>
          </w:p>
        </w:tc>
        <w:tc>
          <w:tcPr/>
          <w:p>
            <w:pPr>
              <w:pStyle w:val="Compact"/>
              <w:jc w:val="left"/>
            </w:pPr>
            <w:r>
              <w:t xml:space="preserve">Clean</w:t>
            </w:r>
          </w:p>
        </w:tc>
        <w:tc>
          <w:tcPr/>
          <w:p>
            <w:pPr>
              <w:pStyle w:val="Compact"/>
              <w:jc w:val="left"/>
            </w:pPr>
            <w:r>
              <w:t xml:space="preserve">2.4 Configuration Control</w:t>
            </w:r>
          </w:p>
        </w:tc>
      </w:tr>
      <w:tr>
        <w:tc>
          <w:tcPr/>
          <w:p>
            <w:pPr>
              <w:pStyle w:val="Compact"/>
              <w:jc w:val="left"/>
            </w:pPr>
            <w:r>
              <w:t xml:space="preserve">F21</w:t>
            </w:r>
          </w:p>
        </w:tc>
        <w:tc>
          <w:tcPr/>
          <w:p>
            <w:pPr>
              <w:pStyle w:val="Compact"/>
              <w:jc w:val="left"/>
            </w:pPr>
            <w:r>
              <w:t xml:space="preserve">3.3.4(1)</w:t>
            </w:r>
          </w:p>
        </w:tc>
        <w:tc>
          <w:tcPr/>
          <w:p>
            <w:pPr>
              <w:pStyle w:val="Compact"/>
              <w:jc w:val="left"/>
            </w:pPr>
            <w:r>
              <w:t xml:space="preserve">Submit a NOR for each document affected by an ECP</w:t>
            </w:r>
          </w:p>
        </w:tc>
        <w:tc>
          <w:tcPr/>
          <w:p>
            <w:pPr>
              <w:pStyle w:val="Compact"/>
              <w:jc w:val="left"/>
            </w:pPr>
            <w:r>
              <w:t xml:space="preserve">B6</w:t>
            </w:r>
          </w:p>
        </w:tc>
        <w:tc>
          <w:tcPr/>
          <w:p>
            <w:pPr>
              <w:pStyle w:val="Compact"/>
              <w:jc w:val="left"/>
            </w:pPr>
            <w:r>
              <w:t xml:space="preserve">§6.2.1 Inaccurate/incomplete data</w:t>
            </w:r>
          </w:p>
        </w:tc>
        <w:tc>
          <w:tcPr/>
          <w:p>
            <w:pPr>
              <w:pStyle w:val="Compact"/>
              <w:jc w:val="left"/>
            </w:pPr>
            <w:r>
              <w:t xml:space="preserve">Clean</w:t>
            </w:r>
          </w:p>
        </w:tc>
        <w:tc>
          <w:tcPr/>
          <w:p>
            <w:pPr>
              <w:pStyle w:val="Compact"/>
              <w:jc w:val="left"/>
            </w:pPr>
            <w:r>
              <w:t xml:space="preserve">2.4 Configuration Control</w:t>
            </w:r>
          </w:p>
        </w:tc>
      </w:tr>
      <w:tr>
        <w:tc>
          <w:tcPr/>
          <w:p>
            <w:pPr>
              <w:pStyle w:val="Compact"/>
              <w:jc w:val="left"/>
            </w:pPr>
            <w:r>
              <w:t xml:space="preserve">F22</w:t>
            </w:r>
          </w:p>
        </w:tc>
        <w:tc>
          <w:tcPr/>
          <w:p>
            <w:pPr>
              <w:pStyle w:val="Compact"/>
              <w:jc w:val="left"/>
            </w:pPr>
            <w:r>
              <w:t xml:space="preserve">3.3.4(2)</w:t>
            </w:r>
          </w:p>
        </w:tc>
        <w:tc>
          <w:tcPr/>
          <w:p>
            <w:pPr>
              <w:pStyle w:val="Compact"/>
              <w:jc w:val="left"/>
            </w:pPr>
            <w:r>
              <w:t xml:space="preserve">Provide all information needed to disposition each NOR</w:t>
            </w:r>
          </w:p>
        </w:tc>
        <w:tc>
          <w:tcPr/>
          <w:p>
            <w:pPr>
              <w:pStyle w:val="Compact"/>
              <w:jc w:val="left"/>
            </w:pPr>
            <w:r>
              <w:t xml:space="preserve">B6</w:t>
            </w:r>
          </w:p>
        </w:tc>
        <w:tc>
          <w:tcPr/>
          <w:p>
            <w:pPr>
              <w:pStyle w:val="Compact"/>
              <w:jc w:val="left"/>
            </w:pPr>
            <w:r>
              <w:t xml:space="preserve">§6.2.1 Inaccurate/incomplete data</w:t>
            </w:r>
          </w:p>
        </w:tc>
        <w:tc>
          <w:tcPr/>
          <w:p>
            <w:pPr>
              <w:pStyle w:val="Compact"/>
              <w:jc w:val="left"/>
            </w:pPr>
            <w:r>
              <w:t xml:space="preserve">Clean</w:t>
            </w:r>
          </w:p>
        </w:tc>
        <w:tc>
          <w:tcPr/>
          <w:p>
            <w:pPr>
              <w:pStyle w:val="Compact"/>
              <w:jc w:val="left"/>
            </w:pPr>
            <w:r>
              <w:t xml:space="preserve">2.4 Configuration Control</w:t>
            </w:r>
          </w:p>
        </w:tc>
      </w:tr>
      <w:tr>
        <w:tc>
          <w:tcPr/>
          <w:p>
            <w:pPr>
              <w:pStyle w:val="Compact"/>
              <w:jc w:val="left"/>
            </w:pPr>
            <w:r>
              <w:t xml:space="preserve">F23</w:t>
            </w:r>
          </w:p>
        </w:tc>
        <w:tc>
          <w:tcPr/>
          <w:p>
            <w:pPr>
              <w:pStyle w:val="Compact"/>
              <w:jc w:val="left"/>
            </w:pPr>
            <w:r>
              <w:t xml:space="preserve">3.2.3.3(1)</w:t>
            </w:r>
          </w:p>
        </w:tc>
        <w:tc>
          <w:tcPr/>
          <w:p>
            <w:pPr>
              <w:pStyle w:val="Compact"/>
              <w:jc w:val="left"/>
            </w:pPr>
            <w:r>
              <w:t xml:space="preserve">Create a new revision of approved documentation after change approval, with before/after traceability</w:t>
            </w:r>
          </w:p>
        </w:tc>
        <w:tc>
          <w:tcPr/>
          <w:p>
            <w:pPr>
              <w:pStyle w:val="Compact"/>
              <w:jc w:val="left"/>
            </w:pPr>
            <w:r>
              <w:t xml:space="preserve">B7</w:t>
            </w:r>
          </w:p>
        </w:tc>
        <w:tc>
          <w:tcPr/>
          <w:p>
            <w:pPr>
              <w:pStyle w:val="Compact"/>
              <w:jc w:val="left"/>
            </w:pPr>
            <w:r>
              <w:t xml:space="preserve">§6.2.1 Inaccurate/incomplete data</w:t>
            </w:r>
          </w:p>
        </w:tc>
        <w:tc>
          <w:tcPr/>
          <w:p>
            <w:pPr>
              <w:pStyle w:val="Compact"/>
              <w:jc w:val="left"/>
            </w:pPr>
            <w:r>
              <w:t xml:space="preserve">Clean</w:t>
            </w:r>
          </w:p>
        </w:tc>
        <w:tc>
          <w:tcPr/>
          <w:p>
            <w:pPr>
              <w:pStyle w:val="Compact"/>
              <w:jc w:val="left"/>
            </w:pPr>
            <w:r>
              <w:t xml:space="preserve">2.4 Configuration Control; 2.7 Data &amp; Document Management</w:t>
            </w:r>
          </w:p>
        </w:tc>
      </w:tr>
      <w:tr>
        <w:tc>
          <w:tcPr/>
          <w:p>
            <w:pPr>
              <w:pStyle w:val="Compact"/>
              <w:jc w:val="left"/>
            </w:pPr>
            <w:r>
              <w:t xml:space="preserve">F24</w:t>
            </w:r>
          </w:p>
        </w:tc>
        <w:tc>
          <w:tcPr/>
          <w:p>
            <w:pPr>
              <w:pStyle w:val="Compact"/>
              <w:jc w:val="left"/>
            </w:pPr>
            <w:r>
              <w:t xml:space="preserve">3.4(1)</w:t>
            </w:r>
          </w:p>
        </w:tc>
        <w:tc>
          <w:tcPr/>
          <w:p>
            <w:pPr>
              <w:pStyle w:val="Compact"/>
              <w:jc w:val="left"/>
            </w:pPr>
            <w:r>
              <w:t xml:space="preserve">Maintain CSA legitimacy by storing valid data</w:t>
            </w:r>
          </w:p>
        </w:tc>
        <w:tc>
          <w:tcPr/>
          <w:p>
            <w:pPr>
              <w:pStyle w:val="Compact"/>
              <w:jc w:val="left"/>
            </w:pPr>
            <w:r>
              <w:t xml:space="preserve">B8</w:t>
            </w:r>
          </w:p>
        </w:tc>
        <w:tc>
          <w:tcPr/>
          <w:p>
            <w:pPr>
              <w:pStyle w:val="Compact"/>
              <w:jc w:val="left"/>
            </w:pPr>
            <w:r>
              <w:t xml:space="preserve">§6.2.1 Inaccurate manufacturing/maintenance data</w:t>
            </w:r>
          </w:p>
        </w:tc>
        <w:tc>
          <w:tcPr/>
          <w:p>
            <w:pPr>
              <w:pStyle w:val="Compact"/>
              <w:jc w:val="left"/>
            </w:pPr>
            <w:r>
              <w:t xml:space="preserve">Clean</w:t>
            </w:r>
          </w:p>
        </w:tc>
        <w:tc>
          <w:tcPr/>
          <w:p>
            <w:pPr>
              <w:pStyle w:val="Compact"/>
              <w:jc w:val="left"/>
            </w:pPr>
            <w:r>
              <w:t xml:space="preserve">2.5 Configuration Status Accounting</w:t>
            </w:r>
          </w:p>
        </w:tc>
      </w:tr>
      <w:tr>
        <w:tc>
          <w:tcPr/>
          <w:p>
            <w:pPr>
              <w:pStyle w:val="Compact"/>
              <w:jc w:val="left"/>
            </w:pPr>
            <w:r>
              <w:t xml:space="preserve">F25</w:t>
            </w:r>
          </w:p>
        </w:tc>
        <w:tc>
          <w:tcPr/>
          <w:p>
            <w:pPr>
              <w:pStyle w:val="Compact"/>
              <w:jc w:val="left"/>
            </w:pPr>
            <w:r>
              <w:t xml:space="preserve">3.4.1(2)</w:t>
            </w:r>
          </w:p>
        </w:tc>
        <w:tc>
          <w:tcPr/>
          <w:p>
            <w:pPr>
              <w:pStyle w:val="Compact"/>
              <w:jc w:val="left"/>
            </w:pPr>
            <w:r>
              <w:t xml:space="preserve">Capture, store, and maintain product configuration information</w:t>
            </w:r>
          </w:p>
        </w:tc>
        <w:tc>
          <w:tcPr/>
          <w:p>
            <w:pPr>
              <w:pStyle w:val="Compact"/>
              <w:jc w:val="left"/>
            </w:pPr>
            <w:r>
              <w:t xml:space="preserve">B8</w:t>
            </w:r>
          </w:p>
        </w:tc>
        <w:tc>
          <w:tcPr/>
          <w:p>
            <w:pPr>
              <w:pStyle w:val="Compact"/>
              <w:jc w:val="left"/>
            </w:pPr>
            <w:r>
              <w:t xml:space="preserve">§6.2.1 Inaccurate manufacturing/maintenance data</w:t>
            </w:r>
          </w:p>
        </w:tc>
        <w:tc>
          <w:tcPr/>
          <w:p>
            <w:pPr>
              <w:pStyle w:val="Compact"/>
              <w:jc w:val="left"/>
            </w:pPr>
            <w:r>
              <w:t xml:space="preserve">Clean</w:t>
            </w:r>
          </w:p>
        </w:tc>
        <w:tc>
          <w:tcPr/>
          <w:p>
            <w:pPr>
              <w:pStyle w:val="Compact"/>
              <w:jc w:val="left"/>
            </w:pPr>
            <w:r>
              <w:t xml:space="preserve">2.5 Configuration Status Accounting</w:t>
            </w:r>
          </w:p>
        </w:tc>
      </w:tr>
      <w:tr>
        <w:tc>
          <w:tcPr/>
          <w:p>
            <w:pPr>
              <w:pStyle w:val="Compact"/>
              <w:jc w:val="left"/>
            </w:pPr>
            <w:r>
              <w:t xml:space="preserve">F26</w:t>
            </w:r>
          </w:p>
        </w:tc>
        <w:tc>
          <w:tcPr/>
          <w:p>
            <w:pPr>
              <w:pStyle w:val="Compact"/>
              <w:jc w:val="left"/>
            </w:pPr>
            <w:r>
              <w:t xml:space="preserve">3.4.1(3)(a)</w:t>
            </w:r>
          </w:p>
        </w:tc>
        <w:tc>
          <w:tcPr/>
          <w:p>
            <w:pPr>
              <w:pStyle w:val="Compact"/>
              <w:jc w:val="left"/>
            </w:pPr>
            <w:r>
              <w:t xml:space="preserve">Capture and maintain currently approved configuration information by each CI’s identification number</w:t>
            </w:r>
          </w:p>
        </w:tc>
        <w:tc>
          <w:tcPr/>
          <w:p>
            <w:pPr>
              <w:pStyle w:val="Compact"/>
              <w:jc w:val="left"/>
            </w:pPr>
            <w:r>
              <w:t xml:space="preserve">B8, B11</w:t>
            </w:r>
          </w:p>
        </w:tc>
        <w:tc>
          <w:tcPr/>
          <w:p>
            <w:pPr>
              <w:pStyle w:val="Compact"/>
              <w:jc w:val="left"/>
            </w:pPr>
            <w:r>
              <w:t xml:space="preserve">§6.2.1 / §6.3.2</w:t>
            </w:r>
          </w:p>
        </w:tc>
        <w:tc>
          <w:tcPr/>
          <w:p>
            <w:pPr>
              <w:pStyle w:val="Compact"/>
              <w:jc w:val="left"/>
            </w:pPr>
            <w:r>
              <w:t xml:space="preserve">Clean</w:t>
            </w:r>
          </w:p>
        </w:tc>
        <w:tc>
          <w:tcPr/>
          <w:p>
            <w:pPr>
              <w:pStyle w:val="Compact"/>
              <w:jc w:val="left"/>
            </w:pPr>
            <w:r>
              <w:t xml:space="preserve">2.5 Configuration Status Accounting</w:t>
            </w:r>
          </w:p>
        </w:tc>
      </w:tr>
      <w:tr>
        <w:tc>
          <w:tcPr/>
          <w:p>
            <w:pPr>
              <w:pStyle w:val="Compact"/>
              <w:jc w:val="left"/>
            </w:pPr>
            <w:r>
              <w:t xml:space="preserve">F27</w:t>
            </w:r>
          </w:p>
        </w:tc>
        <w:tc>
          <w:tcPr/>
          <w:p>
            <w:pPr>
              <w:pStyle w:val="Compact"/>
              <w:jc w:val="left"/>
            </w:pPr>
            <w:r>
              <w:t xml:space="preserve">3.4.1(3)(c)</w:t>
            </w:r>
          </w:p>
        </w:tc>
        <w:tc>
          <w:tcPr/>
          <w:p>
            <w:pPr>
              <w:pStyle w:val="Compact"/>
              <w:jc w:val="left"/>
            </w:pPr>
            <w:r>
              <w:t xml:space="preserve">Store and manage all product configuration information</w:t>
            </w:r>
          </w:p>
        </w:tc>
        <w:tc>
          <w:tcPr/>
          <w:p>
            <w:pPr>
              <w:pStyle w:val="Compact"/>
              <w:jc w:val="left"/>
            </w:pPr>
            <w:r>
              <w:t xml:space="preserve">B8</w:t>
            </w:r>
          </w:p>
        </w:tc>
        <w:tc>
          <w:tcPr/>
          <w:p>
            <w:pPr>
              <w:pStyle w:val="Compact"/>
              <w:jc w:val="left"/>
            </w:pPr>
            <w:r>
              <w:t xml:space="preserve">§6.2.1 Inaccurate manufacturing/maintenance data</w:t>
            </w:r>
          </w:p>
        </w:tc>
        <w:tc>
          <w:tcPr/>
          <w:p>
            <w:pPr>
              <w:pStyle w:val="Compact"/>
              <w:jc w:val="left"/>
            </w:pPr>
            <w:r>
              <w:t xml:space="preserve">Judgment</w:t>
            </w:r>
          </w:p>
        </w:tc>
        <w:tc>
          <w:tcPr/>
          <w:p>
            <w:pPr>
              <w:pStyle w:val="Compact"/>
              <w:jc w:val="left"/>
            </w:pPr>
            <w:r>
              <w:t xml:space="preserve">2.5 CSA; 2.7 Data &amp; Document Management</w:t>
            </w:r>
          </w:p>
        </w:tc>
      </w:tr>
      <w:tr>
        <w:tc>
          <w:tcPr/>
          <w:p>
            <w:pPr>
              <w:pStyle w:val="Compact"/>
              <w:jc w:val="left"/>
            </w:pPr>
            <w:r>
              <w:t xml:space="preserve">F28</w:t>
            </w:r>
          </w:p>
        </w:tc>
        <w:tc>
          <w:tcPr/>
          <w:p>
            <w:pPr>
              <w:pStyle w:val="Compact"/>
              <w:jc w:val="left"/>
            </w:pPr>
            <w:r>
              <w:t xml:space="preserve">3.4.1(4)(c)</w:t>
            </w:r>
          </w:p>
        </w:tc>
        <w:tc>
          <w:tcPr/>
          <w:p>
            <w:pPr>
              <w:pStyle w:val="Compact"/>
              <w:jc w:val="left"/>
            </w:pPr>
            <w:r>
              <w:t xml:space="preserve">Secure, safeguard, and retrieve recorded configuration information</w:t>
            </w:r>
          </w:p>
        </w:tc>
        <w:tc>
          <w:tcPr/>
          <w:p>
            <w:pPr>
              <w:pStyle w:val="Compact"/>
              <w:jc w:val="left"/>
            </w:pPr>
            <w:r>
              <w:t xml:space="preserve">B8</w:t>
            </w:r>
          </w:p>
        </w:tc>
        <w:tc>
          <w:tcPr/>
          <w:p>
            <w:pPr>
              <w:pStyle w:val="Compact"/>
              <w:jc w:val="left"/>
            </w:pPr>
            <w:r>
              <w:t xml:space="preserve">§6.2.1 Inaccurate manufacturing/maintenance data</w:t>
            </w:r>
          </w:p>
        </w:tc>
        <w:tc>
          <w:tcPr/>
          <w:p>
            <w:pPr>
              <w:pStyle w:val="Compact"/>
              <w:jc w:val="left"/>
            </w:pPr>
            <w:r>
              <w:t xml:space="preserve">Judgment</w:t>
            </w:r>
          </w:p>
        </w:tc>
        <w:tc>
          <w:tcPr/>
          <w:p>
            <w:pPr>
              <w:pStyle w:val="Compact"/>
              <w:jc w:val="left"/>
            </w:pPr>
            <w:r>
              <w:t xml:space="preserve">2.5 CSA; 2.7 Data &amp; Document Management</w:t>
            </w:r>
          </w:p>
        </w:tc>
      </w:tr>
      <w:tr>
        <w:tc>
          <w:tcPr/>
          <w:p>
            <w:pPr>
              <w:pStyle w:val="Compact"/>
              <w:jc w:val="left"/>
            </w:pPr>
            <w:r>
              <w:t xml:space="preserve">F29</w:t>
            </w:r>
          </w:p>
        </w:tc>
        <w:tc>
          <w:tcPr/>
          <w:p>
            <w:pPr>
              <w:pStyle w:val="Compact"/>
              <w:jc w:val="left"/>
            </w:pPr>
            <w:r>
              <w:t xml:space="preserve">3.5.3(1)</w:t>
            </w:r>
          </w:p>
        </w:tc>
        <w:tc>
          <w:tcPr/>
          <w:p>
            <w:pPr>
              <w:pStyle w:val="Compact"/>
              <w:jc w:val="left"/>
            </w:pPr>
            <w:r>
              <w:t xml:space="preserve">Conduct the PCA to verify product configuration documentation is consistent with the validated CI</w:t>
            </w:r>
          </w:p>
        </w:tc>
        <w:tc>
          <w:tcPr/>
          <w:p>
            <w:pPr>
              <w:pStyle w:val="Compact"/>
              <w:jc w:val="left"/>
            </w:pPr>
            <w:r>
              <w:t xml:space="preserve">B9</w:t>
            </w:r>
          </w:p>
        </w:tc>
        <w:tc>
          <w:tcPr/>
          <w:p>
            <w:pPr>
              <w:pStyle w:val="Compact"/>
              <w:jc w:val="left"/>
            </w:pPr>
            <w:r>
              <w:t xml:space="preserve">§6.2.1 Non-conformance / FOD</w:t>
            </w:r>
          </w:p>
        </w:tc>
        <w:tc>
          <w:tcPr/>
          <w:p>
            <w:pPr>
              <w:pStyle w:val="Compact"/>
              <w:jc w:val="left"/>
            </w:pPr>
            <w:r>
              <w:t xml:space="preserve">Clean</w:t>
            </w:r>
          </w:p>
        </w:tc>
        <w:tc>
          <w:tcPr/>
          <w:p>
            <w:pPr>
              <w:pStyle w:val="Compact"/>
              <w:jc w:val="left"/>
            </w:pPr>
            <w:r>
              <w:t xml:space="preserve">2.6 Configuration Verification &amp; Audit</w:t>
            </w:r>
          </w:p>
        </w:tc>
      </w:tr>
      <w:tr>
        <w:tc>
          <w:tcPr/>
          <w:p>
            <w:pPr>
              <w:pStyle w:val="Compact"/>
              <w:jc w:val="left"/>
            </w:pPr>
            <w:r>
              <w:t xml:space="preserve">F30</w:t>
            </w:r>
          </w:p>
        </w:tc>
        <w:tc>
          <w:tcPr/>
          <w:p>
            <w:pPr>
              <w:pStyle w:val="Compact"/>
              <w:jc w:val="left"/>
            </w:pPr>
            <w:r>
              <w:t xml:space="preserve">3.5.3(2)</w:t>
            </w:r>
          </w:p>
        </w:tc>
        <w:tc>
          <w:tcPr/>
          <w:p>
            <w:pPr>
              <w:pStyle w:val="Compact"/>
              <w:jc w:val="left"/>
            </w:pPr>
            <w:r>
              <w:t xml:space="preserve">Confirm the CI against the PPSL and verify proper parts are installed</w:t>
            </w:r>
          </w:p>
        </w:tc>
        <w:tc>
          <w:tcPr/>
          <w:p>
            <w:pPr>
              <w:pStyle w:val="Compact"/>
              <w:jc w:val="left"/>
            </w:pPr>
            <w:r>
              <w:t xml:space="preserve">B9</w:t>
            </w:r>
          </w:p>
        </w:tc>
        <w:tc>
          <w:tcPr/>
          <w:p>
            <w:pPr>
              <w:pStyle w:val="Compact"/>
              <w:jc w:val="left"/>
            </w:pPr>
            <w:r>
              <w:t xml:space="preserve">§6.2.1 Non-conformance / FOD</w:t>
            </w:r>
          </w:p>
        </w:tc>
        <w:tc>
          <w:tcPr/>
          <w:p>
            <w:pPr>
              <w:pStyle w:val="Compact"/>
              <w:jc w:val="left"/>
            </w:pPr>
            <w:r>
              <w:t xml:space="preserve">Clean</w:t>
            </w:r>
          </w:p>
        </w:tc>
        <w:tc>
          <w:tcPr/>
          <w:p>
            <w:pPr>
              <w:pStyle w:val="Compact"/>
              <w:jc w:val="left"/>
            </w:pPr>
            <w:r>
              <w:t xml:space="preserve">2.6 Configuration Verification &amp; Audit</w:t>
            </w:r>
          </w:p>
        </w:tc>
      </w:tr>
      <w:tr>
        <w:tc>
          <w:tcPr/>
          <w:p>
            <w:pPr>
              <w:pStyle w:val="Compact"/>
              <w:jc w:val="left"/>
            </w:pPr>
            <w:r>
              <w:t xml:space="preserve">F31</w:t>
            </w:r>
          </w:p>
        </w:tc>
        <w:tc>
          <w:tcPr/>
          <w:p>
            <w:pPr>
              <w:pStyle w:val="Compact"/>
              <w:jc w:val="left"/>
            </w:pPr>
            <w:r>
              <w:t xml:space="preserve">3.5.3(4)</w:t>
            </w:r>
          </w:p>
        </w:tc>
        <w:tc>
          <w:tcPr/>
          <w:p>
            <w:pPr>
              <w:pStyle w:val="Compact"/>
              <w:jc w:val="left"/>
            </w:pPr>
            <w:r>
              <w:t xml:space="preserve">Document each PCA non-compliance and provide it to the Acquirer</w:t>
            </w:r>
          </w:p>
        </w:tc>
        <w:tc>
          <w:tcPr/>
          <w:p>
            <w:pPr>
              <w:pStyle w:val="Compact"/>
              <w:jc w:val="left"/>
            </w:pPr>
            <w:r>
              <w:t xml:space="preserve">B9</w:t>
            </w:r>
          </w:p>
        </w:tc>
        <w:tc>
          <w:tcPr/>
          <w:p>
            <w:pPr>
              <w:pStyle w:val="Compact"/>
              <w:jc w:val="left"/>
            </w:pPr>
            <w:r>
              <w:t xml:space="preserve">§6.2.1 Non-conformance / FOD</w:t>
            </w:r>
          </w:p>
        </w:tc>
        <w:tc>
          <w:tcPr/>
          <w:p>
            <w:pPr>
              <w:pStyle w:val="Compact"/>
              <w:jc w:val="left"/>
            </w:pPr>
            <w:r>
              <w:t xml:space="preserve">Clean</w:t>
            </w:r>
          </w:p>
        </w:tc>
        <w:tc>
          <w:tcPr/>
          <w:p>
            <w:pPr>
              <w:pStyle w:val="Compact"/>
              <w:jc w:val="left"/>
            </w:pPr>
            <w:r>
              <w:t xml:space="preserve">2.6 Configuration Verification &amp; Audit</w:t>
            </w:r>
          </w:p>
        </w:tc>
      </w:tr>
      <w:tr>
        <w:tc>
          <w:tcPr/>
          <w:p>
            <w:pPr>
              <w:pStyle w:val="Compact"/>
              <w:jc w:val="left"/>
            </w:pPr>
            <w:r>
              <w:t xml:space="preserve">F32</w:t>
            </w:r>
          </w:p>
        </w:tc>
        <w:tc>
          <w:tcPr/>
          <w:p>
            <w:pPr>
              <w:pStyle w:val="Compact"/>
              <w:jc w:val="left"/>
            </w:pPr>
            <w:r>
              <w:t xml:space="preserve">3.4.1(3)(b)</w:t>
            </w:r>
          </w:p>
        </w:tc>
        <w:tc>
          <w:tcPr/>
          <w:p>
            <w:pPr>
              <w:pStyle w:val="Compact"/>
              <w:jc w:val="left"/>
            </w:pPr>
            <w:r>
              <w:t xml:space="preserve">Capture and maintain all historical configuration information with traceability from contract award to present</w:t>
            </w:r>
          </w:p>
        </w:tc>
        <w:tc>
          <w:tcPr/>
          <w:p>
            <w:pPr>
              <w:pStyle w:val="Compact"/>
              <w:jc w:val="left"/>
            </w:pPr>
            <w:r>
              <w:t xml:space="preserve">B10</w:t>
            </w:r>
          </w:p>
        </w:tc>
        <w:tc>
          <w:tcPr/>
          <w:p>
            <w:pPr>
              <w:pStyle w:val="Compact"/>
              <w:jc w:val="left"/>
            </w:pPr>
            <w:r>
              <w:t xml:space="preserve">§6.3.1 Continued airworthiness data</w:t>
            </w:r>
          </w:p>
        </w:tc>
        <w:tc>
          <w:tcPr/>
          <w:p>
            <w:pPr>
              <w:pStyle w:val="Compact"/>
              <w:jc w:val="left"/>
            </w:pPr>
            <w:r>
              <w:t xml:space="preserve">Clean</w:t>
            </w:r>
          </w:p>
        </w:tc>
        <w:tc>
          <w:tcPr/>
          <w:p>
            <w:pPr>
              <w:pStyle w:val="Compact"/>
              <w:jc w:val="left"/>
            </w:pPr>
            <w:r>
              <w:t xml:space="preserve">2.5 Configuration Status Accounting</w:t>
            </w:r>
          </w:p>
        </w:tc>
      </w:tr>
      <w:tr>
        <w:tc>
          <w:tcPr/>
          <w:p>
            <w:pPr>
              <w:pStyle w:val="Compact"/>
              <w:jc w:val="left"/>
            </w:pPr>
            <w:r>
              <w:t xml:space="preserve">F33</w:t>
            </w:r>
          </w:p>
        </w:tc>
        <w:tc>
          <w:tcPr/>
          <w:p>
            <w:pPr>
              <w:pStyle w:val="Compact"/>
              <w:jc w:val="left"/>
            </w:pPr>
            <w:r>
              <w:t xml:space="preserve">3.4.1(6)</w:t>
            </w:r>
          </w:p>
        </w:tc>
        <w:tc>
          <w:tcPr/>
          <w:p>
            <w:pPr>
              <w:pStyle w:val="Compact"/>
              <w:jc w:val="left"/>
            </w:pPr>
            <w:r>
              <w:t xml:space="preserve">Document the incorporation of all retrofit changes to units identified for retrofit</w:t>
            </w:r>
          </w:p>
        </w:tc>
        <w:tc>
          <w:tcPr/>
          <w:p>
            <w:pPr>
              <w:pStyle w:val="Compact"/>
              <w:jc w:val="left"/>
            </w:pPr>
            <w:r>
              <w:t xml:space="preserve">B11</w:t>
            </w:r>
          </w:p>
        </w:tc>
        <w:tc>
          <w:tcPr/>
          <w:p>
            <w:pPr>
              <w:pStyle w:val="Compact"/>
              <w:jc w:val="left"/>
            </w:pPr>
            <w:r>
              <w:t xml:space="preserve">§6.3.2 MoC effectiveness</w:t>
            </w:r>
          </w:p>
        </w:tc>
        <w:tc>
          <w:tcPr/>
          <w:p>
            <w:pPr>
              <w:pStyle w:val="Compact"/>
              <w:jc w:val="left"/>
            </w:pPr>
            <w:r>
              <w:t xml:space="preserve">Clean</w:t>
            </w:r>
          </w:p>
        </w:tc>
        <w:tc>
          <w:tcPr/>
          <w:p>
            <w:pPr>
              <w:pStyle w:val="Compact"/>
              <w:jc w:val="left"/>
            </w:pPr>
            <w:r>
              <w:t xml:space="preserve">2.5 Configuration Status Accounting</w:t>
            </w:r>
          </w:p>
        </w:tc>
      </w:tr>
      <w:tr>
        <w:tc>
          <w:tcPr/>
          <w:p>
            <w:pPr>
              <w:pStyle w:val="Compact"/>
              <w:jc w:val="left"/>
            </w:pPr>
            <w:r>
              <w:t xml:space="preserve">F34</w:t>
            </w:r>
          </w:p>
        </w:tc>
        <w:tc>
          <w:tcPr/>
          <w:p>
            <w:pPr>
              <w:pStyle w:val="Compact"/>
              <w:jc w:val="left"/>
            </w:pPr>
            <w:r>
              <w:t xml:space="preserve">3.5.3.1(1)(b)</w:t>
            </w:r>
          </w:p>
        </w:tc>
        <w:tc>
          <w:tcPr/>
          <w:p>
            <w:pPr>
              <w:pStyle w:val="Compact"/>
              <w:jc w:val="left"/>
            </w:pPr>
            <w:r>
              <w:t xml:space="preserve">Identify differences between the production CI and the development CI used for FCA</w:t>
            </w:r>
          </w:p>
        </w:tc>
        <w:tc>
          <w:tcPr/>
          <w:p>
            <w:pPr>
              <w:pStyle w:val="Compact"/>
              <w:jc w:val="left"/>
            </w:pPr>
            <w:r>
              <w:t xml:space="preserve">B12</w:t>
            </w:r>
          </w:p>
        </w:tc>
        <w:tc>
          <w:tcPr/>
          <w:p>
            <w:pPr>
              <w:pStyle w:val="Compact"/>
              <w:jc w:val="left"/>
            </w:pPr>
            <w:r>
              <w:t xml:space="preserve">§6.2.1 Quality escapes</w:t>
            </w:r>
          </w:p>
        </w:tc>
        <w:tc>
          <w:tcPr/>
          <w:p>
            <w:pPr>
              <w:pStyle w:val="Compact"/>
              <w:jc w:val="left"/>
            </w:pPr>
            <w:r>
              <w:t xml:space="preserve">Clean</w:t>
            </w:r>
          </w:p>
        </w:tc>
        <w:tc>
          <w:tcPr/>
          <w:p>
            <w:pPr>
              <w:pStyle w:val="Compact"/>
              <w:jc w:val="left"/>
            </w:pPr>
            <w:r>
              <w:t xml:space="preserve">2.6 Configuration Verification &amp; Audit</w:t>
            </w:r>
          </w:p>
        </w:tc>
      </w:tr>
      <w:tr>
        <w:tc>
          <w:tcPr/>
          <w:p>
            <w:pPr>
              <w:pStyle w:val="Compact"/>
              <w:jc w:val="left"/>
            </w:pPr>
            <w:r>
              <w:t xml:space="preserve">F35</w:t>
            </w:r>
          </w:p>
        </w:tc>
        <w:tc>
          <w:tcPr/>
          <w:p>
            <w:pPr>
              <w:pStyle w:val="Compact"/>
              <w:jc w:val="left"/>
            </w:pPr>
            <w:r>
              <w:t xml:space="preserve">3.2.5.1(1)</w:t>
            </w:r>
          </w:p>
        </w:tc>
        <w:tc>
          <w:tcPr/>
          <w:p>
            <w:pPr>
              <w:pStyle w:val="Compact"/>
              <w:jc w:val="left"/>
            </w:pPr>
            <w:r>
              <w:t xml:space="preserve">Identify internal and external interface requirements</w:t>
            </w:r>
          </w:p>
        </w:tc>
        <w:tc>
          <w:tcPr/>
          <w:p>
            <w:pPr>
              <w:pStyle w:val="Compact"/>
              <w:jc w:val="left"/>
            </w:pPr>
            <w:r>
              <w:t xml:space="preserve">B13</w:t>
            </w:r>
          </w:p>
        </w:tc>
        <w:tc>
          <w:tcPr/>
          <w:p>
            <w:pPr>
              <w:pStyle w:val="Compact"/>
              <w:jc w:val="left"/>
            </w:pPr>
            <w:r>
              <w:t xml:space="preserve">§7.3.2 Interface management</w:t>
            </w:r>
          </w:p>
        </w:tc>
        <w:tc>
          <w:tcPr/>
          <w:p>
            <w:pPr>
              <w:pStyle w:val="Compact"/>
              <w:jc w:val="left"/>
            </w:pPr>
            <w:r>
              <w:t xml:space="preserve">Clean</w:t>
            </w:r>
          </w:p>
        </w:tc>
        <w:tc>
          <w:tcPr/>
          <w:p>
            <w:pPr>
              <w:pStyle w:val="Compact"/>
              <w:jc w:val="left"/>
            </w:pPr>
            <w:r>
              <w:t xml:space="preserve">2.3 Configuration Identification</w:t>
            </w:r>
          </w:p>
        </w:tc>
      </w:tr>
      <w:tr>
        <w:tc>
          <w:tcPr/>
          <w:p>
            <w:pPr>
              <w:pStyle w:val="Compact"/>
              <w:jc w:val="left"/>
            </w:pPr>
            <w:r>
              <w:t xml:space="preserve">F36</w:t>
            </w:r>
          </w:p>
        </w:tc>
        <w:tc>
          <w:tcPr/>
          <w:p>
            <w:pPr>
              <w:pStyle w:val="Compact"/>
              <w:jc w:val="left"/>
            </w:pPr>
            <w:r>
              <w:t xml:space="preserve">3.2.5.1(2)</w:t>
            </w:r>
          </w:p>
        </w:tc>
        <w:tc>
          <w:tcPr/>
          <w:p>
            <w:pPr>
              <w:pStyle w:val="Compact"/>
              <w:jc w:val="left"/>
            </w:pPr>
            <w:r>
              <w:t xml:space="preserve">Incorporate interface information into the FCD/ACD/PCD</w:t>
            </w:r>
          </w:p>
        </w:tc>
        <w:tc>
          <w:tcPr/>
          <w:p>
            <w:pPr>
              <w:pStyle w:val="Compact"/>
              <w:jc w:val="left"/>
            </w:pPr>
            <w:r>
              <w:t xml:space="preserve">B13</w:t>
            </w:r>
          </w:p>
        </w:tc>
        <w:tc>
          <w:tcPr/>
          <w:p>
            <w:pPr>
              <w:pStyle w:val="Compact"/>
              <w:jc w:val="left"/>
            </w:pPr>
            <w:r>
              <w:t xml:space="preserve">§7.3.2 Interface management</w:t>
            </w:r>
          </w:p>
        </w:tc>
        <w:tc>
          <w:tcPr/>
          <w:p>
            <w:pPr>
              <w:pStyle w:val="Compact"/>
              <w:jc w:val="left"/>
            </w:pPr>
            <w:r>
              <w:t xml:space="preserve">Clean</w:t>
            </w:r>
          </w:p>
        </w:tc>
        <w:tc>
          <w:tcPr/>
          <w:p>
            <w:pPr>
              <w:pStyle w:val="Compact"/>
              <w:jc w:val="left"/>
            </w:pPr>
            <w:r>
              <w:t xml:space="preserve">2.3 Configuration Identification</w:t>
            </w:r>
          </w:p>
        </w:tc>
      </w:tr>
      <w:tr>
        <w:tc>
          <w:tcPr/>
          <w:p>
            <w:pPr>
              <w:pStyle w:val="Compact"/>
              <w:jc w:val="left"/>
            </w:pPr>
            <w:r>
              <w:t xml:space="preserve">F37</w:t>
            </w:r>
          </w:p>
        </w:tc>
        <w:tc>
          <w:tcPr/>
          <w:p>
            <w:pPr>
              <w:pStyle w:val="Compact"/>
              <w:jc w:val="left"/>
            </w:pPr>
            <w:r>
              <w:t xml:space="preserve">3.2.5.1(3)</w:t>
            </w:r>
          </w:p>
        </w:tc>
        <w:tc>
          <w:tcPr/>
          <w:p>
            <w:pPr>
              <w:pStyle w:val="Compact"/>
              <w:jc w:val="left"/>
            </w:pPr>
            <w:r>
              <w:t xml:space="preserve">Maintain configuration control of baselined interface requirements</w:t>
            </w:r>
          </w:p>
        </w:tc>
        <w:tc>
          <w:tcPr/>
          <w:p>
            <w:pPr>
              <w:pStyle w:val="Compact"/>
              <w:jc w:val="left"/>
            </w:pPr>
            <w:r>
              <w:t xml:space="preserve">B13</w:t>
            </w:r>
          </w:p>
        </w:tc>
        <w:tc>
          <w:tcPr/>
          <w:p>
            <w:pPr>
              <w:pStyle w:val="Compact"/>
              <w:jc w:val="left"/>
            </w:pPr>
            <w:r>
              <w:t xml:space="preserve">§7.3.2 Interface management</w:t>
            </w:r>
          </w:p>
        </w:tc>
        <w:tc>
          <w:tcPr/>
          <w:p>
            <w:pPr>
              <w:pStyle w:val="Compact"/>
              <w:jc w:val="left"/>
            </w:pPr>
            <w:r>
              <w:t xml:space="preserve">Clean</w:t>
            </w:r>
          </w:p>
        </w:tc>
        <w:tc>
          <w:tcPr/>
          <w:p>
            <w:pPr>
              <w:pStyle w:val="Compact"/>
              <w:jc w:val="left"/>
            </w:pPr>
            <w:r>
              <w:t xml:space="preserve">2.3 Configuration Identification; 2.4 Configuration Control</w:t>
            </w:r>
          </w:p>
        </w:tc>
      </w:tr>
      <w:tr>
        <w:tc>
          <w:tcPr/>
          <w:p>
            <w:pPr>
              <w:pStyle w:val="Compact"/>
              <w:jc w:val="left"/>
            </w:pPr>
            <w:r>
              <w:t xml:space="preserve">F38</w:t>
            </w:r>
          </w:p>
        </w:tc>
        <w:tc>
          <w:tcPr/>
          <w:p>
            <w:pPr>
              <w:pStyle w:val="Compact"/>
              <w:jc w:val="left"/>
            </w:pPr>
            <w:r>
              <w:t xml:space="preserve">3.2.5.2(1)</w:t>
            </w:r>
          </w:p>
        </w:tc>
        <w:tc>
          <w:tcPr/>
          <w:p>
            <w:pPr>
              <w:pStyle w:val="Compact"/>
              <w:jc w:val="left"/>
            </w:pPr>
            <w:r>
              <w:t xml:space="preserve">Provide a representative to the Acquirer’s ICWG where one exists</w:t>
            </w:r>
          </w:p>
        </w:tc>
        <w:tc>
          <w:tcPr/>
          <w:p>
            <w:pPr>
              <w:pStyle w:val="Compact"/>
              <w:jc w:val="left"/>
            </w:pPr>
            <w:r>
              <w:t xml:space="preserve">B13</w:t>
            </w:r>
          </w:p>
        </w:tc>
        <w:tc>
          <w:tcPr/>
          <w:p>
            <w:pPr>
              <w:pStyle w:val="Compact"/>
              <w:jc w:val="left"/>
            </w:pPr>
            <w:r>
              <w:t xml:space="preserve">§7.3.2 Interface management</w:t>
            </w:r>
          </w:p>
        </w:tc>
        <w:tc>
          <w:tcPr/>
          <w:p>
            <w:pPr>
              <w:pStyle w:val="Compact"/>
              <w:jc w:val="left"/>
            </w:pPr>
            <w:r>
              <w:t xml:space="preserve">Conditional</w:t>
            </w:r>
          </w:p>
        </w:tc>
        <w:tc>
          <w:tcPr/>
          <w:p>
            <w:pPr>
              <w:pStyle w:val="Compact"/>
              <w:jc w:val="left"/>
            </w:pPr>
            <w:r>
              <w:t xml:space="preserve">3.2 Acquirer–Supplier; 3.6 SOS–FOS</w:t>
            </w:r>
          </w:p>
        </w:tc>
      </w:tr>
      <w:tr>
        <w:tc>
          <w:tcPr/>
          <w:p>
            <w:pPr>
              <w:pStyle w:val="Compact"/>
              <w:jc w:val="left"/>
            </w:pPr>
            <w:r>
              <w:t xml:space="preserve">F39</w:t>
            </w:r>
          </w:p>
        </w:tc>
        <w:tc>
          <w:tcPr/>
          <w:p>
            <w:pPr>
              <w:pStyle w:val="Compact"/>
              <w:jc w:val="left"/>
            </w:pPr>
            <w:r>
              <w:t xml:space="preserve">3.4.1(3)(j)</w:t>
            </w:r>
          </w:p>
        </w:tc>
        <w:tc>
          <w:tcPr/>
          <w:p>
            <w:pPr>
              <w:pStyle w:val="Compact"/>
              <w:jc w:val="left"/>
            </w:pPr>
            <w:r>
              <w:t xml:space="preserve">Record and report sub-tier supplier data with traceability to the next higher assembly</w:t>
            </w:r>
          </w:p>
        </w:tc>
        <w:tc>
          <w:tcPr/>
          <w:p>
            <w:pPr>
              <w:pStyle w:val="Compact"/>
              <w:jc w:val="left"/>
            </w:pPr>
            <w:r>
              <w:t xml:space="preserve">B14</w:t>
            </w:r>
          </w:p>
        </w:tc>
        <w:tc>
          <w:tcPr/>
          <w:p>
            <w:pPr>
              <w:pStyle w:val="Compact"/>
              <w:jc w:val="left"/>
            </w:pPr>
            <w:r>
              <w:t xml:space="preserve">§6.2.1 Subcontractor disclosures</w:t>
            </w:r>
          </w:p>
        </w:tc>
        <w:tc>
          <w:tcPr/>
          <w:p>
            <w:pPr>
              <w:pStyle w:val="Compact"/>
              <w:jc w:val="left"/>
            </w:pPr>
            <w:r>
              <w:t xml:space="preserve">Clean</w:t>
            </w:r>
          </w:p>
        </w:tc>
        <w:tc>
          <w:tcPr/>
          <w:p>
            <w:pPr>
              <w:pStyle w:val="Compact"/>
              <w:jc w:val="left"/>
            </w:pPr>
            <w:r>
              <w:t xml:space="preserve">2.5 CSA; 3.2 Acquirer–Supplier</w:t>
            </w:r>
          </w:p>
        </w:tc>
      </w:tr>
      <w:tr>
        <w:tc>
          <w:tcPr/>
          <w:p>
            <w:pPr>
              <w:pStyle w:val="Compact"/>
              <w:jc w:val="left"/>
            </w:pPr>
            <w:r>
              <w:t xml:space="preserve">F40</w:t>
            </w:r>
          </w:p>
        </w:tc>
        <w:tc>
          <w:tcPr/>
          <w:p>
            <w:pPr>
              <w:pStyle w:val="Compact"/>
              <w:jc w:val="left"/>
            </w:pPr>
            <w:r>
              <w:t xml:space="preserve">3.(2)</w:t>
            </w:r>
          </w:p>
        </w:tc>
        <w:tc>
          <w:tcPr/>
          <w:p>
            <w:pPr>
              <w:pStyle w:val="Compact"/>
              <w:jc w:val="left"/>
            </w:pPr>
            <w:r>
              <w:t xml:space="preserve">Require sub-suppliers to comply with or suitably tailor the same CM requirements imposed on the Supplier</w:t>
            </w:r>
          </w:p>
        </w:tc>
        <w:tc>
          <w:tcPr/>
          <w:p>
            <w:pPr>
              <w:pStyle w:val="Compact"/>
              <w:jc w:val="left"/>
            </w:pPr>
            <w:r>
              <w:t xml:space="preserve">B15</w:t>
            </w:r>
          </w:p>
        </w:tc>
        <w:tc>
          <w:tcPr/>
          <w:p>
            <w:pPr>
              <w:pStyle w:val="Compact"/>
              <w:jc w:val="left"/>
            </w:pPr>
            <w:r>
              <w:t xml:space="preserve">§6.2.1 + §7 Supply-chain</w:t>
            </w:r>
          </w:p>
        </w:tc>
        <w:tc>
          <w:tcPr/>
          <w:p>
            <w:pPr>
              <w:pStyle w:val="Compact"/>
              <w:jc w:val="left"/>
            </w:pPr>
            <w:r>
              <w:t xml:space="preserve">Clean</w:t>
            </w:r>
          </w:p>
        </w:tc>
        <w:tc>
          <w:tcPr/>
          <w:p>
            <w:pPr>
              <w:pStyle w:val="Compact"/>
              <w:jc w:val="left"/>
            </w:pPr>
            <w:r>
              <w:t xml:space="preserve">3.2 Acquirer–Supplier</w:t>
            </w:r>
          </w:p>
        </w:tc>
      </w:tr>
      <w:tr>
        <w:tc>
          <w:tcPr/>
          <w:p>
            <w:pPr>
              <w:pStyle w:val="Compact"/>
              <w:jc w:val="left"/>
            </w:pPr>
            <w:r>
              <w:t xml:space="preserve">F41</w:t>
            </w:r>
          </w:p>
        </w:tc>
        <w:tc>
          <w:tcPr/>
          <w:p>
            <w:pPr>
              <w:pStyle w:val="Compact"/>
              <w:jc w:val="left"/>
            </w:pPr>
            <w:r>
              <w:t xml:space="preserve">3.(4)</w:t>
            </w:r>
          </w:p>
        </w:tc>
        <w:tc>
          <w:tcPr/>
          <w:p>
            <w:pPr>
              <w:pStyle w:val="Compact"/>
              <w:jc w:val="left"/>
            </w:pPr>
            <w:r>
              <w:t xml:space="preserve">Support Acquirer audits of Supplier and sub-supplier CM</w:t>
            </w:r>
          </w:p>
        </w:tc>
        <w:tc>
          <w:tcPr/>
          <w:p>
            <w:pPr>
              <w:pStyle w:val="Compact"/>
              <w:jc w:val="left"/>
            </w:pPr>
            <w:r>
              <w:t xml:space="preserve">B15</w:t>
            </w:r>
          </w:p>
        </w:tc>
        <w:tc>
          <w:tcPr/>
          <w:p>
            <w:pPr>
              <w:pStyle w:val="Compact"/>
              <w:jc w:val="left"/>
            </w:pPr>
            <w:r>
              <w:t xml:space="preserve">§7 Interfaces</w:t>
            </w:r>
          </w:p>
        </w:tc>
        <w:tc>
          <w:tcPr/>
          <w:p>
            <w:pPr>
              <w:pStyle w:val="Compact"/>
              <w:jc w:val="left"/>
            </w:pPr>
            <w:r>
              <w:t xml:space="preserve">Judgment</w:t>
            </w:r>
          </w:p>
        </w:tc>
        <w:tc>
          <w:tcPr/>
          <w:p>
            <w:pPr>
              <w:pStyle w:val="Compact"/>
              <w:jc w:val="left"/>
            </w:pPr>
            <w:r>
              <w:t xml:space="preserve">3.2 Acquirer–Supplier; 2.6 Verification &amp; Audit</w:t>
            </w:r>
          </w:p>
        </w:tc>
      </w:tr>
      <w:tr>
        <w:tc>
          <w:tcPr/>
          <w:p>
            <w:pPr>
              <w:pStyle w:val="Compact"/>
              <w:jc w:val="left"/>
            </w:pPr>
            <w:r>
              <w:t xml:space="preserve">F42</w:t>
            </w:r>
          </w:p>
        </w:tc>
        <w:tc>
          <w:tcPr/>
          <w:p>
            <w:pPr>
              <w:pStyle w:val="Compact"/>
              <w:jc w:val="left"/>
            </w:pPr>
            <w:r>
              <w:t xml:space="preserve">3.5.2(2)</w:t>
            </w:r>
          </w:p>
        </w:tc>
        <w:tc>
          <w:tcPr/>
          <w:p>
            <w:pPr>
              <w:pStyle w:val="Compact"/>
              <w:jc w:val="left"/>
            </w:pPr>
            <w:r>
              <w:t xml:space="preserve">Conduct the FCA to verify the CI meets performance requirements per approved FCD/ACD</w:t>
            </w:r>
          </w:p>
        </w:tc>
        <w:tc>
          <w:tcPr/>
          <w:p>
            <w:pPr>
              <w:pStyle w:val="Compact"/>
              <w:jc w:val="left"/>
            </w:pPr>
            <w:r>
              <w:t xml:space="preserve">B16</w:t>
            </w:r>
          </w:p>
        </w:tc>
        <w:tc>
          <w:tcPr/>
          <w:p>
            <w:pPr>
              <w:pStyle w:val="Compact"/>
              <w:jc w:val="left"/>
            </w:pPr>
            <w:r>
              <w:t xml:space="preserve">§6.3.1 Validate risk controls</w:t>
            </w:r>
          </w:p>
        </w:tc>
        <w:tc>
          <w:tcPr/>
          <w:p>
            <w:pPr>
              <w:pStyle w:val="Compact"/>
              <w:jc w:val="left"/>
            </w:pPr>
            <w:r>
              <w:t xml:space="preserve">Clean</w:t>
            </w:r>
          </w:p>
        </w:tc>
        <w:tc>
          <w:tcPr/>
          <w:p>
            <w:pPr>
              <w:pStyle w:val="Compact"/>
              <w:jc w:val="left"/>
            </w:pPr>
            <w:r>
              <w:t xml:space="preserve">2.6 Configuration Verification &amp; Audit</w:t>
            </w:r>
          </w:p>
        </w:tc>
      </w:tr>
      <w:tr>
        <w:tc>
          <w:tcPr/>
          <w:p>
            <w:pPr>
              <w:pStyle w:val="Compact"/>
              <w:jc w:val="left"/>
            </w:pPr>
            <w:r>
              <w:t xml:space="preserve">F43</w:t>
            </w:r>
          </w:p>
        </w:tc>
        <w:tc>
          <w:tcPr/>
          <w:p>
            <w:pPr>
              <w:pStyle w:val="Compact"/>
              <w:jc w:val="left"/>
            </w:pPr>
            <w:r>
              <w:t xml:space="preserve">3.5.2(3)</w:t>
            </w:r>
          </w:p>
        </w:tc>
        <w:tc>
          <w:tcPr/>
          <w:p>
            <w:pPr>
              <w:pStyle w:val="Compact"/>
              <w:jc w:val="left"/>
            </w:pPr>
            <w:r>
              <w:t xml:space="preserve">Document each FCA non-compliance and provide it to the Acquirer</w:t>
            </w:r>
          </w:p>
        </w:tc>
        <w:tc>
          <w:tcPr/>
          <w:p>
            <w:pPr>
              <w:pStyle w:val="Compact"/>
              <w:jc w:val="left"/>
            </w:pPr>
            <w:r>
              <w:t xml:space="preserve">B16</w:t>
            </w:r>
          </w:p>
        </w:tc>
        <w:tc>
          <w:tcPr/>
          <w:p>
            <w:pPr>
              <w:pStyle w:val="Compact"/>
              <w:jc w:val="left"/>
            </w:pPr>
            <w:r>
              <w:t xml:space="preserve">§6.3.1 Validate risk controls</w:t>
            </w:r>
          </w:p>
        </w:tc>
        <w:tc>
          <w:tcPr/>
          <w:p>
            <w:pPr>
              <w:pStyle w:val="Compact"/>
              <w:jc w:val="left"/>
            </w:pPr>
            <w:r>
              <w:t xml:space="preserve">Clean</w:t>
            </w:r>
          </w:p>
        </w:tc>
        <w:tc>
          <w:tcPr/>
          <w:p>
            <w:pPr>
              <w:pStyle w:val="Compact"/>
              <w:jc w:val="left"/>
            </w:pPr>
            <w:r>
              <w:t xml:space="preserve">2.6 Configuration Verification &amp; Audit</w:t>
            </w:r>
          </w:p>
        </w:tc>
      </w:tr>
      <w:tr>
        <w:tc>
          <w:tcPr/>
          <w:p>
            <w:pPr>
              <w:pStyle w:val="Compact"/>
              <w:jc w:val="left"/>
            </w:pPr>
            <w:r>
              <w:t xml:space="preserve">F44</w:t>
            </w:r>
          </w:p>
        </w:tc>
        <w:tc>
          <w:tcPr/>
          <w:p>
            <w:pPr>
              <w:pStyle w:val="Compact"/>
              <w:jc w:val="left"/>
            </w:pPr>
            <w:r>
              <w:t xml:space="preserve">3.5.2.1(1)(c)</w:t>
            </w:r>
          </w:p>
        </w:tc>
        <w:tc>
          <w:tcPr/>
          <w:p>
            <w:pPr>
              <w:pStyle w:val="Compact"/>
              <w:jc w:val="left"/>
            </w:pPr>
            <w:r>
              <w:t xml:space="preserve">Provide a requirements-to-test traceability matrix (each requirement maps to a test step)</w:t>
            </w:r>
          </w:p>
        </w:tc>
        <w:tc>
          <w:tcPr/>
          <w:p>
            <w:pPr>
              <w:pStyle w:val="Compact"/>
              <w:jc w:val="left"/>
            </w:pPr>
            <w:r>
              <w:t xml:space="preserve">B16</w:t>
            </w:r>
          </w:p>
        </w:tc>
        <w:tc>
          <w:tcPr/>
          <w:p>
            <w:pPr>
              <w:pStyle w:val="Compact"/>
              <w:jc w:val="left"/>
            </w:pPr>
            <w:r>
              <w:t xml:space="preserve">§6.3.1 Validate risk controls</w:t>
            </w:r>
          </w:p>
        </w:tc>
        <w:tc>
          <w:tcPr/>
          <w:p>
            <w:pPr>
              <w:pStyle w:val="Compact"/>
              <w:jc w:val="left"/>
            </w:pPr>
            <w:r>
              <w:t xml:space="preserve">Clean</w:t>
            </w:r>
          </w:p>
        </w:tc>
        <w:tc>
          <w:tcPr/>
          <w:p>
            <w:pPr>
              <w:pStyle w:val="Compact"/>
              <w:jc w:val="left"/>
            </w:pPr>
            <w:r>
              <w:t xml:space="preserve">2.6 Configuration Verification &amp; Audit</w:t>
            </w:r>
          </w:p>
        </w:tc>
      </w:tr>
    </w:tbl>
    <w:p>
      <w:pPr>
        <w:pStyle w:val="BodyText"/>
      </w:pPr>
      <w:r>
        <w:rPr>
          <w:iCs/>
          <w:i/>
        </w:rPr>
        <w:t xml:space="preserve">&lt;</w:t>
      </w:r>
      <w:r>
        <w:rPr>
          <w:bCs/>
          <w:b/>
          <w:iCs/>
          <w:i/>
        </w:rPr>
        <w:t xml:space="preserve">Insert distribution / destruction statement</w:t>
      </w:r>
      <w:r>
        <w:rPr>
          <w:iCs/>
          <w:i/>
        </w:rPr>
        <w:t xml:space="preserve">&gt;</w:t>
      </w:r>
    </w:p>
    <w:bookmarkEnd w:id="1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2026-08-01T20:24:18Z</dcterms:created>
  <dcterms:modified xsi:type="dcterms:W3CDTF">2026-08-01T20:24:18Z</dcterms:modified>
</cp:coreProperties>
</file>

<file path=docProps/custom.xml><?xml version="1.0" encoding="utf-8"?>
<Properties xmlns="http://schemas.openxmlformats.org/officeDocument/2006/custom-properties" xmlns:vt="http://schemas.openxmlformats.org/officeDocument/2006/docPropsVTypes"/>
</file>