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20" w:line="276"/>
      </w:pPr>
      <w:r>
        <w:rPr>
          <w:rFonts w:ascii="Calibri" w:cs="Calibri" w:eastAsia="Calibri" w:hAnsi="Calibri"/>
          <w:b/>
          <w:bCs/>
          <w:color w:val="B4530C"/>
          <w:sz w:val="18"/>
          <w:szCs w:val="18"/>
        </w:rPr>
        <w:t xml:space="preserve">SPECIFICATION  ·  DRAFT B FOR TECHNICAL REVIEW</w:t>
      </w:r>
    </w:p>
    <w:p>
      <w:pPr>
        <w:spacing w:after="240" w:line="600"/>
      </w:pPr>
      <w:r>
        <w:rPr>
          <w:rFonts w:ascii="Cambria" w:cs="Cambria" w:eastAsia="Cambria" w:hAnsi="Cambria"/>
          <w:b/>
          <w:bCs/>
          <w:color w:val="132A4E"/>
          <w:sz w:val="50"/>
          <w:szCs w:val="50"/>
        </w:rPr>
        <w:t xml:space="preserve">Assumption Control Profile for Cameo / MSOSA</w:t>
      </w:r>
    </w:p>
    <w:p>
      <w:pPr>
        <w:spacing w:after="500" w:line="300"/>
      </w:pPr>
      <w:r>
        <w:rPr>
          <w:rFonts w:ascii="Calibri" w:cs="Calibri" w:eastAsia="Calibri" w:hAnsi="Calibri"/>
          <w:i/>
          <w:iCs/>
          <w:color w:val="4A5568"/>
          <w:sz w:val="24"/>
          <w:szCs w:val="24"/>
        </w:rPr>
        <w:t xml:space="preserve">A SysML profile that makes ground rules and assumptions into model elements with conditions, anchors, states, and validation rules</w:t>
      </w:r>
    </w:p>
    <w:tbl>
      <w:tblPr>
        <w:tblW w:type="dxa" w:w="9360"/>
        <w:tblBorders>
          <w:top w:val="single" w:color="D3DEEF" w:sz="2"/>
          <w:left w:val="single" w:color="1F4380" w:sz="18"/>
          <w:bottom w:val="single" w:color="D3DEEF" w:sz="2"/>
          <w:right w:val="single" w:color="D3DEEF" w:sz="2"/>
          <w:insideH w:val="none"/>
          <w:insideV w:val="none"/>
        </w:tblBorders>
      </w:tblPr>
      <w:tblGrid>
        <w:gridCol w:w="9360"/>
      </w:tblGrid>
      <w:tr>
        <w:trPr>
          <w:cantSplit/>
        </w:trPr>
        <w:tc>
          <w:tcPr>
            <w:tcW w:type="dxa" w:w="9360"/>
            <w:shd w:fill="EDF1F8" w:color="auto" w:val="clear"/>
            <w:tcMar>
              <w:top w:type="dxa" w:w="130"/>
              <w:left w:type="dxa" w:w="200"/>
              <w:bottom w:type="dxa" w:w="130"/>
              <w:right w:type="dxa" w:w="200"/>
            </w:tcMar>
          </w:tcPr>
          <w:p>
            <w:pPr>
              <w:spacing w:after="80" w:line="276"/>
            </w:pPr>
            <w:r>
              <w:rPr>
                <w:rFonts w:ascii="Calibri" w:cs="Calibri" w:eastAsia="Calibri" w:hAnsi="Calibri"/>
                <w:color w:val="1A2333"/>
                <w:sz w:val="20"/>
                <w:szCs w:val="20"/>
              </w:rPr>
              <w:t xml:space="preserve">This specification is a proposal. It was written without access to the installed Cameo version, the site profile rules, the SysML v2 roadmap, or the requirements toolchain.</w:t>
            </w:r>
          </w:p>
          <w:p>
            <w:pPr>
              <w:spacing w:after="0" w:line="276"/>
            </w:pPr>
            <w:r>
              <w:rPr>
                <w:rFonts w:ascii="Calibri" w:cs="Calibri" w:eastAsia="Calibri" w:hAnsi="Calibri"/>
                <w:color w:val="1A2333"/>
                <w:sz w:val="20"/>
                <w:szCs w:val="20"/>
              </w:rPr>
              <w:t xml:space="preserve">Confirm every tool capability against the real environment before any build work. Items marked "Confirm" show where this matters most.</w:t>
            </w:r>
          </w:p>
        </w:tc>
      </w:tr>
    </w:tbl>
    <w:p>
      <w:pPr>
        <w:spacing w:after="300"/>
      </w:pP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246"/>
        <w:gridCol w:w="7114"/>
      </w:tblGrid>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Prepared for</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Enterprise SMS Technical Fellow and MBSE lead.</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Subject</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Representing and controlling ground rules and assumptions in the system model.</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Companion documents</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Controlling Inherited Ground Rules and Assumptions (the practice). Controlling Assumptions in the System Model (how to use this profile).</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Related standards</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SM-0001 Issue C · EIA-649-1A · GEIA-HB-649 · OMG SysML 1.6 · OMG UML 2.5.1</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Status</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Draft B. Supersedes Draft A. Appendix A lists the changes.</w:t>
            </w:r>
          </w:p>
        </w:tc>
      </w:tr>
    </w:tbl>
    <w:p>
      <w:r>
        <w:br w:type="page"/>
      </w:r>
    </w:p>
    <w:p>
      <w:pPr>
        <w:pStyle w:val="Heading1"/>
        <w:keepNext/>
        <w:spacing w:after="160" w:before="360"/>
      </w:pPr>
      <w:r>
        <w:rPr>
          <w:rFonts w:ascii="Cambria" w:cs="Cambria" w:eastAsia="Cambria" w:hAnsi="Cambria"/>
          <w:b/>
          <w:bCs/>
          <w:color w:val="132A4E"/>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60" w:before="360"/>
      </w:pPr>
      <w:r>
        <w:rPr>
          <w:rFonts w:ascii="Cambria" w:cs="Cambria" w:eastAsia="Cambria" w:hAnsi="Cambria"/>
          <w:b/>
          <w:bCs/>
          <w:color w:val="132A4E"/>
          <w:sz w:val="30"/>
          <w:szCs w:val="30"/>
        </w:rPr>
        <w:t xml:space="preserve">1.  Purpose</w:t>
      </w:r>
    </w:p>
    <w:p>
      <w:pPr>
        <w:spacing w:after="120" w:line="276"/>
      </w:pPr>
      <w:r>
        <w:rPr>
          <w:rFonts w:ascii="Calibri" w:cs="Calibri" w:eastAsia="Calibri" w:hAnsi="Calibri"/>
          <w:color w:val="1A2333"/>
          <w:sz w:val="21"/>
          <w:szCs w:val="21"/>
        </w:rPr>
        <w:t xml:space="preserve">This profile makes each ground rule and assumption a model element. Four things then become true. None of them is true today.</w:t>
      </w:r>
    </w:p>
    <w:p>
      <w:pPr>
        <w:pStyle w:val="ListParagraph"/>
        <w:numPr>
          <w:ilvl w:val="0"/>
          <w:numId w:val="2"/>
        </w:numPr>
        <w:spacing w:after="110" w:line="276"/>
      </w:pPr>
      <w:r>
        <w:rPr>
          <w:rFonts w:ascii="Calibri" w:cs="Calibri" w:eastAsia="Calibri" w:hAnsi="Calibri"/>
          <w:b/>
          <w:bCs/>
          <w:color w:val="132A4E"/>
          <w:sz w:val="21"/>
          <w:szCs w:val="21"/>
        </w:rPr>
        <w:t xml:space="preserve">Each safety-relevant assumption carries its conditions and its rationale.  </w:t>
      </w:r>
      <w:r>
        <w:rPr>
          <w:rFonts w:ascii="Calibri" w:cs="Calibri" w:eastAsia="Calibri" w:hAnsi="Calibri"/>
          <w:color w:val="1A2333"/>
          <w:sz w:val="21"/>
          <w:szCs w:val="21"/>
        </w:rPr>
        <w:t xml:space="preserve">It also names the person on this program who accepted the residual risk.</w:t>
      </w:r>
    </w:p>
    <w:p>
      <w:pPr>
        <w:pStyle w:val="ListParagraph"/>
        <w:numPr>
          <w:ilvl w:val="0"/>
          <w:numId w:val="2"/>
        </w:numPr>
        <w:spacing w:after="110" w:line="276"/>
      </w:pPr>
      <w:r>
        <w:rPr>
          <w:rFonts w:ascii="Calibri" w:cs="Calibri" w:eastAsia="Calibri" w:hAnsi="Calibri"/>
          <w:b/>
          <w:bCs/>
          <w:color w:val="132A4E"/>
          <w:sz w:val="21"/>
          <w:szCs w:val="21"/>
        </w:rPr>
        <w:t xml:space="preserve">Each condition points at the document and revision that make it true.  </w:t>
      </w:r>
      <w:r>
        <w:rPr>
          <w:rFonts w:ascii="Calibri" w:cs="Calibri" w:eastAsia="Calibri" w:hAnsi="Calibri"/>
          <w:color w:val="1A2333"/>
          <w:sz w:val="21"/>
          <w:szCs w:val="21"/>
        </w:rPr>
        <w:t xml:space="preserve">It cites the document. It does not restate the document's values.</w:t>
      </w:r>
    </w:p>
    <w:p>
      <w:pPr>
        <w:pStyle w:val="ListParagraph"/>
        <w:numPr>
          <w:ilvl w:val="0"/>
          <w:numId w:val="2"/>
        </w:numPr>
        <w:spacing w:after="110" w:line="276"/>
      </w:pPr>
      <w:r>
        <w:rPr>
          <w:rFonts w:ascii="Calibri" w:cs="Calibri" w:eastAsia="Calibri" w:hAnsi="Calibri"/>
          <w:b/>
          <w:bCs/>
          <w:color w:val="132A4E"/>
          <w:sz w:val="21"/>
          <w:szCs w:val="21"/>
        </w:rPr>
        <w:t xml:space="preserve">When an anchor moves, a query finds everything that depends on it.  </w:t>
      </w:r>
      <w:r>
        <w:rPr>
          <w:rFonts w:ascii="Calibri" w:cs="Calibri" w:eastAsia="Calibri" w:hAnsi="Calibri"/>
          <w:color w:val="1A2333"/>
          <w:sz w:val="21"/>
          <w:szCs w:val="21"/>
        </w:rPr>
        <w:t xml:space="preserve">Nobody has to remember.</w:t>
      </w:r>
    </w:p>
    <w:p>
      <w:pPr>
        <w:pStyle w:val="ListParagraph"/>
        <w:numPr>
          <w:ilvl w:val="0"/>
          <w:numId w:val="2"/>
        </w:numPr>
        <w:spacing w:after="110" w:line="276"/>
      </w:pPr>
      <w:r>
        <w:rPr>
          <w:rFonts w:ascii="Calibri" w:cs="Calibri" w:eastAsia="Calibri" w:hAnsi="Calibri"/>
          <w:b/>
          <w:bCs/>
          <w:color w:val="132A4E"/>
          <w:sz w:val="21"/>
          <w:szCs w:val="21"/>
        </w:rPr>
        <w:t xml:space="preserve">An assumption from another program cannot enter without a comparison.  </w:t>
      </w:r>
      <w:r>
        <w:rPr>
          <w:rFonts w:ascii="Calibri" w:cs="Calibri" w:eastAsia="Calibri" w:hAnsi="Calibri"/>
          <w:color w:val="1A2333"/>
          <w:sz w:val="21"/>
          <w:szCs w:val="21"/>
        </w:rPr>
        <w:t xml:space="preserve">The comparison covers each condition on both programs.</w:t>
      </w:r>
    </w:p>
    <w:p>
      <w:pPr>
        <w:spacing w:after="120" w:line="276"/>
      </w:pPr>
      <w:r>
        <w:rPr>
          <w:rFonts w:ascii="Calibri" w:cs="Calibri" w:eastAsia="Calibri" w:hAnsi="Calibri"/>
          <w:color w:val="1A2333"/>
          <w:sz w:val="21"/>
          <w:szCs w:val="21"/>
        </w:rPr>
        <w:t xml:space="preserve">The safety management system (SMS) owns this practice. Configuration management supplies revision data and stable identifiers for engineering documents. It does not own the practice. Two of the three control regimes sit outside it.</w:t>
      </w:r>
    </w:p>
    <w:p>
      <w:pPr>
        <w:pStyle w:val="Heading1"/>
        <w:keepNext/>
        <w:spacing w:after="160" w:before="360"/>
      </w:pPr>
      <w:r>
        <w:rPr>
          <w:rFonts w:ascii="Cambria" w:cs="Cambria" w:eastAsia="Cambria" w:hAnsi="Cambria"/>
          <w:b/>
          <w:bCs/>
          <w:color w:val="132A4E"/>
          <w:sz w:val="30"/>
          <w:szCs w:val="30"/>
        </w:rPr>
        <w:t xml:space="preserve">2.  Design principles</w:t>
      </w:r>
    </w:p>
    <w:p>
      <w:pPr>
        <w:pStyle w:val="Heading2"/>
        <w:keepNext/>
        <w:spacing w:after="110" w:before="240"/>
      </w:pPr>
      <w:r>
        <w:rPr>
          <w:rFonts w:ascii="Cambria" w:cs="Cambria" w:eastAsia="Cambria" w:hAnsi="Cambria"/>
          <w:b/>
          <w:bCs/>
          <w:color w:val="1F4380"/>
          <w:sz w:val="24"/>
          <w:szCs w:val="24"/>
        </w:rPr>
        <w:t xml:space="preserve">2.1  An assumption is not a requirement</w:t>
      </w:r>
    </w:p>
    <w:p>
      <w:pPr>
        <w:spacing w:after="120" w:line="276"/>
      </w:pPr>
      <w:r>
        <w:rPr>
          <w:rFonts w:ascii="Calibri" w:cs="Calibri" w:eastAsia="Calibri" w:hAnsi="Calibri"/>
          <w:color w:val="1A2333"/>
          <w:sz w:val="21"/>
          <w:szCs w:val="21"/>
        </w:rPr>
        <w:t xml:space="preserve">A requirement is imposed. The design must satisfy it. An assumption is accepted about the world. Nobody can make it true by decree.</w:t>
      </w:r>
    </w:p>
    <w:p>
      <w:pPr>
        <w:spacing w:after="120" w:line="276"/>
      </w:pPr>
      <w:r>
        <w:rPr>
          <w:rFonts w:ascii="Calibri" w:cs="Calibri" w:eastAsia="Calibri" w:hAnsi="Calibri"/>
          <w:color w:val="1A2333"/>
          <w:sz w:val="21"/>
          <w:szCs w:val="21"/>
        </w:rPr>
        <w:t xml:space="preserve">When an assumption fails, the analysis reopens. Nobody changes the design until the assumption reads as true.</w:t>
      </w:r>
    </w:p>
    <w:p>
      <w:pPr>
        <w:spacing w:after="120" w:line="276"/>
      </w:pPr>
      <w:r>
        <w:rPr>
          <w:rFonts w:ascii="Calibri" w:cs="Calibri" w:eastAsia="Calibri" w:hAnsi="Calibri"/>
          <w:color w:val="1A2333"/>
          <w:sz w:val="21"/>
          <w:szCs w:val="21"/>
        </w:rPr>
        <w:t xml:space="preserve">The profile builds on the SysML Requirement stereotype to reuse requirement tooling. That reuse invites drift. An inconvenient assumption gets narrowed until it is technically met. So assumptions must look different from requirements. They need their own icon, their own color, and their own property panels. A satisfy relationship to an assumption is prohibited (Section 5.3).</w:t>
      </w:r>
    </w:p>
    <w:p>
      <w:pPr>
        <w:pStyle w:val="Heading2"/>
        <w:keepNext/>
        <w:spacing w:after="110" w:before="240"/>
      </w:pPr>
      <w:r>
        <w:rPr>
          <w:rFonts w:ascii="Cambria" w:cs="Cambria" w:eastAsia="Cambria" w:hAnsi="Cambria"/>
          <w:b/>
          <w:bCs/>
          <w:color w:val="1F4380"/>
          <w:sz w:val="24"/>
          <w:szCs w:val="24"/>
        </w:rPr>
        <w:t xml:space="preserve">2.2  Three control regimes, one in the model</w:t>
      </w:r>
    </w:p>
    <w:p>
      <w:pPr>
        <w:spacing w:after="120" w:line="276"/>
      </w:pPr>
      <w:r>
        <w:rPr>
          <w:rFonts w:ascii="Calibri" w:cs="Calibri" w:eastAsia="Calibri" w:hAnsi="Calibri"/>
          <w:color w:val="1A2333"/>
          <w:sz w:val="21"/>
          <w:szCs w:val="21"/>
        </w:rPr>
        <w:t xml:space="preserve">The facts that assumptions depend on are controlled in three places. Each has its own authority and its own change process.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621"/>
        <w:gridCol w:w="3744"/>
        <w:gridCol w:w="2995"/>
      </w:tblGrid>
      <w:tr>
        <w:trPr>
          <w:tblHeader/>
        </w:trPr>
        <w:tc>
          <w:tcPr>
            <w:tcW w:type="dxa" w:w="262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Control regime</w:t>
            </w:r>
          </w:p>
        </w:tc>
        <w:tc>
          <w:tcPr>
            <w:tcW w:type="dxa" w:w="374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it controls</w:t>
            </w:r>
          </w:p>
        </w:tc>
        <w:tc>
          <w:tcPr>
            <w:tcW w:type="dxa" w:w="2995"/>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How it changes</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Engineering configuration control</w:t>
            </w:r>
          </w:p>
        </w:tc>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Drawings, specifications, and interface requirements.</w:t>
            </w:r>
          </w:p>
        </w:tc>
        <w:tc>
          <w:tcPr>
            <w:tcW w:type="dxa" w:w="299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Formal engineering change, approved by a change board.</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Maintenance program and operational control</w:t>
            </w:r>
          </w:p>
        </w:tc>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Inspection intervals, MEL conditions, and flight and maintenance procedures.</w:t>
            </w:r>
          </w:p>
        </w:tc>
        <w:tc>
          <w:tcPr>
            <w:tcW w:type="dxa" w:w="299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Operator and authority approval. No engineering change.</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Training and competence control</w:t>
            </w:r>
          </w:p>
        </w:tc>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Crew and maintainer qualification, recency, and curriculum.</w:t>
            </w:r>
          </w:p>
        </w:tc>
        <w:tc>
          <w:tcPr>
            <w:tcW w:type="dxa" w:w="299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Training organization approval. Outside engineering.</w:t>
            </w:r>
          </w:p>
        </w:tc>
      </w:tr>
    </w:tbl>
    <w:p>
      <w:pPr>
        <w:spacing w:after="80"/>
      </w:pPr>
    </w:p>
    <w:p>
      <w:pPr>
        <w:spacing w:after="120" w:line="276"/>
      </w:pPr>
      <w:r>
        <w:rPr>
          <w:rFonts w:ascii="Calibri" w:cs="Calibri" w:eastAsia="Calibri" w:hAnsi="Calibri"/>
          <w:color w:val="1A2333"/>
          <w:sz w:val="21"/>
          <w:szCs w:val="21"/>
        </w:rPr>
        <w:t xml:space="preserve">Usually only the first regime appears in a system model. The profile handles the other two with stub elements. A stub records a document's identifier and revision. It does not model the document's content.</w:t>
      </w:r>
    </w:p>
    <w:p>
      <w:pPr>
        <w:pStyle w:val="Heading2"/>
        <w:keepNext/>
        <w:spacing w:after="110" w:before="240"/>
      </w:pPr>
      <w:r>
        <w:rPr>
          <w:rFonts w:ascii="Cambria" w:cs="Cambria" w:eastAsia="Cambria" w:hAnsi="Cambria"/>
          <w:b/>
          <w:bCs/>
          <w:color w:val="1F4380"/>
          <w:sz w:val="24"/>
          <w:szCs w:val="24"/>
        </w:rPr>
        <w:t xml:space="preserve">2.3  Not everything is verifiable</w:t>
      </w:r>
    </w:p>
    <w:p>
      <w:pPr>
        <w:spacing w:after="120" w:line="276"/>
      </w:pPr>
      <w:r>
        <w:rPr>
          <w:rFonts w:ascii="Calibri" w:cs="Calibri" w:eastAsia="Calibri" w:hAnsi="Calibri"/>
          <w:color w:val="1A2333"/>
          <w:sz w:val="21"/>
          <w:szCs w:val="21"/>
        </w:rPr>
        <w:t xml:space="preserve">Some conditions can only be watched. Procedural compliance is one. Inspection detection rates and fleet utilization are others. No test case closes them.</w:t>
      </w:r>
    </w:p>
    <w:p>
      <w:pPr>
        <w:spacing w:after="120" w:line="276"/>
      </w:pPr>
      <w:r>
        <w:rPr>
          <w:rFonts w:ascii="Calibri" w:cs="Calibri" w:eastAsia="Calibri" w:hAnsi="Calibri"/>
          <w:color w:val="1A2333"/>
          <w:sz w:val="21"/>
          <w:szCs w:val="21"/>
        </w:rPr>
        <w:t xml:space="preserve">The profile has a Monitored state, separate from Verified. Without it, people record verifications that never happened.</w:t>
      </w:r>
    </w:p>
    <w:p>
      <w:pPr>
        <w:pStyle w:val="Heading2"/>
        <w:keepNext/>
        <w:spacing w:after="110" w:before="240"/>
      </w:pPr>
      <w:r>
        <w:rPr>
          <w:rFonts w:ascii="Cambria" w:cs="Cambria" w:eastAsia="Cambria" w:hAnsi="Cambria"/>
          <w:b/>
          <w:bCs/>
          <w:color w:val="1F4380"/>
          <w:sz w:val="24"/>
          <w:szCs w:val="24"/>
        </w:rPr>
        <w:t xml:space="preserve">2.4  Work outside the tool</w:t>
      </w:r>
    </w:p>
    <w:p>
      <w:pPr>
        <w:spacing w:after="120" w:line="276"/>
      </w:pPr>
      <w:r>
        <w:rPr>
          <w:rFonts w:ascii="Calibri" w:cs="Calibri" w:eastAsia="Calibri" w:hAnsi="Calibri"/>
          <w:color w:val="1A2333"/>
          <w:sz w:val="21"/>
          <w:szCs w:val="21"/>
        </w:rPr>
        <w:t xml:space="preserve">Assumptions are written at proposal. Most programs have no mature model then. Proposal is also when capture matters most.</w:t>
      </w:r>
    </w:p>
    <w:p>
      <w:pPr>
        <w:spacing w:after="120" w:line="276"/>
      </w:pPr>
      <w:r>
        <w:rPr>
          <w:rFonts w:ascii="Calibri" w:cs="Calibri" w:eastAsia="Calibri" w:hAnsi="Calibri"/>
          <w:color w:val="1A2333"/>
          <w:sz w:val="21"/>
          <w:szCs w:val="21"/>
        </w:rPr>
        <w:t xml:space="preserve">So the record must also work in a spreadsheet. The model is the preferred home, not the only one. Property names here match the register fields in the companion guidance. A record can move from one to the other without loss.</w:t>
      </w:r>
    </w:p>
    <w:p>
      <w:pPr>
        <w:pStyle w:val="Heading2"/>
        <w:keepNext/>
        <w:spacing w:after="110" w:before="240"/>
      </w:pPr>
      <w:r>
        <w:rPr>
          <w:rFonts w:ascii="Cambria" w:cs="Cambria" w:eastAsia="Cambria" w:hAnsi="Cambria"/>
          <w:b/>
          <w:bCs/>
          <w:color w:val="1F4380"/>
          <w:sz w:val="24"/>
          <w:szCs w:val="24"/>
        </w:rPr>
        <w:t xml:space="preserve">2.5  Record each fact once</w:t>
      </w:r>
    </w:p>
    <w:p>
      <w:pPr>
        <w:spacing w:after="120" w:line="276"/>
      </w:pPr>
      <w:r>
        <w:rPr>
          <w:rFonts w:ascii="Calibri" w:cs="Calibri" w:eastAsia="Calibri" w:hAnsi="Calibri"/>
          <w:color w:val="1A2333"/>
          <w:sz w:val="21"/>
          <w:szCs w:val="21"/>
        </w:rPr>
        <w:t xml:space="preserve">Each fact has one home in the profile. A revision lives on the relationship that cites it. A hazard link lives in a relationship, not also in a property. Duplicate fields drift apart, and then nobody knows which one is right.</w:t>
      </w:r>
    </w:p>
    <w:p>
      <w:pPr>
        <w:pStyle w:val="Heading1"/>
        <w:keepNext/>
        <w:spacing w:after="160" w:before="360"/>
      </w:pPr>
      <w:r>
        <w:rPr>
          <w:rFonts w:ascii="Cambria" w:cs="Cambria" w:eastAsia="Cambria" w:hAnsi="Cambria"/>
          <w:b/>
          <w:bCs/>
          <w:color w:val="132A4E"/>
          <w:sz w:val="30"/>
          <w:szCs w:val="30"/>
        </w:rPr>
        <w:t xml:space="preserve">3.  Stereotypes</w:t>
      </w:r>
    </w:p>
    <w:p>
      <w:pPr>
        <w:spacing w:after="120" w:line="276"/>
      </w:pPr>
      <w:r>
        <w:rPr>
          <w:rFonts w:ascii="Calibri" w:cs="Calibri" w:eastAsia="Calibri" w:hAnsi="Calibri"/>
          <w:color w:val="1A2333"/>
          <w:sz w:val="21"/>
          <w:szCs w:val="21"/>
        </w:rPr>
        <w:t xml:space="preserve">The profile defines five stereotypes. Two build on the SysML Requirement stereotype. Three extend the UML Class metaclass.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434"/>
        <w:gridCol w:w="2059"/>
        <w:gridCol w:w="4867"/>
      </w:tblGrid>
      <w:tr>
        <w:trPr>
          <w:tblHeader/>
        </w:trPr>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Stereotype</w:t>
            </w:r>
          </w:p>
        </w:tc>
        <w:tc>
          <w:tcPr>
            <w:tcW w:type="dxa" w:w="205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Base</w:t>
            </w:r>
          </w:p>
        </w:tc>
        <w:tc>
          <w:tcPr>
            <w:tcW w:type="dxa" w:w="4867"/>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Represents</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w:t>
            </w:r>
          </w:p>
        </w:tc>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SysML Requirement</w:t>
            </w:r>
          </w:p>
        </w:tc>
        <w:tc>
          <w:tcPr>
            <w:tcW w:type="dxa" w:w="486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One ground rule or assumption.</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«AssumptionCondition»</w:t>
            </w:r>
          </w:p>
        </w:tc>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SysML Requirement</w:t>
            </w:r>
          </w:p>
        </w:tc>
        <w:tc>
          <w:tcPr>
            <w:tcW w:type="dxa" w:w="486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One checkable condition of an assumption.</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«ControlledDocument»</w:t>
            </w:r>
          </w:p>
        </w:tc>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UML Class</w:t>
            </w:r>
          </w:p>
        </w:tc>
        <w:tc>
          <w:tcPr>
            <w:tcW w:type="dxa" w:w="486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controlled document, either outside the model as a stub or inside it as an applied stereotype.</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«AssumptionMonitor»</w:t>
            </w:r>
          </w:p>
        </w:tc>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UML Class</w:t>
            </w:r>
          </w:p>
        </w:tc>
        <w:tc>
          <w:tcPr>
            <w:tcW w:type="dxa" w:w="486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indicator and trigger for a condition that can only be monitored.</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«HazardReference»</w:t>
            </w:r>
          </w:p>
        </w:tc>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UML Class</w:t>
            </w:r>
          </w:p>
        </w:tc>
        <w:tc>
          <w:tcPr>
            <w:tcW w:type="dxa" w:w="486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hazard log entry held outside the model.</w:t>
            </w:r>
          </w:p>
        </w:tc>
      </w:tr>
    </w:tbl>
    <w:p>
      <w:pPr>
        <w:spacing w:after="80"/>
      </w:pPr>
    </w:p>
    <w:tbl>
      <w:tblPr>
        <w:tblW w:type="dxa" w:w="9360"/>
        <w:tblBorders>
          <w:top w:val="single" w:color="D3DEEF" w:sz="2"/>
          <w:left w:val="single" w:color="B4530C" w:sz="18"/>
          <w:bottom w:val="single" w:color="D3DEEF" w:sz="2"/>
          <w:right w:val="single" w:color="D3DEEF" w:sz="2"/>
          <w:insideH w:val="none"/>
          <w:insideV w:val="none"/>
        </w:tblBorders>
      </w:tblPr>
      <w:tblGrid>
        <w:gridCol w:w="9360"/>
      </w:tblGrid>
      <w:tr>
        <w:trPr>
          <w:cantSplit/>
        </w:trPr>
        <w:tc>
          <w:tcPr>
            <w:tcW w:type="dxa" w:w="9360"/>
            <w:shd w:fill="FBEBDC" w:color="auto" w:val="clear"/>
            <w:tcMar>
              <w:top w:type="dxa" w:w="130"/>
              <w:left w:type="dxa" w:w="200"/>
              <w:bottom w:type="dxa" w:w="130"/>
              <w:right w:type="dxa" w:w="200"/>
            </w:tcMar>
          </w:tcPr>
          <w:p>
            <w:pPr>
              <w:spacing w:after="70" w:line="276"/>
            </w:pPr>
            <w:r>
              <w:rPr>
                <w:rFonts w:ascii="Calibri" w:cs="Calibri" w:eastAsia="Calibri" w:hAnsi="Calibri"/>
                <w:b/>
                <w:bCs/>
                <w:color w:val="B4530C"/>
                <w:sz w:val="21"/>
                <w:szCs w:val="21"/>
              </w:rPr>
              <w:t xml:space="preserve">Confirm</w:t>
            </w:r>
          </w:p>
          <w:p>
            <w:pPr>
              <w:spacing w:after="0" w:line="276"/>
            </w:pPr>
            <w:r>
              <w:rPr>
                <w:rFonts w:ascii="Calibri" w:cs="Calibri" w:eastAsia="Calibri" w:hAnsi="Calibri"/>
                <w:color w:val="1A2333"/>
                <w:sz w:val="20"/>
                <w:szCs w:val="20"/>
              </w:rPr>
              <w:t xml:space="preserve">Confirm that local profile rules permit generalizing a SysML stereotype. Draft A left open whether to extend the UML Class metaclass instead. Draft B decides. Building on Requirement keeps requirement tables, matrices, relation maps, reports, and the verify relationship.</w:t>
            </w:r>
          </w:p>
        </w:tc>
      </w:tr>
    </w:tbl>
    <w:p>
      <w:pPr>
        <w:pStyle w:val="Heading2"/>
        <w:keepNext/>
        <w:spacing w:after="110" w:before="240"/>
      </w:pPr>
      <w:r>
        <w:rPr>
          <w:rFonts w:ascii="Cambria" w:cs="Cambria" w:eastAsia="Cambria" w:hAnsi="Cambria"/>
          <w:b/>
          <w:bCs/>
          <w:color w:val="1F4380"/>
          <w:sz w:val="24"/>
          <w:szCs w:val="24"/>
        </w:rPr>
        <w:t xml:space="preserve">3.1  «Assumption»</w:t>
      </w:r>
    </w:p>
    <w:p>
      <w:pPr>
        <w:spacing w:after="120" w:line="276"/>
      </w:pPr>
      <w:r>
        <w:rPr>
          <w:rFonts w:ascii="Calibri" w:cs="Calibri" w:eastAsia="Calibri" w:hAnsi="Calibri"/>
          <w:color w:val="1A2333"/>
          <w:sz w:val="21"/>
          <w:szCs w:val="21"/>
        </w:rPr>
        <w:t xml:space="preserve">Generalizes SysML Requirement. Inherits Id and Text. Text holds the statement.</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059"/>
        <w:gridCol w:w="1872"/>
        <w:gridCol w:w="5429"/>
      </w:tblGrid>
      <w:tr>
        <w:trPr>
          <w:tblHeader/>
        </w:trPr>
        <w:tc>
          <w:tcPr>
            <w:tcW w:type="dxa" w:w="205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Property</w:t>
            </w:r>
          </w:p>
        </w:tc>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Type</w:t>
            </w:r>
          </w:p>
        </w:tc>
        <w:tc>
          <w:tcPr>
            <w:tcW w:type="dxa" w:w="542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Notes</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rationale</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String</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Why the assumption was made. Required. Nobody can reconstruct it later.</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tier</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AssumptionTier</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Set by safety risk management, not by the author. See 4.1.</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bindingState</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BindingState</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See 4.2.</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owner</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Actor or String</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engineer accountable for the assumption.</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riskAcceptor</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Actor or String</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named person on this program who accepts the residual risk. Required for Tier 1.</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acceptanceDate</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Date</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When the risk acceptance was recorded.</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disposition</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DispositionType</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See 4.5.</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lastConfirmed</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Date</w:t>
            </w:r>
          </w:p>
        </w:tc>
        <w:tc>
          <w:tcPr>
            <w:tcW w:type="dxa" w:w="542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When every condition was last checked against the documents in force.</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confirmationInterval</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Integer, months</w:t>
            </w:r>
          </w:p>
        </w:tc>
        <w:tc>
          <w:tcPr>
            <w:tcW w:type="dxa" w:w="542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maximum time between confirmations. Drives rule ASM-07.</w:t>
            </w:r>
          </w:p>
        </w:tc>
      </w:tr>
    </w:tbl>
    <w:p>
      <w:pPr>
        <w:spacing w:after="80"/>
      </w:pPr>
    </w:p>
    <w:p>
      <w:pPr>
        <w:spacing w:after="120" w:line="276"/>
      </w:pPr>
      <w:r>
        <w:rPr>
          <w:rFonts w:ascii="Calibri" w:cs="Calibri" w:eastAsia="Calibri" w:hAnsi="Calibri"/>
          <w:color w:val="1A2333"/>
          <w:sz w:val="21"/>
          <w:szCs w:val="21"/>
        </w:rPr>
        <w:t xml:space="preserve">Draft A also had a dependentHazard property. Draft B removes it. The «invalidates» relationship records the hazard (Section 5.2).</w:t>
      </w:r>
    </w:p>
    <w:p>
      <w:pPr>
        <w:pStyle w:val="Heading2"/>
        <w:keepNext/>
        <w:spacing w:after="110" w:before="240"/>
      </w:pPr>
      <w:r>
        <w:rPr>
          <w:rFonts w:ascii="Cambria" w:cs="Cambria" w:eastAsia="Cambria" w:hAnsi="Cambria"/>
          <w:b/>
          <w:bCs/>
          <w:color w:val="1F4380"/>
          <w:sz w:val="24"/>
          <w:szCs w:val="24"/>
        </w:rPr>
        <w:t xml:space="preserve">3.2  «AssumptionCondition»</w:t>
      </w:r>
    </w:p>
    <w:p>
      <w:pPr>
        <w:spacing w:after="120" w:line="276"/>
      </w:pPr>
      <w:r>
        <w:rPr>
          <w:rFonts w:ascii="Calibri" w:cs="Calibri" w:eastAsia="Calibri" w:hAnsi="Calibri"/>
          <w:color w:val="1A2333"/>
          <w:sz w:val="21"/>
          <w:szCs w:val="21"/>
        </w:rPr>
        <w:t xml:space="preserve">Generalizes SysML Requirement. Inherits Id and Text. Text holds one claim that a reader can answer yes or no.</w:t>
      </w:r>
    </w:p>
    <w:p>
      <w:pPr>
        <w:spacing w:after="120" w:line="276"/>
      </w:pPr>
      <w:r>
        <w:rPr>
          <w:rFonts w:ascii="Calibri" w:cs="Calibri" w:eastAsia="Calibri" w:hAnsi="Calibri"/>
          <w:color w:val="1A2333"/>
          <w:sz w:val="21"/>
          <w:szCs w:val="21"/>
        </w:rPr>
        <w:t xml:space="preserve">Each condition is owned by its «Assumption» in the containment tree. Building on Requirement lets a test case verify a condition directly.</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059"/>
        <w:gridCol w:w="2059"/>
        <w:gridCol w:w="5242"/>
      </w:tblGrid>
      <w:tr>
        <w:trPr>
          <w:tblHeader/>
        </w:trPr>
        <w:tc>
          <w:tcPr>
            <w:tcW w:type="dxa" w:w="205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Property</w:t>
            </w:r>
          </w:p>
        </w:tc>
        <w:tc>
          <w:tcPr>
            <w:tcW w:type="dxa" w:w="205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Type</w:t>
            </w:r>
          </w:p>
        </w:tc>
        <w:tc>
          <w:tcPr>
            <w:tcW w:type="dxa" w:w="524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Notes</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regime</w:t>
            </w:r>
          </w:p>
        </w:tc>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ControlRegime</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See 4.3.</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confirmationMethod</w:t>
            </w:r>
          </w:p>
        </w:tc>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ConfirmationMethod</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See 4.4.</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confirmationRef</w:t>
            </w:r>
          </w:p>
        </w:tc>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String</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evidence that confirmed the condition. A test report, analysis, inspection record, or approval document.</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confirmedDate</w:t>
            </w:r>
          </w:p>
        </w:tc>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Date</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When the condition was last confirmed.</w:t>
            </w:r>
          </w:p>
        </w:tc>
      </w:tr>
    </w:tbl>
    <w:p>
      <w:pPr>
        <w:spacing w:after="80"/>
      </w:pPr>
    </w:p>
    <w:p>
      <w:pPr>
        <w:spacing w:after="120" w:line="276"/>
      </w:pPr>
      <w:r>
        <w:rPr>
          <w:rFonts w:ascii="Calibri" w:cs="Calibri" w:eastAsia="Calibri" w:hAnsi="Calibri"/>
          <w:color w:val="1A2333"/>
          <w:sz w:val="21"/>
          <w:szCs w:val="21"/>
        </w:rPr>
        <w:t xml:space="preserve">Draft A also had a confirmedRevision property. Draft B removes it. The citedRevision on «anchoredTo» records the revision checked.</w:t>
      </w:r>
    </w:p>
    <w:p>
      <w:pPr>
        <w:spacing w:after="120" w:line="276"/>
      </w:pPr>
      <w:r>
        <w:rPr>
          <w:rFonts w:ascii="Calibri" w:cs="Calibri" w:eastAsia="Calibri" w:hAnsi="Calibri"/>
          <w:color w:val="1A2333"/>
          <w:sz w:val="21"/>
          <w:szCs w:val="21"/>
        </w:rPr>
        <w:t xml:space="preserve">Tier 1 assumptions need separate condition elements. A Tier 2 assumption may nest its conditions as plain requirements instead. That is cheaper. It loses the per-condition state.</w:t>
      </w:r>
    </w:p>
    <w:p>
      <w:pPr>
        <w:pStyle w:val="Heading2"/>
        <w:keepNext/>
        <w:spacing w:after="110" w:before="240"/>
      </w:pPr>
      <w:r>
        <w:rPr>
          <w:rFonts w:ascii="Cambria" w:cs="Cambria" w:eastAsia="Cambria" w:hAnsi="Cambria"/>
          <w:b/>
          <w:bCs/>
          <w:color w:val="1F4380"/>
          <w:sz w:val="24"/>
          <w:szCs w:val="24"/>
        </w:rPr>
        <w:t xml:space="preserve">3.3  «ControlledDocument»</w:t>
      </w:r>
    </w:p>
    <w:p>
      <w:pPr>
        <w:spacing w:after="120" w:line="276"/>
      </w:pPr>
      <w:r>
        <w:rPr>
          <w:rFonts w:ascii="Calibri" w:cs="Calibri" w:eastAsia="Calibri" w:hAnsi="Calibri"/>
          <w:color w:val="1A2333"/>
          <w:sz w:val="21"/>
          <w:szCs w:val="21"/>
        </w:rPr>
        <w:t xml:space="preserve">Extends UML Class. It carries the identifier and revision that rule ASM-05 compares against. Apply it in two ways.</w:t>
      </w:r>
    </w:p>
    <w:p>
      <w:pPr>
        <w:pStyle w:val="ListParagraph"/>
        <w:numPr>
          <w:ilvl w:val="0"/>
          <w:numId w:val="3"/>
        </w:numPr>
        <w:spacing w:after="80" w:line="276"/>
      </w:pPr>
      <w:r>
        <w:rPr>
          <w:rFonts w:ascii="Calibri" w:cs="Calibri" w:eastAsia="Calibri" w:hAnsi="Calibri"/>
          <w:color w:val="1A2333"/>
          <w:sz w:val="21"/>
          <w:szCs w:val="21"/>
        </w:rPr>
        <w:t xml:space="preserve">As a stub. Create a new element to stand in for a document outside the model, such as a maintenance task or a training curriculum.</w:t>
      </w:r>
    </w:p>
    <w:p>
      <w:pPr>
        <w:pStyle w:val="ListParagraph"/>
        <w:numPr>
          <w:ilvl w:val="0"/>
          <w:numId w:val="3"/>
        </w:numPr>
        <w:spacing w:after="80" w:line="276"/>
      </w:pPr>
      <w:r>
        <w:rPr>
          <w:rFonts w:ascii="Calibri" w:cs="Calibri" w:eastAsia="Calibri" w:hAnsi="Calibri"/>
          <w:color w:val="1A2333"/>
          <w:sz w:val="21"/>
          <w:szCs w:val="21"/>
        </w:rPr>
        <w:t xml:space="preserve">As an applied stereotype. Apply it to an existing model element that a condition anchors to, such as an in-model requirement. UML allows more than one stereotype on an element.</w:t>
      </w:r>
    </w:p>
    <w:p>
      <w:pPr>
        <w:spacing w:after="60"/>
      </w:pP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059"/>
        <w:gridCol w:w="2059"/>
        <w:gridCol w:w="5242"/>
      </w:tblGrid>
      <w:tr>
        <w:trPr>
          <w:tblHeader/>
        </w:trPr>
        <w:tc>
          <w:tcPr>
            <w:tcW w:type="dxa" w:w="205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Property</w:t>
            </w:r>
          </w:p>
        </w:tc>
        <w:tc>
          <w:tcPr>
            <w:tcW w:type="dxa" w:w="205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Type</w:t>
            </w:r>
          </w:p>
        </w:tc>
        <w:tc>
          <w:tcPr>
            <w:tcW w:type="dxa" w:w="524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Notes</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documentId</w:t>
            </w:r>
          </w:p>
        </w:tc>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String</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document's identifier.</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currentRevision</w:t>
            </w:r>
          </w:p>
        </w:tc>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String</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revision in force. For a stub, maintained by hand. For an in-model element, the element's released revision.</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revisionDate</w:t>
            </w:r>
          </w:p>
        </w:tc>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Date</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When the current revision was approved.</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controlAuthority</w:t>
            </w:r>
          </w:p>
        </w:tc>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String</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Who approves changes to the document.</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regime</w:t>
            </w:r>
          </w:p>
        </w:tc>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ControlRegime</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Which control regime holds the document.</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custodian</w:t>
            </w:r>
          </w:p>
        </w:tc>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Actor or String</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named person who keeps currentRevision accurate.</w:t>
            </w:r>
          </w:p>
        </w:tc>
      </w:tr>
    </w:tbl>
    <w:p>
      <w:pPr>
        <w:spacing w:after="80"/>
      </w:pPr>
    </w:p>
    <w:tbl>
      <w:tblPr>
        <w:tblW w:type="dxa" w:w="9360"/>
        <w:tblBorders>
          <w:top w:val="single" w:color="D3DEEF" w:sz="2"/>
          <w:left w:val="single" w:color="B4530C" w:sz="18"/>
          <w:bottom w:val="single" w:color="D3DEEF" w:sz="2"/>
          <w:right w:val="single" w:color="D3DEEF" w:sz="2"/>
          <w:insideH w:val="none"/>
          <w:insideV w:val="none"/>
        </w:tblBorders>
      </w:tblPr>
      <w:tblGrid>
        <w:gridCol w:w="9360"/>
      </w:tblGrid>
      <w:tr>
        <w:trPr>
          <w:cantSplit/>
        </w:trPr>
        <w:tc>
          <w:tcPr>
            <w:tcW w:type="dxa" w:w="9360"/>
            <w:shd w:fill="FBEBDC" w:color="auto" w:val="clear"/>
            <w:tcMar>
              <w:top w:type="dxa" w:w="130"/>
              <w:left w:type="dxa" w:w="200"/>
              <w:bottom w:type="dxa" w:w="130"/>
              <w:right w:type="dxa" w:w="200"/>
            </w:tcMar>
          </w:tcPr>
          <w:p>
            <w:pPr>
              <w:spacing w:after="70" w:line="276"/>
            </w:pPr>
            <w:r>
              <w:rPr>
                <w:rFonts w:ascii="Calibri" w:cs="Calibri" w:eastAsia="Calibri" w:hAnsi="Calibri"/>
                <w:b/>
                <w:bCs/>
                <w:color w:val="B4530C"/>
                <w:sz w:val="21"/>
                <w:szCs w:val="21"/>
              </w:rPr>
              <w:t xml:space="preserve">Confirm</w:t>
            </w:r>
          </w:p>
          <w:p>
            <w:pPr>
              <w:spacing w:after="0" w:line="276"/>
            </w:pPr>
            <w:r>
              <w:rPr>
                <w:rFonts w:ascii="Calibri" w:cs="Calibri" w:eastAsia="Calibri" w:hAnsi="Calibri"/>
                <w:color w:val="1A2333"/>
                <w:sz w:val="20"/>
                <w:szCs w:val="20"/>
              </w:rPr>
              <w:t xml:space="preserve">For in-model elements, confirm where the released revision comes from. Options include a manual property, a model baseline label, or element versioning in Teamwork Cloud. Rule ASM-05 is only as good as this value.</w:t>
            </w:r>
          </w:p>
        </w:tc>
      </w:tr>
    </w:tbl>
    <w:p>
      <w:pPr>
        <w:pStyle w:val="Heading2"/>
        <w:keepNext/>
        <w:spacing w:after="110" w:before="240"/>
      </w:pPr>
      <w:r>
        <w:rPr>
          <w:rFonts w:ascii="Cambria" w:cs="Cambria" w:eastAsia="Cambria" w:hAnsi="Cambria"/>
          <w:b/>
          <w:bCs/>
          <w:color w:val="1F4380"/>
          <w:sz w:val="24"/>
          <w:szCs w:val="24"/>
        </w:rPr>
        <w:t xml:space="preserve">3.4  «AssumptionMonitor»</w:t>
      </w:r>
    </w:p>
    <w:p>
      <w:pPr>
        <w:spacing w:after="120" w:line="276"/>
      </w:pPr>
      <w:r>
        <w:rPr>
          <w:rFonts w:ascii="Calibri" w:cs="Calibri" w:eastAsia="Calibri" w:hAnsi="Calibri"/>
          <w:color w:val="1A2333"/>
          <w:sz w:val="21"/>
          <w:szCs w:val="21"/>
        </w:rPr>
        <w:t xml:space="preserve">Extends UML Class. Represents the indicator for a condition that can only be monitored.</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059"/>
        <w:gridCol w:w="2059"/>
        <w:gridCol w:w="5242"/>
      </w:tblGrid>
      <w:tr>
        <w:trPr>
          <w:tblHeader/>
        </w:trPr>
        <w:tc>
          <w:tcPr>
            <w:tcW w:type="dxa" w:w="205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Property</w:t>
            </w:r>
          </w:p>
        </w:tc>
        <w:tc>
          <w:tcPr>
            <w:tcW w:type="dxa" w:w="205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Type</w:t>
            </w:r>
          </w:p>
        </w:tc>
        <w:tc>
          <w:tcPr>
            <w:tcW w:type="dxa" w:w="524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Notes</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indicator</w:t>
            </w:r>
          </w:p>
        </w:tc>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String</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What is measured.</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dataSource</w:t>
            </w:r>
          </w:p>
        </w:tc>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String</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Where the measurement comes from.</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triggerCondition</w:t>
            </w:r>
          </w:p>
        </w:tc>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String</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value or trend that means the condition no longer holds.</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reviewFrequency</w:t>
            </w:r>
          </w:p>
        </w:tc>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Integer, months</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How often the indicator is reviewed.</w:t>
            </w:r>
          </w:p>
        </w:tc>
      </w:tr>
    </w:tbl>
    <w:p>
      <w:pPr>
        <w:spacing w:after="80"/>
      </w:pPr>
    </w:p>
    <w:tbl>
      <w:tblPr>
        <w:tblW w:type="dxa" w:w="9360"/>
        <w:tblBorders>
          <w:top w:val="single" w:color="D3DEEF" w:sz="2"/>
          <w:left w:val="single" w:color="B4530C" w:sz="18"/>
          <w:bottom w:val="single" w:color="D3DEEF" w:sz="2"/>
          <w:right w:val="single" w:color="D3DEEF" w:sz="2"/>
          <w:insideH w:val="none"/>
          <w:insideV w:val="none"/>
        </w:tblBorders>
      </w:tblPr>
      <w:tblGrid>
        <w:gridCol w:w="9360"/>
      </w:tblGrid>
      <w:tr>
        <w:trPr>
          <w:cantSplit/>
        </w:trPr>
        <w:tc>
          <w:tcPr>
            <w:tcW w:type="dxa" w:w="9360"/>
            <w:shd w:fill="FBEBDC" w:color="auto" w:val="clear"/>
            <w:tcMar>
              <w:top w:type="dxa" w:w="130"/>
              <w:left w:type="dxa" w:w="200"/>
              <w:bottom w:type="dxa" w:w="130"/>
              <w:right w:type="dxa" w:w="200"/>
            </w:tcMar>
          </w:tcPr>
          <w:p>
            <w:pPr>
              <w:spacing w:after="70" w:line="276"/>
            </w:pPr>
            <w:r>
              <w:rPr>
                <w:rFonts w:ascii="Calibri" w:cs="Calibri" w:eastAsia="Calibri" w:hAnsi="Calibri"/>
                <w:b/>
                <w:bCs/>
                <w:color w:val="B4530C"/>
                <w:sz w:val="21"/>
                <w:szCs w:val="21"/>
              </w:rPr>
              <w:t xml:space="preserve">Confirm</w:t>
            </w:r>
          </w:p>
          <w:p>
            <w:pPr>
              <w:spacing w:after="0" w:line="276"/>
            </w:pPr>
            <w:r>
              <w:rPr>
                <w:rFonts w:ascii="Calibri" w:cs="Calibri" w:eastAsia="Calibri" w:hAnsi="Calibri"/>
                <w:color w:val="1A2333"/>
                <w:sz w:val="20"/>
                <w:szCs w:val="20"/>
              </w:rPr>
              <w:t xml:space="preserve">Confirm whether a site profile already has an indicator or measure element. If it does, reuse it instead of this stereotype.</w:t>
            </w:r>
          </w:p>
        </w:tc>
      </w:tr>
    </w:tbl>
    <w:p>
      <w:pPr>
        <w:pStyle w:val="Heading2"/>
        <w:keepNext/>
        <w:spacing w:after="110" w:before="240"/>
      </w:pPr>
      <w:r>
        <w:rPr>
          <w:rFonts w:ascii="Cambria" w:cs="Cambria" w:eastAsia="Cambria" w:hAnsi="Cambria"/>
          <w:b/>
          <w:bCs/>
          <w:color w:val="1F4380"/>
          <w:sz w:val="24"/>
          <w:szCs w:val="24"/>
        </w:rPr>
        <w:t xml:space="preserve">3.5  «HazardReference»</w:t>
      </w:r>
    </w:p>
    <w:p>
      <w:pPr>
        <w:spacing w:after="120" w:line="276"/>
      </w:pPr>
      <w:r>
        <w:rPr>
          <w:rFonts w:ascii="Calibri" w:cs="Calibri" w:eastAsia="Calibri" w:hAnsi="Calibri"/>
          <w:color w:val="1A2333"/>
          <w:sz w:val="21"/>
          <w:szCs w:val="21"/>
        </w:rPr>
        <w:t xml:space="preserve">Extends UML Class. Stands in for a hazard log entry held outside the model. It gives «invalidates» a target.</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059"/>
        <w:gridCol w:w="2059"/>
        <w:gridCol w:w="5242"/>
      </w:tblGrid>
      <w:tr>
        <w:trPr>
          <w:tblHeader/>
        </w:trPr>
        <w:tc>
          <w:tcPr>
            <w:tcW w:type="dxa" w:w="205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Property</w:t>
            </w:r>
          </w:p>
        </w:tc>
        <w:tc>
          <w:tcPr>
            <w:tcW w:type="dxa" w:w="205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Type</w:t>
            </w:r>
          </w:p>
        </w:tc>
        <w:tc>
          <w:tcPr>
            <w:tcW w:type="dxa" w:w="524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Notes</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hazardId</w:t>
            </w:r>
          </w:p>
        </w:tc>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String</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hazard's identifier in the hazard log.</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title</w:t>
            </w:r>
          </w:p>
        </w:tc>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String</w:t>
            </w:r>
          </w:p>
        </w:tc>
        <w:tc>
          <w:tcPr>
            <w:tcW w:type="dxa" w:w="524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hazard's short title.</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hazardLogRef</w:t>
            </w:r>
          </w:p>
        </w:tc>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String</w:t>
            </w:r>
          </w:p>
        </w:tc>
        <w:tc>
          <w:tcPr>
            <w:tcW w:type="dxa" w:w="524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Where the hazard log entry lives.</w:t>
            </w:r>
          </w:p>
        </w:tc>
      </w:tr>
    </w:tbl>
    <w:p>
      <w:pPr>
        <w:spacing w:after="80"/>
      </w:pPr>
    </w:p>
    <w:p>
      <w:pPr>
        <w:spacing w:after="120" w:line="276"/>
      </w:pPr>
      <w:r>
        <w:rPr>
          <w:rFonts w:ascii="Calibri" w:cs="Calibri" w:eastAsia="Calibri" w:hAnsi="Calibri"/>
          <w:color w:val="1A2333"/>
          <w:sz w:val="21"/>
          <w:szCs w:val="21"/>
        </w:rPr>
        <w:t xml:space="preserve">Some programs model hazards with their own safety profile. On those programs, «invalidates» targets the modeled hazard directly. Do not create a «HazardReference» for it.</w:t>
      </w:r>
    </w:p>
    <w:p>
      <w:pPr>
        <w:pStyle w:val="Heading1"/>
        <w:keepNext/>
        <w:spacing w:after="160" w:before="360"/>
      </w:pPr>
      <w:r>
        <w:rPr>
          <w:rFonts w:ascii="Cambria" w:cs="Cambria" w:eastAsia="Cambria" w:hAnsi="Cambria"/>
          <w:b/>
          <w:bCs/>
          <w:color w:val="132A4E"/>
          <w:sz w:val="30"/>
          <w:szCs w:val="30"/>
        </w:rPr>
        <w:t xml:space="preserve">4.  Enumerations</w:t>
      </w:r>
    </w:p>
    <w:p>
      <w:pPr>
        <w:pStyle w:val="Heading2"/>
        <w:keepNext/>
        <w:spacing w:after="110" w:before="240"/>
      </w:pPr>
      <w:r>
        <w:rPr>
          <w:rFonts w:ascii="Cambria" w:cs="Cambria" w:eastAsia="Cambria" w:hAnsi="Cambria"/>
          <w:b/>
          <w:bCs/>
          <w:color w:val="1F4380"/>
          <w:sz w:val="24"/>
          <w:szCs w:val="24"/>
        </w:rPr>
        <w:t xml:space="preserve">4.1  AssumptionTier</w:t>
      </w:r>
    </w:p>
    <w:p>
      <w:pPr>
        <w:spacing w:after="100" w:line="276"/>
      </w:pPr>
      <w:r>
        <w:rPr>
          <w:rFonts w:ascii="Calibri" w:cs="Calibri" w:eastAsia="Calibri" w:hAnsi="Calibri"/>
          <w:b/>
          <w:bCs/>
          <w:color w:val="1F4380"/>
          <w:sz w:val="20"/>
          <w:szCs w:val="20"/>
        </w:rPr>
        <w:t xml:space="preserve">Tier1_Controlled  |  Tier2_Registered  |  Tier3_Note</w:t>
      </w:r>
    </w:p>
    <w:p>
      <w:pPr>
        <w:spacing w:after="120" w:line="276"/>
      </w:pPr>
      <w:r>
        <w:rPr>
          <w:rFonts w:ascii="Calibri" w:cs="Calibri" w:eastAsia="Calibri" w:hAnsi="Calibri"/>
          <w:color w:val="1A2333"/>
          <w:sz w:val="21"/>
          <w:szCs w:val="21"/>
        </w:rPr>
        <w:t xml:space="preserve">The Tier 1 test is one question. Does a hazard reopen if this assumption fails? Safety risk management applies the test using the hazard analysis. Tier 3 notes stay out of the model.</w:t>
      </w:r>
    </w:p>
    <w:p>
      <w:pPr>
        <w:pStyle w:val="Heading2"/>
        <w:keepNext/>
        <w:spacing w:after="110" w:before="240"/>
      </w:pPr>
      <w:r>
        <w:rPr>
          <w:rFonts w:ascii="Cambria" w:cs="Cambria" w:eastAsia="Cambria" w:hAnsi="Cambria"/>
          <w:b/>
          <w:bCs/>
          <w:color w:val="1F4380"/>
          <w:sz w:val="24"/>
          <w:szCs w:val="24"/>
        </w:rPr>
        <w:t xml:space="preserve">4.2  BindingState</w:t>
      </w:r>
    </w:p>
    <w:p>
      <w:pPr>
        <w:spacing w:after="100" w:line="276"/>
      </w:pPr>
      <w:r>
        <w:rPr>
          <w:rFonts w:ascii="Calibri" w:cs="Calibri" w:eastAsia="Calibri" w:hAnsi="Calibri"/>
          <w:b/>
          <w:bCs/>
          <w:color w:val="1F4380"/>
          <w:sz w:val="20"/>
          <w:szCs w:val="20"/>
        </w:rPr>
        <w:t xml:space="preserve">Unanchored  |  Anchored  |  Verified  |  Monitored  |  Failed  |  Superseded</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872"/>
        <w:gridCol w:w="7488"/>
      </w:tblGrid>
      <w:tr>
        <w:trPr>
          <w:tblHeader/>
        </w:trPr>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Literal</w:t>
            </w:r>
          </w:p>
        </w:tc>
        <w:tc>
          <w:tcPr>
            <w:tcW w:type="dxa" w:w="748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Meaning</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Unanchored</w:t>
            </w:r>
          </w:p>
        </w:tc>
        <w:tc>
          <w:tcPr>
            <w:tcW w:type="dxa" w:w="748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Conditions exist. Not every condition is anchored yet.</w:t>
            </w:r>
          </w:p>
        </w:tc>
      </w:tr>
      <w:tr>
        <w:trPr>
          <w:cantSplit/>
        </w:trPr>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Anchored</w:t>
            </w:r>
          </w:p>
        </w:tc>
        <w:tc>
          <w:tcPr>
            <w:tcW w:type="dxa" w:w="748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Every condition has an «anchoredTo» relationship, or a regime of None.</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Verified</w:t>
            </w:r>
          </w:p>
        </w:tc>
        <w:tc>
          <w:tcPr>
            <w:tcW w:type="dxa" w:w="748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Every condition is confirmed by test, analysis, inspection, demonstration, or authority approval.</w:t>
            </w:r>
          </w:p>
        </w:tc>
      </w:tr>
      <w:tr>
        <w:trPr>
          <w:cantSplit/>
        </w:trPr>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Monitored</w:t>
            </w:r>
          </w:p>
        </w:tc>
        <w:tc>
          <w:tcPr>
            <w:tcW w:type="dxa" w:w="748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At least one condition is closed by monitoring. The rest are confirmed. This is an end state, not a waypoint.</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Failed</w:t>
            </w:r>
          </w:p>
        </w:tc>
        <w:tc>
          <w:tcPr>
            <w:tcW w:type="dxa" w:w="748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condition no longer holds. The dependent hazard reopens. This is not a defect to clear.</w:t>
            </w:r>
          </w:p>
        </w:tc>
      </w:tr>
      <w:tr>
        <w:trPr>
          <w:cantSplit/>
        </w:trPr>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Superseded</w:t>
            </w:r>
          </w:p>
        </w:tc>
        <w:tc>
          <w:tcPr>
            <w:tcW w:type="dxa" w:w="748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later assumption replaced this one, or a requirement replaced it.</w:t>
            </w:r>
          </w:p>
        </w:tc>
      </w:tr>
    </w:tbl>
    <w:p>
      <w:pPr>
        <w:pStyle w:val="Heading2"/>
        <w:keepNext/>
        <w:spacing w:after="110" w:before="240"/>
      </w:pPr>
      <w:r>
        <w:rPr>
          <w:rFonts w:ascii="Cambria" w:cs="Cambria" w:eastAsia="Cambria" w:hAnsi="Cambria"/>
          <w:b/>
          <w:bCs/>
          <w:color w:val="1F4380"/>
          <w:sz w:val="24"/>
          <w:szCs w:val="24"/>
        </w:rPr>
        <w:t xml:space="preserve">4.3  ControlRegime</w:t>
      </w:r>
    </w:p>
    <w:p>
      <w:pPr>
        <w:spacing w:after="100" w:line="276"/>
      </w:pPr>
      <w:r>
        <w:rPr>
          <w:rFonts w:ascii="Calibri" w:cs="Calibri" w:eastAsia="Calibri" w:hAnsi="Calibri"/>
          <w:b/>
          <w:bCs/>
          <w:color w:val="1F4380"/>
          <w:sz w:val="20"/>
          <w:szCs w:val="20"/>
        </w:rPr>
        <w:t xml:space="preserve">EngineeringConfiguration  |  MaintenanceAndOperational  |  TrainingAndCompetence  |  Contractual  |  None</w:t>
      </w:r>
    </w:p>
    <w:p>
      <w:pPr>
        <w:spacing w:after="120" w:line="276"/>
      </w:pPr>
      <w:r>
        <w:rPr>
          <w:rFonts w:ascii="Calibri" w:cs="Calibri" w:eastAsia="Calibri" w:hAnsi="Calibri"/>
          <w:color w:val="1A2333"/>
          <w:sz w:val="21"/>
          <w:szCs w:val="21"/>
        </w:rPr>
        <w:t xml:space="preserve">None is deliberate. It means no document controls the condition. Treat it as a finding, not as missing data.</w:t>
      </w:r>
    </w:p>
    <w:p>
      <w:pPr>
        <w:pStyle w:val="Heading2"/>
        <w:keepNext/>
        <w:spacing w:after="110" w:before="240"/>
      </w:pPr>
      <w:r>
        <w:rPr>
          <w:rFonts w:ascii="Cambria" w:cs="Cambria" w:eastAsia="Cambria" w:hAnsi="Cambria"/>
          <w:b/>
          <w:bCs/>
          <w:color w:val="1F4380"/>
          <w:sz w:val="24"/>
          <w:szCs w:val="24"/>
        </w:rPr>
        <w:t xml:space="preserve">4.4  ConfirmationMethod</w:t>
      </w:r>
    </w:p>
    <w:p>
      <w:pPr>
        <w:spacing w:after="100" w:line="276"/>
      </w:pPr>
      <w:r>
        <w:rPr>
          <w:rFonts w:ascii="Calibri" w:cs="Calibri" w:eastAsia="Calibri" w:hAnsi="Calibri"/>
          <w:b/>
          <w:bCs/>
          <w:color w:val="1F4380"/>
          <w:sz w:val="20"/>
          <w:szCs w:val="20"/>
        </w:rPr>
        <w:t xml:space="preserve">Test  |  Analysis  |  Inspection  |  Demonstration  |  Monitoring  |  AuthorityApproval</w:t>
      </w:r>
    </w:p>
    <w:p>
      <w:pPr>
        <w:spacing w:after="120" w:line="276"/>
      </w:pPr>
      <w:r>
        <w:rPr>
          <w:rFonts w:ascii="Calibri" w:cs="Calibri" w:eastAsia="Calibri" w:hAnsi="Calibri"/>
          <w:color w:val="1A2333"/>
          <w:sz w:val="21"/>
          <w:szCs w:val="21"/>
        </w:rPr>
        <w:t xml:space="preserve">The first four are the standard verification methods. A verify relationship from a test case records them.</w:t>
      </w:r>
    </w:p>
    <w:p>
      <w:pPr>
        <w:spacing w:after="120" w:line="276"/>
      </w:pPr>
      <w:r>
        <w:rPr>
          <w:rFonts w:ascii="Calibri" w:cs="Calibri" w:eastAsia="Calibri" w:hAnsi="Calibri"/>
          <w:color w:val="1A2333"/>
          <w:sz w:val="21"/>
          <w:szCs w:val="21"/>
        </w:rPr>
        <w:t xml:space="preserve">AuthorityApproval means the controlling authority's approval confirms the condition. An approved maintenance program revision is one example. Record the approval document in confirmationRef.</w:t>
      </w:r>
    </w:p>
    <w:p>
      <w:pPr>
        <w:spacing w:after="120" w:line="276"/>
      </w:pPr>
      <w:r>
        <w:rPr>
          <w:rFonts w:ascii="Calibri" w:cs="Calibri" w:eastAsia="Calibri" w:hAnsi="Calibri"/>
          <w:color w:val="1A2333"/>
          <w:sz w:val="21"/>
          <w:szCs w:val="21"/>
        </w:rPr>
        <w:t xml:space="preserve">Monitoring means no test closes the condition. Record the indicator in an «AssumptionMonitor».</w:t>
      </w:r>
    </w:p>
    <w:p>
      <w:pPr>
        <w:pStyle w:val="Heading2"/>
        <w:keepNext/>
        <w:spacing w:after="110" w:before="240"/>
      </w:pPr>
      <w:r>
        <w:rPr>
          <w:rFonts w:ascii="Cambria" w:cs="Cambria" w:eastAsia="Cambria" w:hAnsi="Cambria"/>
          <w:b/>
          <w:bCs/>
          <w:color w:val="1F4380"/>
          <w:sz w:val="24"/>
          <w:szCs w:val="24"/>
        </w:rPr>
        <w:t xml:space="preserve">4.5  DispositionType</w:t>
      </w:r>
    </w:p>
    <w:p>
      <w:pPr>
        <w:spacing w:after="100" w:line="276"/>
      </w:pPr>
      <w:r>
        <w:rPr>
          <w:rFonts w:ascii="Calibri" w:cs="Calibri" w:eastAsia="Calibri" w:hAnsi="Calibri"/>
          <w:b/>
          <w:bCs/>
          <w:color w:val="1F4380"/>
          <w:sz w:val="20"/>
          <w:szCs w:val="20"/>
        </w:rPr>
        <w:t xml:space="preserve">Open  |  ConvertedToRequirement  |  Retired  |  TransferredToOperator  |  Accepted</w:t>
      </w:r>
    </w:p>
    <w:p>
      <w:pPr>
        <w:spacing w:after="120" w:line="276"/>
      </w:pPr>
      <w:r>
        <w:rPr>
          <w:rFonts w:ascii="Calibri" w:cs="Calibri" w:eastAsia="Calibri" w:hAnsi="Calibri"/>
          <w:color w:val="1A2333"/>
          <w:sz w:val="21"/>
          <w:szCs w:val="21"/>
        </w:rPr>
        <w:t xml:space="preserve">ConvertedToRequirement is preferred. Use it whenever a condition can be levied on a responsible party. Each conversion removes an assumption from the Tier 1 population. That is the main way to keep the practice affordable.</w:t>
      </w:r>
    </w:p>
    <w:p>
      <w:pPr>
        <w:spacing w:after="120" w:line="276"/>
      </w:pPr>
      <w:r>
        <w:rPr>
          <w:rFonts w:ascii="Calibri" w:cs="Calibri" w:eastAsia="Calibri" w:hAnsi="Calibri"/>
          <w:color w:val="1A2333"/>
          <w:sz w:val="21"/>
          <w:szCs w:val="21"/>
        </w:rPr>
        <w:t xml:space="preserve">When the disposition is ConvertedToRequirement, set bindingState to Superseded. Rule ASM-15 enforces this.</w:t>
      </w:r>
    </w:p>
    <w:p>
      <w:pPr>
        <w:pStyle w:val="Heading1"/>
        <w:keepNext/>
        <w:spacing w:after="160" w:before="360"/>
      </w:pPr>
      <w:r>
        <w:rPr>
          <w:rFonts w:ascii="Cambria" w:cs="Cambria" w:eastAsia="Cambria" w:hAnsi="Cambria"/>
          <w:b/>
          <w:bCs/>
          <w:color w:val="132A4E"/>
          <w:sz w:val="30"/>
          <w:szCs w:val="30"/>
        </w:rPr>
        <w:t xml:space="preserve">5.  Relationships</w:t>
      </w:r>
    </w:p>
    <w:p>
      <w:pPr>
        <w:pStyle w:val="Heading2"/>
        <w:keepNext/>
        <w:spacing w:after="110" w:before="240"/>
      </w:pPr>
      <w:r>
        <w:rPr>
          <w:rFonts w:ascii="Cambria" w:cs="Cambria" w:eastAsia="Cambria" w:hAnsi="Cambria"/>
          <w:b/>
          <w:bCs/>
          <w:color w:val="1F4380"/>
          <w:sz w:val="24"/>
          <w:szCs w:val="24"/>
        </w:rPr>
        <w:t xml:space="preserve">5.1  Reused from SysML</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872"/>
        <w:gridCol w:w="7488"/>
      </w:tblGrid>
      <w:tr>
        <w:trPr>
          <w:tblHeader/>
        </w:trPr>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Relationship</w:t>
            </w:r>
          </w:p>
        </w:tc>
        <w:tc>
          <w:tcPr>
            <w:tcW w:type="dxa" w:w="748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Use in this profile</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deriveReqt</w:t>
            </w:r>
          </w:p>
        </w:tc>
        <w:tc>
          <w:tcPr>
            <w:tcW w:type="dxa" w:w="748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From a derived requirement to the «Assumption» it replaces. Draw it when a condition is converted to a requirement.</w:t>
            </w:r>
          </w:p>
        </w:tc>
      </w:tr>
      <w:tr>
        <w:trPr>
          <w:cantSplit/>
        </w:trPr>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verify</w:t>
            </w:r>
          </w:p>
        </w:tc>
        <w:tc>
          <w:tcPr>
            <w:tcW w:type="dxa" w:w="748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From a test case to an «AssumptionCondition». Only for Test, Analysis, Inspection, or Demonstration.</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trace</w:t>
            </w:r>
          </w:p>
        </w:tc>
        <w:tc>
          <w:tcPr>
            <w:tcW w:type="dxa" w:w="748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From an «Assumption» to the analyses that use it, such as the functional hazard assessment, the FMEA, or the system safety assessment.</w:t>
            </w:r>
          </w:p>
        </w:tc>
      </w:tr>
      <w:tr>
        <w:trPr>
          <w:cantSplit/>
        </w:trPr>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refine</w:t>
            </w:r>
          </w:p>
        </w:tc>
        <w:tc>
          <w:tcPr>
            <w:tcW w:type="dxa" w:w="748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 standard SysML.</w:t>
            </w:r>
          </w:p>
        </w:tc>
      </w:tr>
    </w:tbl>
    <w:p>
      <w:pPr>
        <w:spacing w:after="80"/>
      </w:pPr>
    </w:p>
    <w:p>
      <w:pPr>
        <w:spacing w:after="120" w:line="276"/>
      </w:pPr>
      <w:r>
        <w:rPr>
          <w:rFonts w:ascii="Calibri" w:cs="Calibri" w:eastAsia="Calibri" w:hAnsi="Calibri"/>
          <w:color w:val="1A2333"/>
          <w:sz w:val="21"/>
          <w:szCs w:val="21"/>
        </w:rPr>
        <w:t xml:space="preserve">These relationships keep their SysML definitions.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498"/>
        <w:gridCol w:w="5990"/>
        <w:gridCol w:w="1872"/>
      </w:tblGrid>
      <w:tr>
        <w:trPr>
          <w:tblHeader/>
        </w:trPr>
        <w:tc>
          <w:tcPr>
            <w:tcW w:type="dxa" w:w="149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Term</w:t>
            </w:r>
          </w:p>
        </w:tc>
        <w:tc>
          <w:tcPr>
            <w:tcW w:type="dxa" w:w="599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Definition</w:t>
            </w:r>
          </w:p>
        </w:tc>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Source</w:t>
            </w:r>
          </w:p>
        </w:tc>
      </w:tr>
      <w:tr>
        <w:trPr>
          <w:cantSplit/>
        </w:trPr>
        <w:tc>
          <w:tcPr>
            <w:tcW w:type="dxa" w:w="149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DeriveReqt</w:t>
            </w:r>
          </w:p>
        </w:tc>
        <w:tc>
          <w:tcPr>
            <w:tcW w:type="dxa" w:w="599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DeriveReqt relationship is a dependency between two requirements in which a client requirement can be derived from the supplier requirement.</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SysML 1.6</w:t>
            </w:r>
          </w:p>
        </w:tc>
      </w:tr>
      <w:tr>
        <w:trPr>
          <w:cantSplit/>
        </w:trPr>
        <w:tc>
          <w:tcPr>
            <w:tcW w:type="dxa" w:w="149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Verify</w:t>
            </w:r>
          </w:p>
        </w:tc>
        <w:tc>
          <w:tcPr>
            <w:tcW w:type="dxa" w:w="599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Verify relationship is a dependency between a requirement and a test case or other model element that can determine whether a system fulfills the requirement.</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SysML 1.6</w:t>
            </w:r>
          </w:p>
        </w:tc>
      </w:tr>
    </w:tbl>
    <w:p>
      <w:pPr>
        <w:pStyle w:val="Heading2"/>
        <w:keepNext/>
        <w:spacing w:after="110" w:before="240"/>
      </w:pPr>
      <w:r>
        <w:rPr>
          <w:rFonts w:ascii="Cambria" w:cs="Cambria" w:eastAsia="Cambria" w:hAnsi="Cambria"/>
          <w:b/>
          <w:bCs/>
          <w:color w:val="1F4380"/>
          <w:sz w:val="24"/>
          <w:szCs w:val="24"/>
        </w:rPr>
        <w:t xml:space="preserve">5.2  Added</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778"/>
        <w:gridCol w:w="2153"/>
        <w:gridCol w:w="1966"/>
        <w:gridCol w:w="1498"/>
        <w:gridCol w:w="1965"/>
      </w:tblGrid>
      <w:tr>
        <w:trPr>
          <w:tblHeader/>
        </w:trPr>
        <w:tc>
          <w:tcPr>
            <w:tcW w:type="dxa" w:w="177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Stereotype</w:t>
            </w:r>
          </w:p>
        </w:tc>
        <w:tc>
          <w:tcPr>
            <w:tcW w:type="dxa" w:w="2153"/>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From</w:t>
            </w:r>
          </w:p>
        </w:tc>
        <w:tc>
          <w:tcPr>
            <w:tcW w:type="dxa" w:w="196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To</w:t>
            </w:r>
          </w:p>
        </w:tc>
        <w:tc>
          <w:tcPr>
            <w:tcW w:type="dxa" w:w="149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Carries</w:t>
            </w:r>
          </w:p>
        </w:tc>
        <w:tc>
          <w:tcPr>
            <w:tcW w:type="dxa" w:w="1965"/>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Purpose</w:t>
            </w:r>
          </w:p>
        </w:tc>
      </w:tr>
      <w:tr>
        <w:trPr>
          <w:cantSplit/>
        </w:trPr>
        <w:tc>
          <w:tcPr>
            <w:tcW w:type="dxa" w:w="177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«anchoredTo»</w:t>
            </w:r>
          </w:p>
        </w:tc>
        <w:tc>
          <w:tcPr>
            <w:tcW w:type="dxa" w:w="2153"/>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«AssumptionCondition»</w:t>
            </w:r>
          </w:p>
        </w:tc>
        <w:tc>
          <w:tcPr>
            <w:tcW w:type="dxa" w:w="196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element carrying «ControlledDocument»</w:t>
            </w:r>
          </w:p>
        </w:tc>
        <w:tc>
          <w:tcPr>
            <w:tcW w:type="dxa" w:w="149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citedRevision</w:t>
            </w:r>
          </w:p>
        </w:tc>
        <w:tc>
          <w:tcPr>
            <w:tcW w:type="dxa" w:w="196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Records what makes the condition true, at which revision.</w:t>
            </w:r>
          </w:p>
        </w:tc>
      </w:tr>
      <w:tr>
        <w:trPr>
          <w:cantSplit/>
        </w:trPr>
        <w:tc>
          <w:tcPr>
            <w:tcW w:type="dxa" w:w="177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«adoptedFrom»</w:t>
            </w:r>
          </w:p>
        </w:tc>
        <w:tc>
          <w:tcPr>
            <w:tcW w:type="dxa" w:w="215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w:t>
            </w:r>
          </w:p>
        </w:tc>
        <w:tc>
          <w:tcPr>
            <w:tcW w:type="dxa" w:w="196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 on the source program</w:t>
            </w:r>
          </w:p>
        </w:tc>
        <w:tc>
          <w:tcPr>
            <w:tcW w:type="dxa" w:w="149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deltaAssessmentRef, assessmentDate</w:t>
            </w:r>
          </w:p>
        </w:tc>
        <w:tc>
          <w:tcPr>
            <w:tcW w:type="dxa" w:w="196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Records inheritance and the comparison behind it.</w:t>
            </w:r>
          </w:p>
        </w:tc>
      </w:tr>
      <w:tr>
        <w:trPr>
          <w:cantSplit/>
        </w:trPr>
        <w:tc>
          <w:tcPr>
            <w:tcW w:type="dxa" w:w="177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«monitoredBy»</w:t>
            </w:r>
          </w:p>
        </w:tc>
        <w:tc>
          <w:tcPr>
            <w:tcW w:type="dxa" w:w="2153"/>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«AssumptionCondition»</w:t>
            </w:r>
          </w:p>
        </w:tc>
        <w:tc>
          <w:tcPr>
            <w:tcW w:type="dxa" w:w="196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«AssumptionMonitor»</w:t>
            </w:r>
          </w:p>
        </w:tc>
        <w:tc>
          <w:tcPr>
            <w:tcW w:type="dxa" w:w="149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None</w:t>
            </w:r>
          </w:p>
        </w:tc>
        <w:tc>
          <w:tcPr>
            <w:tcW w:type="dxa" w:w="196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For conditions closed by monitoring.</w:t>
            </w:r>
          </w:p>
        </w:tc>
      </w:tr>
      <w:tr>
        <w:trPr>
          <w:cantSplit/>
        </w:trPr>
        <w:tc>
          <w:tcPr>
            <w:tcW w:type="dxa" w:w="177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«invalidates»</w:t>
            </w:r>
          </w:p>
        </w:tc>
        <w:tc>
          <w:tcPr>
            <w:tcW w:type="dxa" w:w="215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w:t>
            </w:r>
          </w:p>
        </w:tc>
        <w:tc>
          <w:tcPr>
            <w:tcW w:type="dxa" w:w="196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«HazardReference» or a modeled hazard</w:t>
            </w:r>
          </w:p>
        </w:tc>
        <w:tc>
          <w:tcPr>
            <w:tcW w:type="dxa" w:w="149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None</w:t>
            </w:r>
          </w:p>
        </w:tc>
        <w:tc>
          <w:tcPr>
            <w:tcW w:type="dxa" w:w="196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hazard that reopens if the assumption fails.</w:t>
            </w:r>
          </w:p>
        </w:tc>
      </w:tr>
    </w:tbl>
    <w:p>
      <w:pPr>
        <w:spacing w:after="80"/>
      </w:pPr>
    </w:p>
    <w:p>
      <w:pPr>
        <w:spacing w:after="120" w:line="276"/>
      </w:pPr>
      <w:r>
        <w:rPr>
          <w:rFonts w:ascii="Calibri" w:cs="Calibri" w:eastAsia="Calibri" w:hAnsi="Calibri"/>
          <w:color w:val="1A2333"/>
          <w:sz w:val="21"/>
          <w:szCs w:val="21"/>
        </w:rPr>
        <w:t xml:space="preserve">The direction of «invalidates» is deliberate. The assumption acts on the hazard.</w:t>
      </w:r>
    </w:p>
    <w:p>
      <w:pPr>
        <w:pStyle w:val="Heading2"/>
        <w:keepNext/>
        <w:spacing w:after="110" w:before="240"/>
      </w:pPr>
      <w:r>
        <w:rPr>
          <w:rFonts w:ascii="Cambria" w:cs="Cambria" w:eastAsia="Cambria" w:hAnsi="Cambria"/>
          <w:b/>
          <w:bCs/>
          <w:color w:val="1F4380"/>
          <w:sz w:val="24"/>
          <w:szCs w:val="24"/>
        </w:rPr>
        <w:t xml:space="preserve">5.3  Prohibited</w:t>
      </w:r>
    </w:p>
    <w:p>
      <w:pPr>
        <w:spacing w:after="120" w:line="276"/>
      </w:pPr>
      <w:r>
        <w:rPr>
          <w:rFonts w:ascii="Calibri" w:cs="Calibri" w:eastAsia="Calibri" w:hAnsi="Calibri"/>
          <w:color w:val="1A2333"/>
          <w:sz w:val="21"/>
          <w:szCs w:val="21"/>
        </w:rPr>
        <w:t xml:space="preserve">Two SysML relationships are prohibited with assumptions.</w:t>
      </w:r>
    </w:p>
    <w:p>
      <w:pPr>
        <w:spacing w:after="120" w:line="276"/>
      </w:pPr>
      <w:r>
        <w:rPr>
          <w:rFonts w:ascii="Calibri" w:cs="Calibri" w:eastAsia="Calibri" w:hAnsi="Calibri"/>
          <w:b/>
          <w:bCs/>
          <w:color w:val="B4530C"/>
          <w:sz w:val="21"/>
          <w:szCs w:val="21"/>
        </w:rPr>
        <w:t xml:space="preserve">Copy.  </w:t>
      </w:r>
      <w:r>
        <w:rPr>
          <w:rFonts w:ascii="Calibri" w:cs="Calibri" w:eastAsia="Calibri" w:hAnsi="Calibri"/>
          <w:color w:val="1A2333"/>
          <w:sz w:val="21"/>
          <w:szCs w:val="21"/>
        </w:rPr>
        <w:t xml:space="preserve">SysML defines it this way:</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498"/>
        <w:gridCol w:w="5990"/>
        <w:gridCol w:w="1872"/>
      </w:tblGrid>
      <w:tr>
        <w:trPr>
          <w:tblHeader/>
        </w:trPr>
        <w:tc>
          <w:tcPr>
            <w:tcW w:type="dxa" w:w="149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Term</w:t>
            </w:r>
          </w:p>
        </w:tc>
        <w:tc>
          <w:tcPr>
            <w:tcW w:type="dxa" w:w="599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Definition</w:t>
            </w:r>
          </w:p>
        </w:tc>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Source</w:t>
            </w:r>
          </w:p>
        </w:tc>
      </w:tr>
      <w:tr>
        <w:trPr>
          <w:cantSplit/>
        </w:trPr>
        <w:tc>
          <w:tcPr>
            <w:tcW w:type="dxa" w:w="149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Copy</w:t>
            </w:r>
          </w:p>
        </w:tc>
        <w:tc>
          <w:tcPr>
            <w:tcW w:type="dxa" w:w="599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Copy relationship is a dependency between a supplier requirement and a client requirement that specifies that the text of the client requirement is a read-only copy of the text of the supplier requirement.</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SysML 1.6</w:t>
            </w:r>
          </w:p>
        </w:tc>
      </w:tr>
    </w:tbl>
    <w:p>
      <w:pPr>
        <w:spacing w:after="80"/>
      </w:pPr>
    </w:p>
    <w:p>
      <w:pPr>
        <w:spacing w:after="120" w:line="276"/>
      </w:pPr>
      <w:r>
        <w:rPr>
          <w:rFonts w:ascii="Calibri" w:cs="Calibri" w:eastAsia="Calibri" w:hAnsi="Calibri"/>
          <w:color w:val="1A2333"/>
          <w:sz w:val="21"/>
          <w:szCs w:val="21"/>
        </w:rPr>
        <w:t xml:space="preserve">Copy moves the text and nothing else. That is the inherited-assumption failure, expressed as a modeling construct. Use «adoptedFrom» instead. Rule ASM-09 catches Copy.</w:t>
      </w:r>
    </w:p>
    <w:p>
      <w:pPr>
        <w:spacing w:after="120" w:line="276"/>
      </w:pPr>
      <w:r>
        <w:rPr>
          <w:rFonts w:ascii="Calibri" w:cs="Calibri" w:eastAsia="Calibri" w:hAnsi="Calibri"/>
          <w:b/>
          <w:bCs/>
          <w:color w:val="B4530C"/>
          <w:sz w:val="21"/>
          <w:szCs w:val="21"/>
        </w:rPr>
        <w:t xml:space="preserve">Satisfy.  </w:t>
      </w:r>
      <w:r>
        <w:rPr>
          <w:rFonts w:ascii="Calibri" w:cs="Calibri" w:eastAsia="Calibri" w:hAnsi="Calibri"/>
          <w:color w:val="1A2333"/>
          <w:sz w:val="21"/>
          <w:szCs w:val="21"/>
        </w:rPr>
        <w:t xml:space="preserve">A satisfy relationship says a design element fulfills a requirement. Nothing fulfills an assumption or a condition. The world either matches it or does not. Rule ASM-13 catches satisfy.</w:t>
      </w:r>
    </w:p>
    <w:p>
      <w:pPr>
        <w:pStyle w:val="Heading1"/>
        <w:keepNext/>
        <w:spacing w:after="160" w:before="360"/>
      </w:pPr>
      <w:r>
        <w:rPr>
          <w:rFonts w:ascii="Cambria" w:cs="Cambria" w:eastAsia="Cambria" w:hAnsi="Cambria"/>
          <w:b/>
          <w:bCs/>
          <w:color w:val="132A4E"/>
          <w:sz w:val="30"/>
          <w:szCs w:val="30"/>
        </w:rPr>
        <w:t xml:space="preserve">6.  Validation rules</w:t>
      </w:r>
    </w:p>
    <w:p>
      <w:pPr>
        <w:spacing w:after="120" w:line="276"/>
      </w:pPr>
      <w:r>
        <w:rPr>
          <w:rFonts w:ascii="Calibri" w:cs="Calibri" w:eastAsia="Calibri" w:hAnsi="Calibri"/>
          <w:color w:val="1A2333"/>
          <w:sz w:val="21"/>
          <w:szCs w:val="21"/>
        </w:rPr>
        <w:t xml:space="preserve">Implement these rules as constraints in a validation suite. Run them under active validation.</w:t>
      </w:r>
    </w:p>
    <w:tbl>
      <w:tblPr>
        <w:tblW w:type="dxa" w:w="9360"/>
        <w:tblBorders>
          <w:top w:val="single" w:color="D3DEEF" w:sz="2"/>
          <w:left w:val="single" w:color="B4530C" w:sz="18"/>
          <w:bottom w:val="single" w:color="D3DEEF" w:sz="2"/>
          <w:right w:val="single" w:color="D3DEEF" w:sz="2"/>
          <w:insideH w:val="none"/>
          <w:insideV w:val="none"/>
        </w:tblBorders>
      </w:tblPr>
      <w:tblGrid>
        <w:gridCol w:w="9360"/>
      </w:tblGrid>
      <w:tr>
        <w:trPr>
          <w:cantSplit/>
        </w:trPr>
        <w:tc>
          <w:tcPr>
            <w:tcW w:type="dxa" w:w="9360"/>
            <w:shd w:fill="FBEBDC" w:color="auto" w:val="clear"/>
            <w:tcMar>
              <w:top w:type="dxa" w:w="130"/>
              <w:left w:type="dxa" w:w="200"/>
              <w:bottom w:type="dxa" w:w="130"/>
              <w:right w:type="dxa" w:w="200"/>
            </w:tcMar>
          </w:tcPr>
          <w:p>
            <w:pPr>
              <w:spacing w:after="70" w:line="276"/>
            </w:pPr>
            <w:r>
              <w:rPr>
                <w:rFonts w:ascii="Calibri" w:cs="Calibri" w:eastAsia="Calibri" w:hAnsi="Calibri"/>
                <w:b/>
                <w:bCs/>
                <w:color w:val="B4530C"/>
                <w:sz w:val="21"/>
                <w:szCs w:val="21"/>
              </w:rPr>
              <w:t xml:space="preserve">Confirm</w:t>
            </w:r>
          </w:p>
          <w:p>
            <w:pPr>
              <w:spacing w:after="0" w:line="276"/>
            </w:pPr>
            <w:r>
              <w:rPr>
                <w:rFonts w:ascii="Calibri" w:cs="Calibri" w:eastAsia="Calibri" w:hAnsi="Calibri"/>
                <w:color w:val="1A2333"/>
                <w:sz w:val="20"/>
                <w:szCs w:val="20"/>
              </w:rPr>
              <w:t xml:space="preserve">Confirm that OCL can express each rule. Some may need a binary implementation.</w:t>
            </w:r>
          </w:p>
        </w:tc>
      </w:tr>
    </w:tbl>
    <w:p>
      <w:pPr>
        <w:spacing w:after="80"/>
      </w:pP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030"/>
        <w:gridCol w:w="1030"/>
        <w:gridCol w:w="4118"/>
        <w:gridCol w:w="3182"/>
      </w:tblGrid>
      <w:tr>
        <w:trPr>
          <w:tblHeader/>
        </w:trPr>
        <w:tc>
          <w:tcPr>
            <w:tcW w:type="dxa" w:w="103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ID</w:t>
            </w:r>
          </w:p>
        </w:tc>
        <w:tc>
          <w:tcPr>
            <w:tcW w:type="dxa" w:w="103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Severity</w:t>
            </w:r>
          </w:p>
        </w:tc>
        <w:tc>
          <w:tcPr>
            <w:tcW w:type="dxa" w:w="411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Fires when</w:t>
            </w:r>
          </w:p>
        </w:tc>
        <w:tc>
          <w:tcPr>
            <w:tcW w:type="dxa" w:w="318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Why</w:t>
            </w:r>
          </w:p>
        </w:tc>
      </w:tr>
      <w:tr>
        <w:trPr>
          <w:cantSplit/>
        </w:trPr>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ASM-01</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411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«Assumption» has an empty rationale.</w:t>
            </w:r>
          </w:p>
        </w:tc>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Nobody can reconstruct the rationale later.</w:t>
            </w:r>
          </w:p>
        </w:tc>
      </w:tr>
      <w:tr>
        <w:trPr>
          <w:cantSplit/>
        </w:trPr>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ASM-02</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Tier 1 «Assumption» has an empty riskAcceptor.</w:t>
            </w:r>
          </w:p>
        </w:tc>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SM-0001 Section 6.2.2 lists acceptance of risk as part of risk assessment.</w:t>
            </w:r>
          </w:p>
        </w:tc>
      </w:tr>
      <w:tr>
        <w:trPr>
          <w:cantSplit/>
        </w:trPr>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ASM-03</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411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Tier 1 «Assumption» owns no «AssumptionCondition».</w:t>
            </w:r>
          </w:p>
        </w:tc>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assumption without conditions cannot be checked.</w:t>
            </w:r>
          </w:p>
        </w:tc>
      </w:tr>
      <w:tr>
        <w:trPr>
          <w:cantSplit/>
        </w:trPr>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ASM-04</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«AssumptionCondition» has no «anchoredTo» and its regime is not None.</w:t>
            </w:r>
          </w:p>
        </w:tc>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Anchors must be explicit. So must their absence.</w:t>
            </w:r>
          </w:p>
        </w:tc>
      </w:tr>
      <w:tr>
        <w:trPr>
          <w:cantSplit/>
        </w:trPr>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ASM-05</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warning</w:t>
            </w:r>
          </w:p>
        </w:tc>
        <w:tc>
          <w:tcPr>
            <w:tcW w:type="dxa" w:w="411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citedRevision on an «anchoredTo» differs from currentRevision on its target.</w:t>
            </w:r>
          </w:p>
        </w:tc>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core mechanism. This is the re-confirmation sweep, running continuously.</w:t>
            </w:r>
          </w:p>
        </w:tc>
      </w:tr>
      <w:tr>
        <w:trPr>
          <w:cantSplit/>
        </w:trPr>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ASM-06</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«Assumption» is Verified and one of its conditions has confirmationMethod Monitoring.</w:t>
            </w:r>
          </w:p>
        </w:tc>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Monitoring does not verify.</w:t>
            </w:r>
          </w:p>
        </w:tc>
      </w:tr>
      <w:tr>
        <w:trPr>
          <w:cantSplit/>
        </w:trPr>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ASM-07</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warning</w:t>
            </w:r>
          </w:p>
        </w:tc>
        <w:tc>
          <w:tcPr>
            <w:tcW w:type="dxa" w:w="411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lastConfirmed is older than confirmationInterval.</w:t>
            </w:r>
          </w:p>
        </w:tc>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Re-confirmation is overdue.</w:t>
            </w:r>
          </w:p>
        </w:tc>
      </w:tr>
      <w:tr>
        <w:trPr>
          <w:cantSplit/>
        </w:trPr>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ASM-08</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«adoptedFrom» has an empty deltaAssessmentRef.</w:t>
            </w:r>
          </w:p>
        </w:tc>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No inheritance without a comparison.</w:t>
            </w:r>
          </w:p>
        </w:tc>
      </w:tr>
      <w:tr>
        <w:trPr>
          <w:cantSplit/>
        </w:trPr>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ASM-09</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411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Copy relationship has an «Assumption» at either end.</w:t>
            </w:r>
          </w:p>
        </w:tc>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See Section 5.3.</w:t>
            </w:r>
          </w:p>
        </w:tc>
      </w:tr>
      <w:tr>
        <w:trPr>
          <w:cantSplit/>
        </w:trPr>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ASM-10</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warning</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Tier 1 «Assumption» has no «invalidates».</w:t>
            </w:r>
          </w:p>
        </w:tc>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Tier 1 is defined by hazard dependency. The link should exist.</w:t>
            </w:r>
          </w:p>
        </w:tc>
      </w:tr>
      <w:tr>
        <w:trPr>
          <w:cantSplit/>
        </w:trPr>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ASM-11</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info</w:t>
            </w:r>
          </w:p>
        </w:tc>
        <w:tc>
          <w:tcPr>
            <w:tcW w:type="dxa" w:w="411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«AssumptionCondition» has regime None.</w:t>
            </w:r>
          </w:p>
        </w:tc>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Shows conditions that nothing controls.</w:t>
            </w:r>
          </w:p>
        </w:tc>
      </w:tr>
      <w:tr>
        <w:trPr>
          <w:cantSplit/>
        </w:trPr>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ASM-12</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«Assumption» is Failed and no open action or change record exists.</w:t>
            </w:r>
          </w:p>
        </w:tc>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failure must go somewhere.</w:t>
            </w:r>
          </w:p>
        </w:tc>
      </w:tr>
      <w:tr>
        <w:trPr>
          <w:cantSplit/>
        </w:trPr>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ASM-13</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411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satisfy relationship targets an «Assumption» or an «AssumptionCondition».</w:t>
            </w:r>
          </w:p>
        </w:tc>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Assumptions are anchored, not satisfied. See Section 2.1.</w:t>
            </w:r>
          </w:p>
        </w:tc>
      </w:tr>
      <w:tr>
        <w:trPr>
          <w:cantSplit/>
        </w:trPr>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ASM-14</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target of an «anchoredTo» does not carry «ControlledDocument».</w:t>
            </w:r>
          </w:p>
        </w:tc>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Without a currentRevision, ASM-05 cannot detect change.</w:t>
            </w:r>
          </w:p>
        </w:tc>
      </w:tr>
      <w:tr>
        <w:trPr>
          <w:cantSplit/>
        </w:trPr>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ASM-15</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411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«Assumption» has disposition ConvertedToRequirement, and either no deriveReqt targets it or its bindingState is not Superseded.</w:t>
            </w:r>
          </w:p>
        </w:tc>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conversion must leave a trace and a consistent state.</w:t>
            </w:r>
          </w:p>
        </w:tc>
      </w:tr>
      <w:tr>
        <w:trPr>
          <w:cantSplit/>
        </w:trPr>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ASM-16</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warning</w:t>
            </w:r>
          </w:p>
        </w:tc>
        <w:tc>
          <w:tcPr>
            <w:tcW w:type="dxa" w:w="411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«AssumptionCondition» has a confirmedDate and an empty confirmationRef.</w:t>
            </w:r>
          </w:p>
        </w:tc>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No confirmation without evidence.</w:t>
            </w:r>
          </w:p>
        </w:tc>
      </w:tr>
    </w:tbl>
    <w:p>
      <w:pPr>
        <w:spacing w:after="80"/>
      </w:pPr>
    </w:p>
    <w:tbl>
      <w:tblPr>
        <w:tblW w:type="dxa" w:w="9360"/>
        <w:tblBorders>
          <w:top w:val="single" w:color="D3DEEF" w:sz="2"/>
          <w:left w:val="single" w:color="B4530C" w:sz="18"/>
          <w:bottom w:val="single" w:color="D3DEEF" w:sz="2"/>
          <w:right w:val="single" w:color="D3DEEF" w:sz="2"/>
          <w:insideH w:val="none"/>
          <w:insideV w:val="none"/>
        </w:tblBorders>
      </w:tblPr>
      <w:tblGrid>
        <w:gridCol w:w="9360"/>
      </w:tblGrid>
      <w:tr>
        <w:trPr>
          <w:cantSplit/>
        </w:trPr>
        <w:tc>
          <w:tcPr>
            <w:tcW w:type="dxa" w:w="9360"/>
            <w:shd w:fill="FBEBDC" w:color="auto" w:val="clear"/>
            <w:tcMar>
              <w:top w:type="dxa" w:w="130"/>
              <w:left w:type="dxa" w:w="200"/>
              <w:bottom w:type="dxa" w:w="130"/>
              <w:right w:type="dxa" w:w="200"/>
            </w:tcMar>
          </w:tcPr>
          <w:p>
            <w:pPr>
              <w:spacing w:after="70" w:line="276"/>
            </w:pPr>
            <w:r>
              <w:rPr>
                <w:rFonts w:ascii="Calibri" w:cs="Calibri" w:eastAsia="Calibri" w:hAnsi="Calibri"/>
                <w:b/>
                <w:bCs/>
                <w:color w:val="B4530C"/>
                <w:sz w:val="21"/>
                <w:szCs w:val="21"/>
              </w:rPr>
              <w:t xml:space="preserve">ASM-05 carries the most weight</w:t>
            </w:r>
          </w:p>
          <w:p>
            <w:pPr>
              <w:spacing w:after="80" w:line="276"/>
            </w:pPr>
            <w:r>
              <w:rPr>
                <w:rFonts w:ascii="Calibri" w:cs="Calibri" w:eastAsia="Calibri" w:hAnsi="Calibri"/>
                <w:color w:val="1A2333"/>
                <w:sz w:val="20"/>
                <w:szCs w:val="20"/>
              </w:rPr>
              <w:t xml:space="preserve">ASM-05 replaces the scheduled manual sweep. Detection becomes continuous.</w:t>
            </w:r>
          </w:p>
          <w:p>
            <w:pPr>
              <w:spacing w:after="0" w:line="276"/>
            </w:pPr>
            <w:r>
              <w:rPr>
                <w:rFonts w:ascii="Calibri" w:cs="Calibri" w:eastAsia="Calibri" w:hAnsi="Calibri"/>
                <w:color w:val="1A2333"/>
                <w:sz w:val="20"/>
                <w:szCs w:val="20"/>
              </w:rPr>
              <w:t xml:space="preserve">It works only while currentRevision stays accurate. That is the single point of failure in this design. Assign each «ControlledDocument» a named custodian.</w:t>
            </w:r>
          </w:p>
        </w:tc>
      </w:tr>
    </w:tbl>
    <w:p>
      <w:pPr>
        <w:pStyle w:val="Heading1"/>
        <w:keepNext/>
        <w:spacing w:after="160" w:before="360"/>
      </w:pPr>
      <w:r>
        <w:rPr>
          <w:rFonts w:ascii="Cambria" w:cs="Cambria" w:eastAsia="Cambria" w:hAnsi="Cambria"/>
          <w:b/>
          <w:bCs/>
          <w:color w:val="132A4E"/>
          <w:sz w:val="30"/>
          <w:szCs w:val="30"/>
        </w:rPr>
        <w:t xml:space="preserve">7.  Views and artifacts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3182"/>
        <w:gridCol w:w="6178"/>
      </w:tblGrid>
      <w:tr>
        <w:trPr>
          <w:tblHeader/>
        </w:trPr>
        <w:tc>
          <w:tcPr>
            <w:tcW w:type="dxa" w:w="318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View</w:t>
            </w:r>
          </w:p>
        </w:tc>
        <w:tc>
          <w:tcPr>
            <w:tcW w:type="dxa" w:w="617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Content and purpose</w:t>
            </w:r>
          </w:p>
        </w:tc>
      </w:tr>
      <w:tr>
        <w:trPr>
          <w:cantSplit/>
        </w:trPr>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 table</w:t>
            </w:r>
          </w:p>
        </w:tc>
        <w:tc>
          <w:tcPr>
            <w:tcW w:type="dxa" w:w="61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Columns: Id, Text, tier, bindingState, owner, riskAcceptor, regime coverage, lastConfirmed, disposition.</w:t>
            </w:r>
          </w:p>
        </w:tc>
      </w:tr>
      <w:tr>
        <w:trPr>
          <w:cantSplit/>
        </w:trPr>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Legend by bindingState</w:t>
            </w:r>
          </w:p>
        </w:tc>
        <w:tc>
          <w:tcPr>
            <w:tcW w:type="dxa" w:w="617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Colors elements by state. Unanchored and Failed stand out on any diagram.</w:t>
            </w:r>
          </w:p>
        </w:tc>
      </w:tr>
      <w:tr>
        <w:trPr>
          <w:cantSplit/>
        </w:trPr>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Relation map rooted on a «ControlledDocument»</w:t>
            </w:r>
          </w:p>
        </w:tc>
        <w:tc>
          <w:tcPr>
            <w:tcW w:type="dxa" w:w="61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Shows every condition, assumption, and hazard that depends on the document. Answers "what reopens if this moves?"</w:t>
            </w:r>
          </w:p>
        </w:tc>
      </w:tr>
      <w:tr>
        <w:trPr>
          <w:cantSplit/>
        </w:trPr>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Relation map rooted on a hazard</w:t>
            </w:r>
          </w:p>
        </w:tc>
        <w:tc>
          <w:tcPr>
            <w:tcW w:type="dxa" w:w="617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Shows every assumption the hazard's closure depends on. This is the view safety review needs.</w:t>
            </w:r>
          </w:p>
        </w:tc>
      </w:tr>
      <w:tr>
        <w:trPr>
          <w:cantSplit/>
        </w:trPr>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Smart package of unanchored Tier 1 assumptions</w:t>
            </w:r>
          </w:p>
        </w:tc>
        <w:tc>
          <w:tcPr>
            <w:tcW w:type="dxa" w:w="61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Gathers Tier 1 assumptions with bindingState Unanchored. Feeds the design review metric.</w:t>
            </w:r>
          </w:p>
        </w:tc>
      </w:tr>
      <w:tr>
        <w:trPr>
          <w:cantSplit/>
        </w:trPr>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Report template</w:t>
            </w:r>
          </w:p>
        </w:tc>
        <w:tc>
          <w:tcPr>
            <w:tcW w:type="dxa" w:w="617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Produces the assumption register as a document, for readers and suppliers outside the model.</w:t>
            </w:r>
          </w:p>
        </w:tc>
      </w:tr>
      <w:tr>
        <w:trPr>
          <w:cantSplit/>
        </w:trPr>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Export filter</w:t>
            </w:r>
          </w:p>
        </w:tc>
        <w:tc>
          <w:tcPr>
            <w:tcW w:type="dxa" w:w="61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Keeps «Assumption» and «AssumptionCondition» out of supplier and customer requirement exports. Set it before the first export.</w:t>
            </w:r>
          </w:p>
        </w:tc>
      </w:tr>
    </w:tbl>
    <w:p>
      <w:pPr>
        <w:pStyle w:val="Heading1"/>
        <w:keepNext/>
        <w:spacing w:after="160" w:before="360"/>
      </w:pPr>
      <w:r>
        <w:rPr>
          <w:rFonts w:ascii="Cambria" w:cs="Cambria" w:eastAsia="Cambria" w:hAnsi="Cambria"/>
          <w:b/>
          <w:bCs/>
          <w:color w:val="132A4E"/>
          <w:sz w:val="30"/>
          <w:szCs w:val="30"/>
        </w:rPr>
        <w:t xml:space="preserve">8.  Workflow</w:t>
      </w:r>
    </w:p>
    <w:p>
      <w:pPr>
        <w:spacing w:after="120" w:line="276"/>
      </w:pPr>
      <w:r>
        <w:rPr>
          <w:rFonts w:ascii="Calibri" w:cs="Calibri" w:eastAsia="Calibri" w:hAnsi="Calibri"/>
          <w:color w:val="1A2333"/>
          <w:sz w:val="21"/>
          <w:szCs w:val="21"/>
        </w:rPr>
        <w:t xml:space="preserve">Seven steps take an assumption from proposal to the next program.</w:t>
      </w:r>
    </w:p>
    <w:p>
      <w:pPr>
        <w:pStyle w:val="ListParagraph"/>
        <w:numPr>
          <w:ilvl w:val="0"/>
          <w:numId w:val="4"/>
        </w:numPr>
        <w:spacing w:after="110" w:line="276"/>
      </w:pPr>
      <w:r>
        <w:rPr>
          <w:rFonts w:ascii="Calibri" w:cs="Calibri" w:eastAsia="Calibri" w:hAnsi="Calibri"/>
          <w:b/>
          <w:bCs/>
          <w:color w:val="132A4E"/>
          <w:sz w:val="21"/>
          <w:szCs w:val="21"/>
        </w:rPr>
        <w:t xml:space="preserve">Create at proposal.  </w:t>
      </w:r>
      <w:r>
        <w:rPr>
          <w:rFonts w:ascii="Calibri" w:cs="Calibri" w:eastAsia="Calibri" w:hAnsi="Calibri"/>
          <w:color w:val="1A2333"/>
          <w:sz w:val="21"/>
          <w:szCs w:val="21"/>
        </w:rPr>
        <w:t xml:space="preserve">Record Id, Text, rationale, and owner. Write conditions as separate elements. bindingState is Unanchored. Leave tier unset. If no model exists yet, use the register.</w:t>
      </w:r>
    </w:p>
    <w:p>
      <w:pPr>
        <w:pStyle w:val="ListParagraph"/>
        <w:numPr>
          <w:ilvl w:val="0"/>
          <w:numId w:val="4"/>
        </w:numPr>
        <w:spacing w:after="110" w:line="276"/>
      </w:pPr>
      <w:r>
        <w:rPr>
          <w:rFonts w:ascii="Calibri" w:cs="Calibri" w:eastAsia="Calibri" w:hAnsi="Calibri"/>
          <w:b/>
          <w:bCs/>
          <w:color w:val="132A4E"/>
          <w:sz w:val="21"/>
          <w:szCs w:val="21"/>
        </w:rPr>
        <w:t xml:space="preserve">Tier at the first hazard analysis.  </w:t>
      </w:r>
      <w:r>
        <w:rPr>
          <w:rFonts w:ascii="Calibri" w:cs="Calibri" w:eastAsia="Calibri" w:hAnsi="Calibri"/>
          <w:color w:val="1A2333"/>
          <w:sz w:val="21"/>
          <w:szCs w:val="21"/>
        </w:rPr>
        <w:t xml:space="preserve">Safety risk management sets tier. Each Tier 1 assumption gets a riskAcceptor.</w:t>
      </w:r>
    </w:p>
    <w:p>
      <w:pPr>
        <w:pStyle w:val="ListParagraph"/>
        <w:numPr>
          <w:ilvl w:val="0"/>
          <w:numId w:val="4"/>
        </w:numPr>
        <w:spacing w:after="110" w:line="276"/>
      </w:pPr>
      <w:r>
        <w:rPr>
          <w:rFonts w:ascii="Calibri" w:cs="Calibri" w:eastAsia="Calibri" w:hAnsi="Calibri"/>
          <w:b/>
          <w:bCs/>
          <w:color w:val="132A4E"/>
          <w:sz w:val="21"/>
          <w:szCs w:val="21"/>
        </w:rPr>
        <w:t xml:space="preserve">Anchor as documents appear.  </w:t>
      </w:r>
      <w:r>
        <w:rPr>
          <w:rFonts w:ascii="Calibri" w:cs="Calibri" w:eastAsia="Calibri" w:hAnsi="Calibri"/>
          <w:color w:val="1A2333"/>
          <w:sz w:val="21"/>
          <w:szCs w:val="21"/>
        </w:rPr>
        <w:t xml:space="preserve">Draw «anchoredTo» with citedRevision. Apply «ControlledDocument» to each target. Set bindingState to Anchored when every condition is anchored.</w:t>
      </w:r>
    </w:p>
    <w:p>
      <w:pPr>
        <w:pStyle w:val="ListParagraph"/>
        <w:numPr>
          <w:ilvl w:val="0"/>
          <w:numId w:val="4"/>
        </w:numPr>
        <w:spacing w:after="110" w:line="276"/>
      </w:pPr>
      <w:r>
        <w:rPr>
          <w:rFonts w:ascii="Calibri" w:cs="Calibri" w:eastAsia="Calibri" w:hAnsi="Calibri"/>
          <w:b/>
          <w:bCs/>
          <w:color w:val="132A4E"/>
          <w:sz w:val="21"/>
          <w:szCs w:val="21"/>
        </w:rPr>
        <w:t xml:space="preserve">Dispose wherever possible.  </w:t>
      </w:r>
      <w:r>
        <w:rPr>
          <w:rFonts w:ascii="Calibri" w:cs="Calibri" w:eastAsia="Calibri" w:hAnsi="Calibri"/>
          <w:color w:val="1A2333"/>
          <w:sz w:val="21"/>
          <w:szCs w:val="21"/>
        </w:rPr>
        <w:t xml:space="preserve">Convert conditions to derived requirements and levy them. Set disposition to ConvertedToRequirement and bindingState to Superseded.</w:t>
      </w:r>
    </w:p>
    <w:p>
      <w:pPr>
        <w:pStyle w:val="ListParagraph"/>
        <w:numPr>
          <w:ilvl w:val="0"/>
          <w:numId w:val="4"/>
        </w:numPr>
        <w:spacing w:after="110" w:line="276"/>
      </w:pPr>
      <w:r>
        <w:rPr>
          <w:rFonts w:ascii="Calibri" w:cs="Calibri" w:eastAsia="Calibri" w:hAnsi="Calibri"/>
          <w:b/>
          <w:bCs/>
          <w:color w:val="132A4E"/>
          <w:sz w:val="21"/>
          <w:szCs w:val="21"/>
        </w:rPr>
        <w:t xml:space="preserve">Confirm or monitor.  </w:t>
      </w:r>
      <w:r>
        <w:rPr>
          <w:rFonts w:ascii="Calibri" w:cs="Calibri" w:eastAsia="Calibri" w:hAnsi="Calibri"/>
          <w:color w:val="1A2333"/>
          <w:sz w:val="21"/>
          <w:szCs w:val="21"/>
        </w:rPr>
        <w:t xml:space="preserve">Verify with test, analysis, inspection, or demonstration. Confirm by authority approval where that applies. Record evidence in confirmationRef. Monitor the rest through an «AssumptionMonitor».</w:t>
      </w:r>
    </w:p>
    <w:p>
      <w:pPr>
        <w:pStyle w:val="ListParagraph"/>
        <w:numPr>
          <w:ilvl w:val="0"/>
          <w:numId w:val="4"/>
        </w:numPr>
        <w:spacing w:after="110" w:line="276"/>
      </w:pPr>
      <w:r>
        <w:rPr>
          <w:rFonts w:ascii="Calibri" w:cs="Calibri" w:eastAsia="Calibri" w:hAnsi="Calibri"/>
          <w:b/>
          <w:bCs/>
          <w:color w:val="132A4E"/>
          <w:sz w:val="21"/>
          <w:szCs w:val="21"/>
        </w:rPr>
        <w:t xml:space="preserve">Detect continuously.  </w:t>
      </w:r>
      <w:r>
        <w:rPr>
          <w:rFonts w:ascii="Calibri" w:cs="Calibri" w:eastAsia="Calibri" w:hAnsi="Calibri"/>
          <w:color w:val="1A2333"/>
          <w:sz w:val="21"/>
          <w:szCs w:val="21"/>
        </w:rPr>
        <w:t xml:space="preserve">ASM-05 runs under active validation. Run the full suite before every design review.</w:t>
      </w:r>
    </w:p>
    <w:p>
      <w:pPr>
        <w:pStyle w:val="ListParagraph"/>
        <w:numPr>
          <w:ilvl w:val="0"/>
          <w:numId w:val="4"/>
        </w:numPr>
        <w:spacing w:after="110" w:line="276"/>
      </w:pPr>
      <w:r>
        <w:rPr>
          <w:rFonts w:ascii="Calibri" w:cs="Calibri" w:eastAsia="Calibri" w:hAnsi="Calibri"/>
          <w:b/>
          <w:bCs/>
          <w:color w:val="132A4E"/>
          <w:sz w:val="21"/>
          <w:szCs w:val="21"/>
        </w:rPr>
        <w:t xml:space="preserve">Export with evidence.  </w:t>
      </w:r>
      <w:r>
        <w:rPr>
          <w:rFonts w:ascii="Calibri" w:cs="Calibri" w:eastAsia="Calibri" w:hAnsi="Calibri"/>
          <w:color w:val="1A2333"/>
          <w:sz w:val="21"/>
          <w:szCs w:val="21"/>
        </w:rPr>
        <w:t xml:space="preserve">Release conditions, anchors, and evidence with each assumption. Never release the statement alone.</w:t>
      </w:r>
    </w:p>
    <w:p>
      <w:pPr>
        <w:pStyle w:val="Heading1"/>
        <w:keepNext/>
        <w:spacing w:after="160" w:before="360"/>
      </w:pPr>
      <w:r>
        <w:rPr>
          <w:rFonts w:ascii="Cambria" w:cs="Cambria" w:eastAsia="Cambria" w:hAnsi="Cambria"/>
          <w:b/>
          <w:bCs/>
          <w:color w:val="132A4E"/>
          <w:sz w:val="30"/>
          <w:szCs w:val="30"/>
        </w:rPr>
        <w:t xml:space="preserve">9.  Open questions for the MBSE lead</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468"/>
        <w:gridCol w:w="3931"/>
        <w:gridCol w:w="4961"/>
      </w:tblGrid>
      <w:tr>
        <w:trPr>
          <w:tblHeader/>
        </w:trPr>
        <w:tc>
          <w:tcPr>
            <w:tcW w:type="dxa" w:w="46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t>
            </w:r>
          </w:p>
        </w:tc>
        <w:tc>
          <w:tcPr>
            <w:tcW w:type="dxa" w:w="393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Question</w:t>
            </w:r>
          </w:p>
        </w:tc>
        <w:tc>
          <w:tcPr>
            <w:tcW w:type="dxa" w:w="496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Why it matters</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1</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Is a SysML v2 migration planned for this toolchain?</w:t>
            </w:r>
          </w:p>
        </w:tc>
        <w:tc>
          <w:tcPr>
            <w:tcW w:type="dxa" w:w="496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SysML v2 replaces profiles and stereotypes with metadata definitions. A rich profile built now may need rework.</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2</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Do programs work validation warnings, or mass-clear them?</w:t>
            </w:r>
          </w:p>
        </w:tc>
        <w:tc>
          <w:tcPr>
            <w:tcW w:type="dxa" w:w="496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If warnings are ignored, ASM-05 adds false assurance. That is worse than an honest manual sweep.</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3</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Does the model include the operator, the maintenance organization, and the training organization?</w:t>
            </w:r>
          </w:p>
        </w:tc>
        <w:tc>
          <w:tcPr>
            <w:tcW w:type="dxa" w:w="496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If not, assumptions about people have nothing to anchor to inside the model.</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4</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Who maintains currentRevision on each «ControlledDocument», including in-model elements?</w:t>
            </w:r>
          </w:p>
        </w:tc>
        <w:tc>
          <w:tcPr>
            <w:tcW w:type="dxa" w:w="496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Name a person, not a function. Every rule that detects change depends on it.</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5</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Will the profile be site-wide, program-level, or project-local?</w:t>
            </w:r>
          </w:p>
        </w:tc>
        <w:tc>
          <w:tcPr>
            <w:tcW w:type="dxa" w:w="496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This decides whether it can change later without a change board.</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6</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Are requirements mastered outside Cameo and synchronized in?</w:t>
            </w:r>
          </w:p>
        </w:tc>
        <w:tc>
          <w:tcPr>
            <w:tcW w:type="dxa" w:w="496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Synchronization may strip or alter «Assumption» and «AssumptionCondition» elements.</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7</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Will evidence that confirms an assumption become certification evidence?</w:t>
            </w:r>
          </w:p>
        </w:tc>
        <w:tc>
          <w:tcPr>
            <w:tcW w:type="dxa" w:w="496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word "verify" invites the question. The cost difference is large. Decide on purpose.</w:t>
            </w:r>
          </w:p>
        </w:tc>
      </w:tr>
    </w:tbl>
    <w:p>
      <w:pPr>
        <w:pStyle w:val="Heading1"/>
        <w:keepNext/>
        <w:spacing w:after="160" w:before="360"/>
      </w:pPr>
      <w:r>
        <w:rPr>
          <w:rFonts w:ascii="Cambria" w:cs="Cambria" w:eastAsia="Cambria" w:hAnsi="Cambria"/>
          <w:b/>
          <w:bCs/>
          <w:color w:val="132A4E"/>
          <w:sz w:val="30"/>
          <w:szCs w:val="30"/>
        </w:rPr>
        <w:t xml:space="preserve">10.  What this does not solve</w:t>
      </w:r>
    </w:p>
    <w:p>
      <w:pPr>
        <w:pStyle w:val="ListParagraph"/>
        <w:numPr>
          <w:ilvl w:val="0"/>
          <w:numId w:val="3"/>
        </w:numPr>
        <w:spacing w:after="80" w:line="276"/>
      </w:pPr>
      <w:r>
        <w:rPr>
          <w:rFonts w:ascii="Calibri" w:cs="Calibri" w:eastAsia="Calibri" w:hAnsi="Calibri"/>
          <w:color w:val="1A2333"/>
          <w:sz w:val="21"/>
          <w:szCs w:val="21"/>
        </w:rPr>
        <w:t xml:space="preserve">Programs with no model, and programs at proposal before a model exists. The register covers them. Proposal is when capture matters most.</w:t>
      </w:r>
    </w:p>
    <w:p>
      <w:pPr>
        <w:pStyle w:val="ListParagraph"/>
        <w:numPr>
          <w:ilvl w:val="0"/>
          <w:numId w:val="3"/>
        </w:numPr>
        <w:spacing w:after="80" w:line="276"/>
      </w:pPr>
      <w:r>
        <w:rPr>
          <w:rFonts w:ascii="Calibri" w:cs="Calibri" w:eastAsia="Calibri" w:hAnsi="Calibri"/>
          <w:color w:val="1A2333"/>
          <w:sz w:val="21"/>
          <w:szCs w:val="21"/>
        </w:rPr>
        <w:t xml:space="preserve">Assumptions held by suppliers. The profile can record that a supplier holds an interface assumption. It cannot see inside the supplier's analysis.</w:t>
      </w:r>
    </w:p>
    <w:p>
      <w:pPr>
        <w:pStyle w:val="ListParagraph"/>
        <w:numPr>
          <w:ilvl w:val="0"/>
          <w:numId w:val="3"/>
        </w:numPr>
        <w:spacing w:after="80" w:line="276"/>
      </w:pPr>
      <w:r>
        <w:rPr>
          <w:rFonts w:ascii="Calibri" w:cs="Calibri" w:eastAsia="Calibri" w:hAnsi="Calibri"/>
          <w:color w:val="1A2333"/>
          <w:sz w:val="21"/>
          <w:szCs w:val="21"/>
        </w:rPr>
        <w:t xml:space="preserve">The incentive problem. The cost of this work lands on the bid. The benefit lands on execution. That needs a governance answer, not a tool.</w:t>
      </w:r>
    </w:p>
    <w:p>
      <w:pPr>
        <w:pStyle w:val="Heading1"/>
        <w:keepNext/>
        <w:spacing w:after="160" w:before="360"/>
      </w:pPr>
      <w:r>
        <w:rPr>
          <w:rFonts w:ascii="Cambria" w:cs="Cambria" w:eastAsia="Cambria" w:hAnsi="Cambria"/>
          <w:b/>
          <w:bCs/>
          <w:color w:val="132A4E"/>
          <w:sz w:val="30"/>
          <w:szCs w:val="30"/>
        </w:rPr>
        <w:t xml:space="preserve">Appendix A.  Changes from Draft A</w:t>
      </w:r>
    </w:p>
    <w:p>
      <w:pPr>
        <w:spacing w:after="120" w:line="276"/>
      </w:pPr>
      <w:r>
        <w:rPr>
          <w:rFonts w:ascii="Calibri" w:cs="Calibri" w:eastAsia="Calibri" w:hAnsi="Calibri"/>
          <w:color w:val="1A2333"/>
          <w:sz w:val="21"/>
          <w:szCs w:val="21"/>
        </w:rPr>
        <w:t xml:space="preserve">Draft B settles eight gaps found while writing the companion guidance on how to use this profile. It also closes five smaller differences.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468"/>
        <w:gridCol w:w="4867"/>
        <w:gridCol w:w="4025"/>
      </w:tblGrid>
      <w:tr>
        <w:trPr>
          <w:tblHeader/>
        </w:trPr>
        <w:tc>
          <w:tcPr>
            <w:tcW w:type="dxa" w:w="46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t>
            </w:r>
          </w:p>
        </w:tc>
        <w:tc>
          <w:tcPr>
            <w:tcW w:type="dxa" w:w="4867"/>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Change</w:t>
            </w:r>
          </w:p>
        </w:tc>
        <w:tc>
          <w:tcPr>
            <w:tcW w:type="dxa" w:w="4025"/>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Reason</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1</w:t>
            </w:r>
          </w:p>
        </w:tc>
        <w:tc>
          <w:tcPr>
            <w:tcW w:type="dxa" w:w="486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«AssumptionCondition» is owned by its «Assumption».</w:t>
            </w:r>
          </w:p>
        </w:tc>
        <w:tc>
          <w:tcPr>
            <w:tcW w:type="dxa" w:w="402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Draft A did not say how a condition attaches to its assumption.</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2</w:t>
            </w:r>
          </w:p>
        </w:tc>
        <w:tc>
          <w:tcPr>
            <w:tcW w:type="dxa" w:w="486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confirmedRevision removed from «AssumptionCondition». citedRevision on «anchoredTo» is the only revision record.</w:t>
            </w:r>
          </w:p>
        </w:tc>
        <w:tc>
          <w:tcPr>
            <w:tcW w:type="dxa" w:w="402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two fields held the same value after each confirmation. Duplicates drift.</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3</w:t>
            </w:r>
          </w:p>
        </w:tc>
        <w:tc>
          <w:tcPr>
            <w:tcW w:type="dxa" w:w="486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dependentHazard removed from «Assumption». «invalidates» is the only hazard record.</w:t>
            </w:r>
          </w:p>
        </w:tc>
        <w:tc>
          <w:tcPr>
            <w:tcW w:type="dxa" w:w="402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property and the relationship recorded the same link.</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4</w:t>
            </w:r>
          </w:p>
        </w:tc>
        <w:tc>
          <w:tcPr>
            <w:tcW w:type="dxa" w:w="486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Satisfy targeting an «Assumption» or «AssumptionCondition» is prohibited. New rule ASM-13.</w:t>
            </w:r>
          </w:p>
        </w:tc>
        <w:tc>
          <w:tcPr>
            <w:tcW w:type="dxa" w:w="402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Assumptions are anchored, not satisfied.</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5</w:t>
            </w:r>
          </w:p>
        </w:tc>
        <w:tc>
          <w:tcPr>
            <w:tcW w:type="dxa" w:w="486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«ControlledDocument» may be applied to in-model elements. Every «anchoredTo» target must carry it. New rule ASM-14.</w:t>
            </w:r>
          </w:p>
        </w:tc>
        <w:tc>
          <w:tcPr>
            <w:tcW w:type="dxa" w:w="402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ASM-05 needs a currentRevision on every anchor target.</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6</w:t>
            </w:r>
          </w:p>
        </w:tc>
        <w:tc>
          <w:tcPr>
            <w:tcW w:type="dxa" w:w="486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New stereotype «HazardReference» for hazard log entries outside the model.</w:t>
            </w:r>
          </w:p>
        </w:tc>
        <w:tc>
          <w:tcPr>
            <w:tcW w:type="dxa" w:w="402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«invalidates» needs a target. Many hazard logs live outside the model.</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7</w:t>
            </w:r>
          </w:p>
        </w:tc>
        <w:tc>
          <w:tcPr>
            <w:tcW w:type="dxa" w:w="486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ConvertedToRequirement requires bindingState Superseded and a deriveReqt. New rule ASM-15.</w:t>
            </w:r>
          </w:p>
        </w:tc>
        <w:tc>
          <w:tcPr>
            <w:tcW w:type="dxa" w:w="402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Draft A did not say which state goes with a conversion.</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8</w:t>
            </w:r>
          </w:p>
        </w:tc>
        <w:tc>
          <w:tcPr>
            <w:tcW w:type="dxa" w:w="486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«AssumptionCondition» generalizes SysML Requirement.</w:t>
            </w:r>
          </w:p>
        </w:tc>
        <w:tc>
          <w:tcPr>
            <w:tcW w:type="dxa" w:w="402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SysML verify relationship must point at a requirement.</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9</w:t>
            </w:r>
          </w:p>
        </w:tc>
        <w:tc>
          <w:tcPr>
            <w:tcW w:type="dxa" w:w="486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New property confirmationRef. New rule ASM-16.</w:t>
            </w:r>
          </w:p>
        </w:tc>
        <w:tc>
          <w:tcPr>
            <w:tcW w:type="dxa" w:w="402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AuthorityApproval needs a place to record the approval. Every confirmation needs evidence.</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10</w:t>
            </w:r>
          </w:p>
        </w:tc>
        <w:tc>
          <w:tcPr>
            <w:tcW w:type="dxa" w:w="486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Class alternative in Section 3.1 is decided in favor of Requirement.</w:t>
            </w:r>
          </w:p>
        </w:tc>
        <w:tc>
          <w:tcPr>
            <w:tcW w:type="dxa" w:w="402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Building on Class would lose requirement tooling and verify.</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11</w:t>
            </w:r>
          </w:p>
        </w:tc>
        <w:tc>
          <w:tcPr>
            <w:tcW w:type="dxa" w:w="486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trace is assigned a use: linking an assumption to the analyses that use it.</w:t>
            </w:r>
          </w:p>
        </w:tc>
        <w:tc>
          <w:tcPr>
            <w:tcW w:type="dxa" w:w="402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Draft A said "as normal" without a use.</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12</w:t>
            </w:r>
          </w:p>
        </w:tc>
        <w:tc>
          <w:tcPr>
            <w:tcW w:type="dxa" w:w="486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derive is written as deriveReqt.</w:t>
            </w:r>
          </w:p>
        </w:tc>
        <w:tc>
          <w:tcPr>
            <w:tcW w:type="dxa" w:w="402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deriveReqt is the SysML keyword.</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13</w:t>
            </w:r>
          </w:p>
        </w:tc>
        <w:tc>
          <w:tcPr>
            <w:tcW w:type="dxa" w:w="486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Prose revised for plain language.</w:t>
            </w:r>
          </w:p>
        </w:tc>
        <w:tc>
          <w:tcPr>
            <w:tcW w:type="dxa" w:w="402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Mixed audience of engineers and configuration management specialists.</w:t>
            </w:r>
          </w:p>
        </w:tc>
      </w:tr>
    </w:tbl>
    <w:p>
      <w:pPr>
        <w:pStyle w:val="Heading1"/>
        <w:keepNext/>
        <w:spacing w:after="160" w:before="360"/>
      </w:pPr>
      <w:r>
        <w:rPr>
          <w:rFonts w:ascii="Cambria" w:cs="Cambria" w:eastAsia="Cambria" w:hAnsi="Cambria"/>
          <w:b/>
          <w:bCs/>
          <w:color w:val="132A4E"/>
          <w:sz w:val="30"/>
          <w:szCs w:val="30"/>
        </w:rPr>
        <w:t xml:space="preserve">Appendix B.  Standard definitions</w:t>
      </w:r>
    </w:p>
    <w:p>
      <w:pPr>
        <w:spacing w:after="120" w:line="276"/>
      </w:pPr>
      <w:r>
        <w:rPr>
          <w:rFonts w:ascii="Calibri" w:cs="Calibri" w:eastAsia="Calibri" w:hAnsi="Calibri"/>
          <w:color w:val="1A2333"/>
          <w:sz w:val="21"/>
          <w:szCs w:val="21"/>
        </w:rPr>
        <w:t xml:space="preserve">These terms keep their standard wording. The OMG specifications are not in the project files. Check each definition against the SysML version the tool runs.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498"/>
        <w:gridCol w:w="5990"/>
        <w:gridCol w:w="1872"/>
      </w:tblGrid>
      <w:tr>
        <w:trPr>
          <w:tblHeader/>
        </w:trPr>
        <w:tc>
          <w:tcPr>
            <w:tcW w:type="dxa" w:w="149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Term</w:t>
            </w:r>
          </w:p>
        </w:tc>
        <w:tc>
          <w:tcPr>
            <w:tcW w:type="dxa" w:w="599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Definition</w:t>
            </w:r>
          </w:p>
        </w:tc>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Source</w:t>
            </w:r>
          </w:p>
        </w:tc>
      </w:tr>
      <w:tr>
        <w:trPr>
          <w:cantSplit/>
        </w:trPr>
        <w:tc>
          <w:tcPr>
            <w:tcW w:type="dxa" w:w="149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Profile</w:t>
            </w:r>
          </w:p>
        </w:tc>
        <w:tc>
          <w:tcPr>
            <w:tcW w:type="dxa" w:w="599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Profile defines limited extensions to a reference metamodel with the purpose of adapting the metamodel to a specific platform or domain.</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UML 2.5.1</w:t>
            </w:r>
          </w:p>
        </w:tc>
      </w:tr>
      <w:tr>
        <w:trPr>
          <w:cantSplit/>
        </w:trPr>
        <w:tc>
          <w:tcPr>
            <w:tcW w:type="dxa" w:w="149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Stereotype</w:t>
            </w:r>
          </w:p>
        </w:tc>
        <w:tc>
          <w:tcPr>
            <w:tcW w:type="dxa" w:w="599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Stereotype defines how an existing Metaclass may be extended, and enables the use of platform or domain specific terminology or notation in place of, or in addition to, the ones used for the extended Metaclass.</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UML 2.5.1</w:t>
            </w:r>
          </w:p>
        </w:tc>
      </w:tr>
      <w:tr>
        <w:trPr>
          <w:cantSplit/>
        </w:trPr>
        <w:tc>
          <w:tcPr>
            <w:tcW w:type="dxa" w:w="149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Requirement</w:t>
            </w:r>
          </w:p>
        </w:tc>
        <w:tc>
          <w:tcPr>
            <w:tcW w:type="dxa" w:w="599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requirement specifies a capability or condition that must (or should) be satisfied.</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SysML 1.6</w:t>
            </w:r>
          </w:p>
        </w:tc>
      </w:tr>
      <w:tr>
        <w:trPr>
          <w:cantSplit/>
        </w:trPr>
        <w:tc>
          <w:tcPr>
            <w:tcW w:type="dxa" w:w="149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Satisfy</w:t>
            </w:r>
          </w:p>
        </w:tc>
        <w:tc>
          <w:tcPr>
            <w:tcW w:type="dxa" w:w="599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Satisfy relationship is a dependency between a requirement and a model element that fulfills the requirement.</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SysML 1.6</w:t>
            </w:r>
          </w:p>
        </w:tc>
      </w:tr>
      <w:tr>
        <w:trPr>
          <w:cantSplit/>
        </w:trPr>
        <w:tc>
          <w:tcPr>
            <w:tcW w:type="dxa" w:w="149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Hazard</w:t>
            </w:r>
          </w:p>
        </w:tc>
        <w:tc>
          <w:tcPr>
            <w:tcW w:type="dxa" w:w="599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condition or an object with the potential to cause or contribute to an aircraft incident or accident.</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ICAO Annex 19, as cited in SM-0001</w:t>
            </w:r>
          </w:p>
        </w:tc>
      </w:tr>
      <w:tr>
        <w:trPr>
          <w:cantSplit/>
        </w:trPr>
        <w:tc>
          <w:tcPr>
            <w:tcW w:type="dxa" w:w="149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Revision</w:t>
            </w:r>
          </w:p>
        </w:tc>
        <w:tc>
          <w:tcPr>
            <w:tcW w:type="dxa" w:w="599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attribute that distinguishes a change to a design or document in order to differentiate one closely related design or document iterations from another.</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EIA-649-1A, adopted from ASME Y14.35</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r>
      <w:rPr>
        <w:rFonts w:ascii="Calibri" w:cs="Calibri" w:eastAsia="Calibri" w:hAnsi="Calibri"/>
        <w:color w:val="4A5568"/>
        <w:sz w:val="16"/>
        <w:szCs w:val="16"/>
      </w:rPr>
      <w:t xml:space="preserve"> of </w:t>
    </w:r>
    <w:r>
      <w:rPr>
        <w:rFonts w:ascii="Calibri" w:cs="Calibri" w:eastAsia="Calibri" w:hAnsi="Calibri"/>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EEF" w:sz="4" w:space="6"/>
      </w:pBdr>
      <w:spacing w:after="200"/>
    </w:pPr>
    <w:r>
      <w:rPr>
        <w:rFonts w:ascii="Calibri" w:cs="Calibri" w:eastAsia="Calibri" w:hAnsi="Calibri"/>
        <w:color w:val="4A5568"/>
        <w:sz w:val="16"/>
        <w:szCs w:val="16"/>
      </w:rPr>
      <w:t xml:space="preserve">Assumption Control Profile for Cameo / MSOSA   ·   Draft B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431"/>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Assumption Control Profile for Cameo / MSOSA</dc:title>
  <dc:creator>Draft guidance</dc:creator>
  <cp:lastModifiedBy>Un-named</cp:lastModifiedBy>
  <cp:revision>1</cp:revision>
  <dcterms:created xsi:type="dcterms:W3CDTF">2026-10-02T19:46:03.702Z</dcterms:created>
  <dcterms:modified xsi:type="dcterms:W3CDTF">2026-10-02T19:46:03.703Z</dcterms:modified>
</cp:coreProperties>
</file>

<file path=docProps/custom.xml><?xml version="1.0" encoding="utf-8"?>
<Properties xmlns="http://schemas.openxmlformats.org/officeDocument/2006/custom-properties" xmlns:vt="http://schemas.openxmlformats.org/officeDocument/2006/docPropsVTypes"/>
</file>