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9A4A1F"/>
          <w:spacing w:val="30"/>
          <w:sz w:val="18"/>
          <w:szCs w:val="18"/>
        </w:rPr>
        <w:t xml:space="preserve">[COMPANY]  ·  CONFIGURATION MANAGEMENT</w:t>
      </w:r>
    </w:p>
    <w:p>
      <w:pPr>
        <w:spacing w:after="200"/>
      </w:pPr>
      <w:r>
        <w:rPr>
          <w:b/>
          <w:bCs/>
          <w:color w:val="1F3A5F"/>
          <w:sz w:val="56"/>
          <w:szCs w:val="56"/>
        </w:rPr>
        <w:t xml:space="preserve">Nonconformance and Variance</w:t>
      </w:r>
    </w:p>
    <w:p>
      <w:pPr>
        <w:spacing w:after="400"/>
      </w:pPr>
      <w:r>
        <w:rPr>
          <w:color w:val="5C6D78"/>
          <w:sz w:val="32"/>
          <w:szCs w:val="32"/>
        </w:rPr>
        <w:t xml:space="preserve">A guide to the process, with best practice</w:t>
      </w:r>
    </w:p>
    <w:p>
      <w:pPr>
        <w:pBdr>
          <w:top w:val="single" w:color="BFC8CF" w:sz="6" w:space="8"/>
        </w:pBdr>
        <w:spacing w:after="120"/>
      </w:pPr>
      <w:r>
        <w:rPr>
          <w:b/>
          <w:bCs/>
        </w:rPr>
        <w:t xml:space="preserve">For:</w:t>
      </w:r>
      <w:r>
        <w:t xml:space="preserve"> CM engineers, CM specialists, and the Quality, engineering, and manufacturing staff who work with them.</w:t>
      </w:r>
    </w:p>
    <w:p>
      <w:pPr>
        <w:spacing w:after="140"/>
      </w:pPr>
      <w:r>
        <w:rPr>
          <w:b/>
          <w:bCs/>
        </w:rPr>
        <w:t xml:space="preserve">Status:</w:t>
      </w:r>
      <w:r>
        <w:t xml:space="preserve"> Guidance document. Written against the draft nonconformance and variance process. Confirm it against the released version.</w:t>
      </w:r>
    </w:p>
    <w:p>
      <w:pPr>
        <w:spacing w:after="140"/>
      </w:pPr>
      <w:r>
        <w:rPr>
          <w:b/>
          <w:bCs/>
        </w:rPr>
        <w:t xml:space="preserve">Date:</w:t>
      </w:r>
      <w:r>
        <w:t xml:space="preserve"> October 2, 2026</w:t>
      </w:r>
    </w:p>
    <w:p>
      <w:r>
        <w:br w:type="page"/>
      </w:r>
    </w:p>
    <w:p>
      <w:pPr>
        <w:spacing w:after="160"/>
      </w:pPr>
      <w:r>
        <w:rPr>
          <w:b/>
          <w:bCs/>
          <w:color w:val="1F3A5F"/>
          <w:sz w:val="30"/>
          <w:szCs w:val="30"/>
        </w:rPr>
        <w:t xml:space="preserve">Contents</w:t>
      </w:r>
    </w:p>
    <w:p>
      <w:pPr>
        <w:spacing w:after="90"/>
      </w:pPr>
      <w:r>
        <w:rPr>
          <w:sz w:val="22"/>
          <w:szCs w:val="22"/>
        </w:rPr>
        <w:t xml:space="preserve">1. About this guide</w:t>
      </w:r>
    </w:p>
    <w:p>
      <w:pPr>
        <w:spacing w:after="90"/>
      </w:pPr>
      <w:r>
        <w:rPr>
          <w:sz w:val="22"/>
          <w:szCs w:val="22"/>
        </w:rPr>
        <w:t xml:space="preserve">2. The problem this process solves</w:t>
      </w:r>
    </w:p>
    <w:p>
      <w:pPr>
        <w:spacing w:after="90"/>
      </w:pPr>
      <w:r>
        <w:rPr>
          <w:sz w:val="22"/>
          <w:szCs w:val="22"/>
        </w:rPr>
        <w:t xml:space="preserve">3. Key terms</w:t>
      </w:r>
    </w:p>
    <w:p>
      <w:pPr>
        <w:spacing w:after="90"/>
      </w:pPr>
      <w:r>
        <w:rPr>
          <w:sz w:val="22"/>
          <w:szCs w:val="22"/>
        </w:rPr>
        <w:t xml:space="preserve">4. Who does what</w:t>
      </w:r>
    </w:p>
    <w:p>
      <w:pPr>
        <w:spacing w:after="90"/>
      </w:pPr>
      <w:r>
        <w:rPr>
          <w:sz w:val="22"/>
          <w:szCs w:val="22"/>
        </w:rPr>
        <w:t xml:space="preserve">5. The process from start to finish</w:t>
      </w:r>
    </w:p>
    <w:p>
      <w:pPr>
        <w:spacing w:after="90"/>
      </w:pPr>
      <w:r>
        <w:rPr>
          <w:sz w:val="22"/>
          <w:szCs w:val="22"/>
        </w:rPr>
        <w:t xml:space="preserve">6. Identification by Quality</w:t>
      </w:r>
    </w:p>
    <w:p>
      <w:pPr>
        <w:spacing w:after="90"/>
      </w:pPr>
      <w:r>
        <w:rPr>
          <w:sz w:val="22"/>
          <w:szCs w:val="22"/>
        </w:rPr>
        <w:t xml:space="preserve">7. Disposition and the trigger rule</w:t>
      </w:r>
    </w:p>
    <w:p>
      <w:pPr>
        <w:spacing w:after="90"/>
      </w:pPr>
      <w:r>
        <w:rPr>
          <w:sz w:val="22"/>
          <w:szCs w:val="22"/>
        </w:rPr>
        <w:t xml:space="preserve">8. What the MRB documents</w:t>
      </w:r>
    </w:p>
    <w:p>
      <w:pPr>
        <w:spacing w:after="90"/>
      </w:pPr>
      <w:r>
        <w:rPr>
          <w:sz w:val="22"/>
          <w:szCs w:val="22"/>
        </w:rPr>
        <w:t xml:space="preserve">9. Classification</w:t>
      </w:r>
    </w:p>
    <w:p>
      <w:pPr>
        <w:spacing w:after="90"/>
      </w:pPr>
      <w:r>
        <w:rPr>
          <w:sz w:val="22"/>
          <w:szCs w:val="22"/>
        </w:rPr>
        <w:t xml:space="preserve">10. Authority, submission, and the controlled record</w:t>
      </w:r>
    </w:p>
    <w:p>
      <w:pPr>
        <w:spacing w:after="90"/>
      </w:pPr>
      <w:r>
        <w:rPr>
          <w:sz w:val="22"/>
          <w:szCs w:val="22"/>
        </w:rPr>
        <w:t xml:space="preserve">11. Where CM's authority stops</w:t>
      </w:r>
    </w:p>
    <w:p>
      <w:pPr>
        <w:spacing w:after="90"/>
      </w:pPr>
      <w:r>
        <w:rPr>
          <w:sz w:val="22"/>
          <w:szCs w:val="22"/>
        </w:rPr>
        <w:t xml:space="preserve">12. CM's check at CSA acceptance</w:t>
      </w:r>
    </w:p>
    <w:p>
      <w:pPr>
        <w:spacing w:after="90"/>
      </w:pPr>
      <w:r>
        <w:rPr>
          <w:sz w:val="22"/>
          <w:szCs w:val="22"/>
        </w:rPr>
        <w:t xml:space="preserve">13. Recording, recurrence, and closure</w:t>
      </w:r>
    </w:p>
    <w:p>
      <w:pPr>
        <w:spacing w:after="90"/>
      </w:pPr>
      <w:r>
        <w:rPr>
          <w:sz w:val="22"/>
          <w:szCs w:val="22"/>
        </w:rPr>
        <w:t xml:space="preserve">14. The safety management system interface</w:t>
      </w:r>
    </w:p>
    <w:p>
      <w:pPr>
        <w:spacing w:after="90"/>
      </w:pPr>
      <w:r>
        <w:rPr>
          <w:sz w:val="22"/>
          <w:szCs w:val="22"/>
        </w:rPr>
        <w:t xml:space="preserve">15. What the contract decides</w:t>
      </w:r>
    </w:p>
    <w:p>
      <w:pPr>
        <w:spacing w:after="90"/>
      </w:pPr>
      <w:r>
        <w:rPr>
          <w:sz w:val="22"/>
          <w:szCs w:val="22"/>
        </w:rPr>
        <w:t xml:space="preserve">16. Best practice</w:t>
      </w:r>
    </w:p>
    <w:p>
      <w:pPr>
        <w:spacing w:after="90"/>
      </w:pPr>
      <w:r>
        <w:rPr>
          <w:sz w:val="22"/>
          <w:szCs w:val="22"/>
        </w:rPr>
        <w:t xml:space="preserve">17. Common mistakes</w:t>
      </w:r>
    </w:p>
    <w:p>
      <w:pPr>
        <w:spacing w:after="90"/>
      </w:pPr>
      <w:r>
        <w:rPr>
          <w:sz w:val="22"/>
          <w:szCs w:val="22"/>
        </w:rPr>
        <w:t xml:space="preserve">18. Quick reference</w:t>
      </w:r>
    </w:p>
    <w:p>
      <w:pPr>
        <w:spacing w:after="90"/>
      </w:pPr>
      <w:r>
        <w:rPr>
          <w:sz w:val="22"/>
          <w:szCs w:val="22"/>
        </w:rPr>
        <w:t xml:space="preserve">Appendix A. CM obligations</w:t>
      </w:r>
    </w:p>
    <w:p>
      <w:pPr>
        <w:spacing w:after="90"/>
      </w:pPr>
      <w:r>
        <w:rPr>
          <w:sz w:val="22"/>
          <w:szCs w:val="22"/>
        </w:rPr>
        <w:t xml:space="preserve">Appendix B. References</w:t>
      </w:r>
    </w:p>
    <w:p>
      <w:r>
        <w:br w:type="page"/>
      </w:r>
    </w:p>
    <w:p>
      <w:pPr>
        <w:pStyle w:val="Heading1"/>
      </w:pPr>
      <w:r>
        <w:t xml:space="preserve">1. About this guide</w:t>
      </w:r>
    </w:p>
    <w:p>
      <w:pPr>
        <w:spacing w:after="140"/>
      </w:pPr>
      <w:r>
        <w:t xml:space="preserve">This guide explains the nonconformance and variance process. It covers what happens when a part does not match its definition. It covers who decides what. And it covers how that decision becomes a controlled record.</w:t>
      </w:r>
    </w:p>
    <w:p>
      <w:pPr>
        <w:spacing w:after="140"/>
      </w:pPr>
      <w:r>
        <w:t xml:space="preserve">The guide is written for two readers. CM engineers can read a drawing and judge a departure. CM specialists may never open a drawing. Both have the same job in this process. They control the record.</w:t>
      </w:r>
    </w:p>
    <w:p>
      <w:pPr>
        <w:spacing w:after="140"/>
      </w:pPr>
      <w:r>
        <w:t xml:space="preserve">The guide explains the process. It does not replace it. Where this guide and the released process differ, the process governs. Where the process and the contract differ, the contract governs.</w:t>
      </w:r>
    </w:p>
    <w:p>
      <w:pPr>
        <w:spacing w:after="140"/>
      </w:pPr>
      <w:r>
        <w:t xml:space="preserve">Technical definitions are quoted exactly, with their source. They are not simplified. The plain explanation sits around them.</w:t>
      </w:r>
    </w:p>
    <w:p>
      <w:pPr>
        <w:pStyle w:val="Heading2"/>
      </w:pPr>
      <w:r>
        <w:t xml:space="preserve">The standards behind the process</w:t>
      </w:r>
    </w:p>
    <w:p>
      <w:pPr>
        <w:spacing w:after="140"/>
      </w:pPr>
      <w:r>
        <w:t xml:space="preserve">The process rests on two industry documents.</w:t>
      </w:r>
    </w:p>
    <w:p>
      <w:pPr>
        <w:pStyle w:val="ListParagraph"/>
        <w:numPr>
          <w:ilvl w:val="0"/>
          <w:numId w:val="2"/>
        </w:numPr>
        <w:spacing w:after="80"/>
      </w:pPr>
      <w:r>
        <w:rPr>
          <w:b/>
          <w:bCs/>
        </w:rPr>
        <w:t xml:space="preserve">EIA-649-1A</w:t>
      </w:r>
      <w:r>
        <w:t xml:space="preserve"> sets configuration management requirements for defense contracts. The process takes its definitions, its classification criteria, and its status accounting duties from it.</w:t>
      </w:r>
    </w:p>
    <w:p>
      <w:pPr>
        <w:pStyle w:val="ListParagraph"/>
        <w:numPr>
          <w:ilvl w:val="0"/>
          <w:numId w:val="2"/>
        </w:numPr>
        <w:spacing w:after="80"/>
      </w:pPr>
      <w:r>
        <w:rPr>
          <w:b/>
          <w:bCs/>
        </w:rPr>
        <w:t xml:space="preserve">GEIA-HB-649A</w:t>
      </w:r>
      <w:r>
        <w:t xml:space="preserve"> is a configuration management implementation handbook. The process takes its guidance on variance identifiers, variance content, effectivity, and closure from it.</w:t>
      </w:r>
    </w:p>
    <w:p>
      <w:pPr>
        <w:spacing w:after="140"/>
      </w:pPr>
      <w:r>
        <w:t xml:space="preserve">The safety interface also draws on two aerospace standards: AS9131 for nonconformance data, and NAS9927 for safety management. Section 14 explains where.</w:t>
      </w:r>
    </w:p>
    <w:p>
      <w:pPr>
        <w:pStyle w:val="Heading1"/>
      </w:pPr>
      <w:r>
        <w:t xml:space="preserve">2. The problem this process solves</w:t>
      </w:r>
    </w:p>
    <w:p>
      <w:pPr>
        <w:spacing w:after="140"/>
      </w:pPr>
      <w:r>
        <w:t xml:space="preserve">Start with a part. A machined bracket comes off the mill. Its drawing puts a fastener hole 12.00 mm from edge A, plus or minus 0.10 mm. An inspector measures 12.40 mm.</w:t>
      </w:r>
    </w:p>
    <w:p>
      <w:pPr>
        <w:spacing w:after="140"/>
      </w:pPr>
      <w:r>
        <w:t xml:space="preserve">The bracket does not match its definition. Three questions follow.</w:t>
      </w:r>
    </w:p>
    <w:p>
      <w:pPr>
        <w:pStyle w:val="ListParagraph"/>
        <w:numPr>
          <w:ilvl w:val="0"/>
          <w:numId w:val="3"/>
        </w:numPr>
        <w:spacing w:after="80"/>
      </w:pPr>
      <w:r>
        <w:t xml:space="preserve">What happens to this bracket?</w:t>
      </w:r>
    </w:p>
    <w:p>
      <w:pPr>
        <w:pStyle w:val="ListParagraph"/>
        <w:numPr>
          <w:ilvl w:val="0"/>
          <w:numId w:val="3"/>
        </w:numPr>
        <w:spacing w:after="80"/>
      </w:pPr>
      <w:r>
        <w:t xml:space="preserve">Who decides?</w:t>
      </w:r>
    </w:p>
    <w:p>
      <w:pPr>
        <w:pStyle w:val="ListParagraph"/>
        <w:numPr>
          <w:ilvl w:val="0"/>
          <w:numId w:val="3"/>
        </w:numPr>
        <w:spacing w:after="80"/>
      </w:pPr>
      <w:r>
        <w:t xml:space="preserve">What record proves the decision was made by the right people, for the right units, under the right authority?</w:t>
      </w:r>
    </w:p>
    <w:p>
      <w:pPr>
        <w:spacing w:after="140"/>
      </w:pPr>
      <w:r>
        <w:t xml:space="preserve">This process answers all three. It runs from the moment Quality finds the problem to the moment the record is closed.</w:t>
      </w:r>
    </w:p>
    <w:p>
      <w:pPr>
        <w:keepNext w:val="false"/>
        <w:pBdr>
          <w:left w:val="single" w:color="9A4A1F" w:sz="24" w:space="10"/>
        </w:pBdr>
        <w:shd w:fill="EEF2F5" w:color="auto" w:val="clear"/>
        <w:spacing w:after="200" w:before="120"/>
        <w:ind w:left="200" w:right="200"/>
      </w:pPr>
      <w:r>
        <w:rPr>
          <w:b/>
          <w:bCs/>
        </w:rPr>
        <w:t xml:space="preserve">Every departure from the approved definition gets a decision, a record, and the right authority.</w:t>
      </w:r>
    </w:p>
    <w:p>
      <w:pPr>
        <w:spacing w:after="140"/>
      </w:pPr>
      <w:r>
        <w:t xml:space="preserve">The rest of this guide uses the bracket as a running example.</w:t>
      </w:r>
    </w:p>
    <w:p>
      <w:pPr>
        <w:pStyle w:val="Heading1"/>
      </w:pPr>
      <w:r>
        <w:t xml:space="preserve">3. Key terms</w:t>
      </w:r>
    </w:p>
    <w:p>
      <w:pPr>
        <w:spacing w:after="140"/>
      </w:pPr>
      <w:r>
        <w:t xml:space="preserve">These terms carry exact meanings. Use them exactly. Do not swap in synonyms. A nonconformance is not a variance, and a repair is not a rework.</w:t>
      </w:r>
    </w:p>
    <w:p>
      <w:pPr>
        <w:pStyle w:val="Heading2"/>
      </w:pPr>
      <w:r>
        <w:t xml:space="preserve">The product and its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8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Product definition information</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Information that defines the product's requirements, documents the product attributes, including the process information and is the authoritative source for configuration management of the product.</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baseline</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of a product, at a specific point in time, which serves as a basis for defining change, for conducting verifications and for other management activities.</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Item (CI)</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product or an aggregation of products (hardware, software, firmware, or documentation) that accomplishes an end-use function, is under separate configuration control and is designated for configuration management control.</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management (CM)</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is a technical and management process, which establishes and maintains consistency between the product requirements, the product configuration information, and the product itself. Configuration management process will identify, control, record, and verify the product requirements are met, the product configuration information is clear, complete, and accurate, and that the product itself is consistent with the product configuration information.</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Status Accounting (CSA)</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CM function that formalizes the recording and reporting of the established product configuration information (including historical information), the status of proposed changes, and the implementation of approved changes and changes occurring to product units due to operation and maintenance. CSA implementation includes assurances that the information is current, accurate, and retrievable.</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bl>
    <w:p>
      <w:pPr>
        <w:spacing w:after="120"/>
      </w:pPr>
    </w:p>
    <w:p>
      <w:pPr>
        <w:spacing w:after="140"/>
      </w:pPr>
      <w:r>
        <w:t xml:space="preserve">Notice the words </w:t>
      </w:r>
      <w:r>
        <w:rPr>
          <w:i/>
          <w:iCs/>
        </w:rPr>
        <w:t xml:space="preserve">authoritative source</w:t>
      </w:r>
      <w:r>
        <w:t xml:space="preserve">. When the part and its definition disagree, the definition wins. The part is the thing that is wrong.</w:t>
      </w:r>
    </w:p>
    <w:p>
      <w:pPr>
        <w:spacing w:after="140"/>
      </w:pPr>
      <w:r>
        <w:t xml:space="preserve">Notice the four verbs in the CM definition: </w:t>
      </w:r>
      <w:r>
        <w:rPr>
          <w:b/>
          <w:bCs/>
        </w:rPr>
        <w:t xml:space="preserve">identify, control, record, verify.</w:t>
      </w:r>
      <w:r>
        <w:t xml:space="preserve"> In this process, everything CM does is one of those four verbs. Judging a part is not one of them.</w:t>
      </w:r>
    </w:p>
    <w:p>
      <w:pPr>
        <w:pStyle w:val="Heading2"/>
      </w:pPr>
      <w:r>
        <w:t xml:space="preserve">The problem and the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8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Nonconformance</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condition of product or material that departs from approved product definition information or does not meet baseline requirements. The condition, not a document.</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GEIA-HB-649A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Nonconformance Record (NCR)</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record documenting an identified nonconformance. Not itself a variance.</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Variance</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Authorization for a nonconforming product to depart from baseline requirements for a specific unit, number of units, or period of time, without revising the product definition information.</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GEIA-HB-649A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Request for Variance (RFV)</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information by which a supplier requests permission to depart from product definition requirements for a specific unit, number of units, or time period, without baseline revision. The standard explicitly states this does not require the use of a form.</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EIA-649-1A and GEIA-HB-649A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Effectivity</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designation, defining the product range e.g., serial numbers, block numbers, batch numbers, lot numbers, model, dates or event, at which a specific product configuration applies, a change is to be or has been affected, or to which a variance applies.</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(Critical / Major / Minor)</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Categorization of a variance by the severity of the nonconformance's impact on the product and its requirements.</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GEIA-HB-649A</w:t>
            </w:r>
          </w:p>
        </w:tc>
      </w:tr>
    </w:tbl>
    <w:p>
      <w:pPr>
        <w:spacing w:after="120"/>
      </w:pPr>
    </w:p>
    <w:p>
      <w:pPr>
        <w:spacing w:after="140"/>
      </w:pPr>
      <w:r>
        <w:t xml:space="preserve">The nonconformance is the hole. The NCR is the record that says the hole is wrong. An NCR authorizes nothing. It records that a problem exists.</w:t>
      </w:r>
    </w:p>
    <w:p>
      <w:pPr>
        <w:spacing w:after="140"/>
      </w:pPr>
      <w:r>
        <w:t xml:space="preserve">A variance is different from a change. A change revises the definition for every unit that follows. A variance leaves the definition alone and excuses named units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p>
        </w:tc>
        <w:tc>
          <w:tcPr>
            <w:tcW w:type="dxa" w:w="363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Variance</w:t>
            </w:r>
          </w:p>
        </w:tc>
        <w:tc>
          <w:tcPr>
            <w:tcW w:type="dxa" w:w="363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Change</w:t>
            </w:r>
          </w:p>
        </w:tc>
      </w:tr>
      <w:tr>
        <w:trPr>
          <w:cantSplit/>
        </w:trPr>
        <w:tc>
          <w:tcPr>
            <w:tcW w:type="dxa" w:w="2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What it alters</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Nothing in the definition. It authorizes named units to depart.</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definition itself. The drawing or specification is revised.</w:t>
            </w:r>
          </w:p>
        </w:tc>
      </w:tr>
      <w:tr>
        <w:trPr>
          <w:cantSplit/>
        </w:trPr>
        <w:tc>
          <w:tcPr>
            <w:tcW w:type="dxa" w:w="2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Units covered</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specific unit, number of units, or period of time</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Every unit built to the new revision</w:t>
            </w:r>
          </w:p>
        </w:tc>
      </w:tr>
      <w:tr>
        <w:trPr>
          <w:cantSplit/>
        </w:trPr>
        <w:tc>
          <w:tcPr>
            <w:tcW w:type="dxa" w:w="2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Bracket example</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Serial 0112 is accepted with its hole at 12.40 mm.</w:t>
            </w:r>
          </w:p>
        </w:tc>
        <w:tc>
          <w:tcPr>
            <w:tcW w:type="dxa" w:w="363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drawing tolerance is opened to plus or minus 0.50 mm.</w:t>
            </w:r>
          </w:p>
        </w:tc>
      </w:tr>
    </w:tbl>
    <w:p>
      <w:pPr>
        <w:spacing w:after="120"/>
      </w:pPr>
    </w:p>
    <w:p>
      <w:pPr>
        <w:spacing w:after="140"/>
      </w:pPr>
      <w:r>
        <w:t xml:space="preserve">The RFV is information, not a form. Section 10 shows why that matters.</w:t>
      </w:r>
    </w:p>
    <w:p>
      <w:pPr>
        <w:pStyle w:val="Heading2"/>
      </w:pPr>
      <w:r>
        <w:t xml:space="preserve">The four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8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Rework</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procedure applied to a nonconformance that will completely eliminate it and result in a product that conforms completely to the drawings, specifications, or contract requirements. The Supplier must disclose that the rework occurred when outside the normal process to manufacture the part.</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Repair</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procedure which reduces but does not completely eliminate a nonconformance from a CI and which has been reviewed, concurred, and approved for use by the Acquirer. The purpose of repair is to reduce the effect of the nonconformance. Repair is distinguished from rework in that the characteristic after repair still does not completely conform to the applicable drawings, specifications, or contract requirements. Unique configuration identification must be applied to repaired items.</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GEIA-HB-649A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Use-as-is (UAI)</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accepting the nonconforming product without rework or repair, justified as not impacting approved requirements and interfaces.</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GEIA-HB-649A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Scrap</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removing the nonconforming product from use.</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after GEIA-HB-649A</w:t>
            </w:r>
          </w:p>
        </w:tc>
      </w:tr>
    </w:tbl>
    <w:p>
      <w:pPr>
        <w:spacing w:after="120"/>
      </w:pPr>
    </w:p>
    <w:p>
      <w:pPr>
        <w:pStyle w:val="Heading2"/>
      </w:pPr>
      <w:r>
        <w:t xml:space="preserve">The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8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Material Review Board (MRB)</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Supplier's multi-disciplined board, composed of personnel representing, at a minimum, quality (lead), engineering, and manufacturing/production representatives, identified by position, who determine and recommend approval or disapproval of proposed dispositions for nonconforming material or services (when such authority has been delegated to them), or who recommend submittal of ECPs or RFVs for Acquiring Activity disposition.</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Acquirer</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An individual or enterprise that (1) commissions the engineering, design, manufacturing, production, or maintenance of a product; (2) is a prospective purchaser of the end products of a system or a portion thereof; (3) is a procurer of the product; (4) is a user or consumer of the product; or (5) is an obtainer of output service or product.</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Acquirer's designated representative</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party (e.g., DCMA) authorized by the Acquirer to disposition or concur on variances per contract.</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control board (CCB)</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chartered board composed of technical and administrative representatives who recommend approval, defer with comments to be adjudicated, or disapproval of proposed engineering changes and variances to a configuration item's current approved and baselined configuration documentation.</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Engineering change proposal (ECP)</w:t>
            </w:r>
          </w:p>
        </w:tc>
        <w:tc>
          <w:tcPr>
            <w:tcW w:type="dxa" w:w="58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proposed engineering change to the product and/or its configuration documentation, by which the change is described, justified, and submitted to a Configuration Approval Authority for approval/disapproval or deferral.</w:t>
            </w:r>
          </w:p>
        </w:tc>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EIA-649-1A</w:t>
            </w:r>
          </w:p>
        </w:tc>
      </w:tr>
    </w:tbl>
    <w:p>
      <w:pPr>
        <w:spacing w:after="120"/>
      </w:pPr>
    </w:p>
    <w:p>
      <w:pPr>
        <w:spacing w:after="140"/>
      </w:pPr>
      <w:r>
        <w:t xml:space="preserve">DCMA is the Defense Contract Management Agency. On many defense contracts it acts at the supplier's plant as the Acquirer's designated representative. To </w:t>
      </w:r>
      <w:r>
        <w:rPr>
          <w:i/>
          <w:iCs/>
        </w:rPr>
        <w:t xml:space="preserve">disposition</w:t>
      </w:r>
      <w:r>
        <w:t xml:space="preserve"> a variance is to make the formal decision on it: approve or disapprove.</w:t>
      </w:r>
    </w:p>
    <w:p>
      <w:pPr>
        <w:pStyle w:val="Heading1"/>
      </w:pPr>
      <w:r>
        <w:t xml:space="preserve">4. Who does what</w:t>
      </w:r>
    </w:p>
    <w:p>
      <w:pPr>
        <w:spacing w:after="140"/>
      </w:pPr>
      <w:r>
        <w:t xml:space="preserve">Four parties act in this process. Each owns a different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Party</w:t>
            </w:r>
          </w:p>
        </w:tc>
        <w:tc>
          <w:tcPr>
            <w:tcW w:type="dxa" w:w="64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Owns</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w:t>
            </w:r>
          </w:p>
        </w:tc>
        <w:tc>
          <w:tcPr>
            <w:tcW w:type="dxa" w:w="6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Detecting, documenting, and segregating the nonconformance. Capturing effectivity and serial data. Verifying rework and corrective action.</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 (Quality lead, engineering, manufacturing)</w:t>
            </w:r>
          </w:p>
        </w:tc>
        <w:tc>
          <w:tcPr>
            <w:tcW w:type="dxa" w:w="6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Impact assessment. Disposition: rework, repair, use-as-is, or scrap. Classification: minor, major, or critical. For minors, direct submission.</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w:t>
            </w:r>
          </w:p>
        </w:tc>
        <w:tc>
          <w:tcPr>
            <w:tcW w:type="dxa" w:w="6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Configuration control of the variance as a record: identifier integrity, CSA legitimacy, effectivity control, recurrence and trend analysis, and closure. CM does not classify, and does not re-adjudicate MRB classifications.</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Acquirer or its designated representative (for example, DCMA)</w:t>
            </w:r>
          </w:p>
        </w:tc>
        <w:tc>
          <w:tcPr>
            <w:tcW w:type="dxa" w:w="6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authority, according to the classification and the contract.</w:t>
            </w:r>
          </w:p>
        </w:tc>
      </w:tr>
    </w:tbl>
    <w:p>
      <w:pPr>
        <w:spacing w:after="120"/>
      </w:pPr>
    </w:p>
    <w:p>
      <w:pPr>
        <w:spacing w:after="140"/>
      </w:pPr>
      <w:r>
        <w:t xml:space="preserve">Read the MRB membership again. Quality leads. Engineering and manufacturing sit with it. CM is not a defined member. That fact underlies Section 11.</w:t>
      </w:r>
    </w:p>
    <w:p>
      <w:pPr>
        <w:pStyle w:val="Heading2"/>
      </w:pPr>
      <w:r>
        <w:t xml:space="preserve">The principle</w:t>
      </w:r>
    </w:p>
    <w:p>
      <w:pPr>
        <w:spacing w:after="140"/>
      </w:pPr>
      <w:r>
        <w:t xml:space="preserve">One principle organizes the whole process.</w:t>
      </w:r>
    </w:p>
    <w:p>
      <w:pPr>
        <w:keepNext/>
        <w:pBdr>
          <w:left w:val="single" w:color="9A4A1F" w:sz="24" w:space="10"/>
        </w:pBdr>
        <w:shd w:fill="EEF2F5" w:color="auto" w:val="clear"/>
        <w:spacing w:after="80" w:before="120"/>
        <w:ind w:left="200" w:right="200"/>
      </w:pPr>
      <w:r>
        <w:rPr>
          <w:b/>
          <w:bCs/>
        </w:rPr>
        <w:t xml:space="preserve">The MRB decides the technical fate of the part and its classification. CM owns the variance as a controlled configuration record.</w:t>
      </w:r>
    </w:p>
    <w:p>
      <w:pPr>
        <w:keepNext w:val="false"/>
        <w:pBdr>
          <w:left w:val="single" w:color="9A4A1F" w:sz="24" w:space="10"/>
        </w:pBdr>
        <w:shd w:fill="EEF2F5" w:color="auto" w:val="clear"/>
        <w:spacing w:after="200" w:before="0"/>
        <w:ind w:left="200" w:right="200"/>
      </w:pPr>
      <w:r>
        <w:t xml:space="preserve">The tool carries the CM control, so neither delivery nor traceability depends on a CM person in the loop.</w:t>
      </w:r>
    </w:p>
    <w:p>
      <w:pPr>
        <w:spacing w:after="140"/>
      </w:pPr>
      <w:r>
        <w:t xml:space="preserve">The technical fate is an engineering and quality question. Is the bracket reworked, repaired, used as is, or scrapped? How severe is the departure? The board with engineering and quality members decides.</w:t>
      </w:r>
    </w:p>
    <w:p>
      <w:pPr>
        <w:spacing w:after="140"/>
      </w:pPr>
      <w:r>
        <w:t xml:space="preserve">The controlled record is a CM question. Does the variance have one identifier? Is its effectivity right? Can it be found, reported, and trended for the life of the product? Is it closed when its reason ends? CM decides.</w:t>
      </w:r>
    </w:p>
    <w:p>
      <w:pPr>
        <w:spacing w:after="140"/>
      </w:pPr>
      <w:r>
        <w:t xml:space="preserve">The tool is the delivery mechanism. The NCR tool assigns the identifier and feeds the CM record system automatically. No CM person hand-carries each record. CM defines and polices the controls the tool applies.</w:t>
      </w:r>
    </w:p>
    <w:p>
      <w:pPr>
        <w:pStyle w:val="Heading1"/>
      </w:pPr>
      <w:r>
        <w:t xml:space="preserve">5. The process from start to finish</w:t>
      </w:r>
    </w:p>
    <w:p>
      <w:pPr>
        <w:spacing w:after="140"/>
      </w:pPr>
      <w:r>
        <w:t xml:space="preserve">Here is the whole path in one view. The sections that follow take each stage in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60"/>
        <w:gridCol w:w="2300"/>
      </w:tblGrid>
      <w:tr>
        <w:trPr>
          <w:tblHeader/>
        </w:trPr>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Stage</w:t>
            </w:r>
          </w:p>
        </w:tc>
        <w:tc>
          <w:tcPr>
            <w:tcW w:type="dxa" w:w="19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Owner</w:t>
            </w:r>
          </w:p>
        </w:tc>
        <w:tc>
          <w:tcPr>
            <w:tcW w:type="dxa" w:w="36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happens</w:t>
            </w:r>
          </w:p>
        </w:tc>
        <w:tc>
          <w:tcPr>
            <w:tcW w:type="dxa" w:w="23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Output</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Identify</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Finds the departure, opens the NCR, segregates and tags the part, captures the facts, routes to the MRB</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NCR with a tool-assigned identifier, fed to CSA</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Evaluate and disposition</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Assesses impact and decides rework, repair, use-as-is, or scrap</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Only when a variance is required. Judges critical, major, or minor</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with its basis</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Submit or record</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 for minors; CM for majors and criticals</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Sends the controlled record where the classification and contract require</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Submission, or a recorded variance</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Accept into CSA</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Verifies the record. For minors, applies the acceptance check and the release hold</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Accepted, returned, or escalated record</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Correct</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 and MRB</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Executes and verifies corrective action</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Verified corrective action</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Watch for recurrence</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Flags recurring variances and trends</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Trend reports and escalations</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Close and retain</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w:t>
            </w:r>
          </w:p>
        </w:tc>
        <w:tc>
          <w:tcPr>
            <w:tcW w:type="dxa" w:w="36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Closes on compliance or an approved ECP; keeps the record for life</w:t>
            </w:r>
          </w:p>
        </w:tc>
        <w:tc>
          <w:tcPr>
            <w:tcW w:type="dxa" w:w="23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Closed variance, retained in CSA</w:t>
            </w:r>
          </w:p>
        </w:tc>
      </w:tr>
    </w:tbl>
    <w:p>
      <w:pPr>
        <w:spacing w:after="120"/>
      </w:pPr>
    </w:p>
    <w:p>
      <w:pPr>
        <w:pStyle w:val="Heading1"/>
      </w:pPr>
      <w:r>
        <w:t xml:space="preserve">6. Identification by Quality</w:t>
      </w:r>
    </w:p>
    <w:p>
      <w:pPr>
        <w:spacing w:after="140"/>
      </w:pPr>
      <w:r>
        <w:t xml:space="preserve">The inspector has found the bracket hole out of position on serials 0108 through 0115. Quality now does five things.</w:t>
      </w:r>
    </w:p>
    <w:p>
      <w:pPr>
        <w:pStyle w:val="ListParagraph"/>
        <w:numPr>
          <w:ilvl w:val="0"/>
          <w:numId w:val="4"/>
        </w:numPr>
        <w:spacing w:after="80"/>
      </w:pPr>
      <w:r>
        <w:rPr>
          <w:b/>
          <w:bCs/>
        </w:rPr>
        <w:t xml:space="preserve">Open the NCR.</w:t>
      </w:r>
      <w:r>
        <w:t xml:space="preserve"> Quality identifies the departure from approved product definition or baseline requirements and creates the NCR.</w:t>
      </w:r>
    </w:p>
    <w:p>
      <w:pPr>
        <w:pStyle w:val="ListParagraph"/>
        <w:numPr>
          <w:ilvl w:val="0"/>
          <w:numId w:val="4"/>
        </w:numPr>
        <w:spacing w:after="80"/>
      </w:pPr>
      <w:r>
        <w:rPr>
          <w:b/>
          <w:bCs/>
        </w:rPr>
        <w:t xml:space="preserve">Segregate and tag.</w:t>
      </w:r>
      <w:r>
        <w:t xml:space="preserve"> Quality separates the affected parts and tags them. Nobody can install or ship them by mistake.</w:t>
      </w:r>
    </w:p>
    <w:p>
      <w:pPr>
        <w:pStyle w:val="ListParagraph"/>
        <w:numPr>
          <w:ilvl w:val="0"/>
          <w:numId w:val="4"/>
        </w:numPr>
        <w:spacing w:after="80"/>
      </w:pPr>
      <w:r>
        <w:rPr>
          <w:b/>
          <w:bCs/>
        </w:rPr>
        <w:t xml:space="preserve">Capture the facts.</w:t>
      </w:r>
      <w:r>
        <w:t xml:space="preserve"> Quality records the part number, the affected CI or component, the serial or lot effectivity, the quantity affected, the requirement or requirements departed from, and the as-found condition.</w:t>
      </w:r>
    </w:p>
    <w:p>
      <w:pPr>
        <w:pStyle w:val="ListParagraph"/>
        <w:numPr>
          <w:ilvl w:val="0"/>
          <w:numId w:val="4"/>
        </w:numPr>
        <w:spacing w:after="80"/>
      </w:pPr>
      <w:r>
        <w:rPr>
          <w:b/>
          <w:bCs/>
        </w:rPr>
        <w:t xml:space="preserve">Let the tool assign and feed.</w:t>
      </w:r>
      <w:r>
        <w:t xml:space="preserve"> The NCR tool assigns the unique variance record identifier and feeds CSA automatically.</w:t>
      </w:r>
    </w:p>
    <w:p>
      <w:pPr>
        <w:pStyle w:val="ListParagraph"/>
        <w:numPr>
          <w:ilvl w:val="0"/>
          <w:numId w:val="4"/>
        </w:numPr>
        <w:spacing w:after="80"/>
      </w:pPr>
      <w:r>
        <w:rPr>
          <w:b/>
          <w:bCs/>
        </w:rPr>
        <w:t xml:space="preserve">Route to the MRB.</w:t>
      </w:r>
      <w:r>
        <w:t xml:space="preserve"> Quality sends the NCR to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Field</w:t>
            </w:r>
          </w:p>
        </w:tc>
        <w:tc>
          <w:tcPr>
            <w:tcW w:type="dxa" w:w="6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Bracket NCR</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Part number</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4471-203</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Affected CI or component</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Mounting bracket, landing light assembly</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Effectivity</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Serials 0108 through 0115</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Quantity affected</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8</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Requirement departed from</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Drawing 4471-203: hole position 12.00 ± 0.10 mm from edge A</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As-found condition</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Hole measured 12.35 to 12.42 mm from edge A</w:t>
            </w:r>
          </w:p>
        </w:tc>
      </w:tr>
    </w:tbl>
    <w:p>
      <w:pPr>
        <w:spacing w:after="120"/>
      </w:pPr>
    </w:p>
    <w:p>
      <w:pPr>
        <w:keepNext w:val="false"/>
        <w:pBdr>
          <w:left w:val="single" w:color="9A4A1F" w:sz="24" w:space="10"/>
        </w:pBdr>
        <w:shd w:fill="EEF2F5" w:color="auto" w:val="clear"/>
        <w:spacing w:after="200" w:before="120"/>
        <w:ind w:left="200" w:right="200"/>
      </w:pPr>
      <w:r>
        <w:rPr>
          <w:b/>
          <w:bCs/>
        </w:rPr>
        <w:t xml:space="preserve">An NCR is not yet a variance. Whether it becomes one is decided by the MRB.</w:t>
      </w:r>
    </w:p>
    <w:p>
      <w:pPr>
        <w:pStyle w:val="Heading1"/>
      </w:pPr>
      <w:r>
        <w:t xml:space="preserve">7. Disposition and the trigger rule</w:t>
      </w:r>
    </w:p>
    <w:p>
      <w:pPr>
        <w:spacing w:after="140"/>
      </w:pPr>
      <w:r>
        <w:t xml:space="preserve">The MRB does one combined review. It produces up to two outputs: a disposition and, if needed, a classification. Every NCR gets a disposition. Only some get a classification.</w:t>
      </w:r>
    </w:p>
    <w:p>
      <w:pPr>
        <w:pStyle w:val="Heading2"/>
      </w:pPr>
      <w:r>
        <w:t xml:space="preserve">The four dispositions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60"/>
        <w:gridCol w:w="2700"/>
      </w:tblGrid>
      <w:tr>
        <w:trPr>
          <w:tblHeader/>
        </w:trPr>
        <w:tc>
          <w:tcPr>
            <w:tcW w:type="dxa" w:w="17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Disposition</w:t>
            </w:r>
          </w:p>
        </w:tc>
        <w:tc>
          <w:tcPr>
            <w:tcW w:type="dxa" w:w="49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Example</w:t>
            </w:r>
          </w:p>
        </w:tc>
        <w:tc>
          <w:tcPr>
            <w:tcW w:type="dxa" w:w="27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Does the part conform afterward?</w:t>
            </w:r>
          </w:p>
        </w:tc>
      </w:tr>
      <w:tr>
        <w:trPr>
          <w:cantSplit/>
        </w:trPr>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Rework</w:t>
            </w:r>
          </w:p>
        </w:tc>
        <w:tc>
          <w:tcPr>
            <w:tcW w:type="dxa" w:w="4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shaft turned 0.06 mm oversize is ground to the drawing dimension.</w:t>
            </w:r>
          </w:p>
        </w:tc>
        <w:tc>
          <w:tcPr>
            <w:tcW w:type="dxa" w:w="2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Yes, completely.</w:t>
            </w:r>
          </w:p>
        </w:tc>
      </w:tr>
      <w:tr>
        <w:trPr>
          <w:cantSplit/>
        </w:trPr>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Repair</w:t>
            </w:r>
          </w:p>
        </w:tc>
        <w:tc>
          <w:tcPr>
            <w:tcW w:type="dxa" w:w="4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bracket hole out of position gets an approved bushing and a new hole. The drawing shows no bushing.</w:t>
            </w:r>
          </w:p>
        </w:tc>
        <w:tc>
          <w:tcPr>
            <w:tcW w:type="dxa" w:w="2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 It works, but it still does not fully conform.</w:t>
            </w:r>
          </w:p>
        </w:tc>
      </w:tr>
      <w:tr>
        <w:trPr>
          <w:cantSplit/>
        </w:trPr>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Use-as-is</w:t>
            </w:r>
          </w:p>
        </w:tc>
        <w:tc>
          <w:tcPr>
            <w:tcW w:type="dxa" w:w="4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hole 0.30 mm out of tolerance is accepted. Engineering shows the fastener fits and the joint carries its load.</w:t>
            </w:r>
          </w:p>
        </w:tc>
        <w:tc>
          <w:tcPr>
            <w:tcW w:type="dxa" w:w="2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 It is accepted as found.</w:t>
            </w:r>
          </w:p>
        </w:tc>
      </w:tr>
      <w:tr>
        <w:trPr>
          <w:cantSplit/>
        </w:trPr>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Scrap</w:t>
            </w:r>
          </w:p>
        </w:tc>
        <w:tc>
          <w:tcPr>
            <w:tcW w:type="dxa" w:w="4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cracked casting cannot be saved and is removed from use.</w:t>
            </w:r>
          </w:p>
        </w:tc>
        <w:tc>
          <w:tcPr>
            <w:tcW w:type="dxa" w:w="2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Not applicable. It is never delivered.</w:t>
            </w:r>
          </w:p>
        </w:tc>
      </w:tr>
    </w:tbl>
    <w:p>
      <w:pPr>
        <w:spacing w:after="120"/>
      </w:pPr>
    </w:p>
    <w:p>
      <w:pPr>
        <w:spacing w:after="140"/>
      </w:pPr>
      <w:r>
        <w:t xml:space="preserve">Rework and repair sound alike. One test separates them. After the procedure, does the characteristic conform completely? If yes, it is rework. If no, it is repair.</w:t>
      </w:r>
    </w:p>
    <w:p>
      <w:pPr>
        <w:pStyle w:val="Heading2"/>
      </w:pPr>
      <w:r>
        <w:t xml:space="preserve">Which dispositions need a variance</w:t>
      </w:r>
    </w:p>
    <w:p>
      <w:pPr>
        <w:spacing w:after="140"/>
      </w:pPr>
      <w:r>
        <w:t xml:space="preserve">Some people start by asking whether a departure is minor. That is the wrong question. Severity decides who approves a variance. It does not decide whether a variance exists.</w:t>
      </w:r>
    </w:p>
    <w:p>
      <w:pPr>
        <w:keepNext/>
        <w:pBdr>
          <w:left w:val="single" w:color="9A4A1F" w:sz="24" w:space="10"/>
        </w:pBdr>
        <w:shd w:fill="EEF2F5" w:color="auto" w:val="clear"/>
        <w:spacing w:after="80" w:before="120"/>
        <w:ind w:left="200" w:right="200"/>
      </w:pPr>
      <w:r>
        <w:rPr>
          <w:b/>
          <w:bCs/>
        </w:rPr>
        <w:t xml:space="preserve">The question is not "Is it minor?" The question is "Will a still-noncompliant part be delivered or accepted?"</w:t>
      </w:r>
    </w:p>
    <w:p>
      <w:pPr>
        <w:keepNext w:val="false"/>
        <w:pBdr>
          <w:left w:val="single" w:color="9A4A1F" w:sz="24" w:space="10"/>
        </w:pBdr>
        <w:shd w:fill="EEF2F5" w:color="auto" w:val="clear"/>
        <w:spacing w:after="200" w:before="0"/>
        <w:ind w:left="200" w:right="200"/>
      </w:pPr>
      <w:r>
        <w:t xml:space="preserve">If yes, a variance is required and gets classified. If the part is made compliant, or never delivered, generally no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460"/>
        <w:gridCol w:w="2500"/>
      </w:tblGrid>
      <w:tr>
        <w:trPr>
          <w:tblHeader/>
        </w:trPr>
        <w:tc>
          <w:tcPr>
            <w:tcW w:type="dxa" w:w="1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Disposition</w:t>
            </w:r>
          </w:p>
        </w:tc>
        <w:tc>
          <w:tcPr>
            <w:tcW w:type="dxa" w:w="19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Variance required?</w:t>
            </w:r>
          </w:p>
        </w:tc>
        <w:tc>
          <w:tcPr>
            <w:tcW w:type="dxa" w:w="34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Why</w:t>
            </w:r>
          </w:p>
        </w:tc>
        <w:tc>
          <w:tcPr>
            <w:tcW w:type="dxa" w:w="25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Next</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Rework</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 normally</w:t>
            </w:r>
          </w:p>
        </w:tc>
        <w:tc>
          <w:tcPr>
            <w:tcW w:type="dxa" w:w="3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part is restored to full compliance. Nothing is left to authorize.</w:t>
            </w:r>
          </w:p>
        </w:tc>
        <w:tc>
          <w:tcPr>
            <w:tcW w:type="dxa" w:w="2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 verifies. NCR closes. No submission.</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Scrap</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Usually no. The contract decides.</w:t>
            </w:r>
          </w:p>
        </w:tc>
        <w:tc>
          <w:tcPr>
            <w:tcW w:type="dxa" w:w="3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part is never delivered, so often there is no departure to authorize.</w:t>
            </w:r>
          </w:p>
        </w:tc>
        <w:tc>
          <w:tcPr>
            <w:tcW w:type="dxa" w:w="2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Record as the contract requires. No RFV unless required.</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Repair</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Yes</w:t>
            </w:r>
          </w:p>
        </w:tc>
        <w:tc>
          <w:tcPr>
            <w:tcW w:type="dxa" w:w="3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part still does not fully conform, and it is delivered.</w:t>
            </w:r>
          </w:p>
        </w:tc>
        <w:tc>
          <w:tcPr>
            <w:tcW w:type="dxa" w:w="2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w:t>
            </w:r>
          </w:p>
        </w:tc>
      </w:tr>
      <w:tr>
        <w:trPr>
          <w:cantSplit/>
        </w:trPr>
        <w:tc>
          <w:tcPr>
            <w:tcW w:type="dxa" w:w="1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Use-as-is</w:t>
            </w:r>
          </w:p>
        </w:tc>
        <w:tc>
          <w:tcPr>
            <w:tcW w:type="dxa" w:w="1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Yes</w:t>
            </w:r>
          </w:p>
        </w:tc>
        <w:tc>
          <w:tcPr>
            <w:tcW w:type="dxa" w:w="34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part does not conform, and it is accepted.</w:t>
            </w:r>
          </w:p>
        </w:tc>
        <w:tc>
          <w:tcPr>
            <w:tcW w:type="dxa" w:w="25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w:t>
            </w:r>
          </w:p>
        </w:tc>
      </w:tr>
    </w:tbl>
    <w:p>
      <w:pPr>
        <w:spacing w:after="120"/>
      </w:pPr>
    </w:p>
    <w:p>
      <w:pPr>
        <w:spacing w:after="140"/>
      </w:pPr>
      <w:r>
        <w:t xml:space="preserve">Notice what the trigger rule never asks. It never asks how small the departure is. A 0.01 mm departure used as is needs a variance. A gross defect that is scrapped normally does not.</w:t>
      </w:r>
    </w:p>
    <w:p>
      <w:pPr>
        <w:pStyle w:val="Heading2"/>
      </w:pPr>
      <w:r>
        <w:t xml:space="preserve">Duties that come with each disposition</w:t>
      </w:r>
    </w:p>
    <w:p>
      <w:pPr>
        <w:pStyle w:val="ListParagraph"/>
        <w:numPr>
          <w:ilvl w:val="0"/>
          <w:numId w:val="2"/>
        </w:numPr>
        <w:spacing w:after="80"/>
      </w:pPr>
      <w:r>
        <w:rPr>
          <w:b/>
          <w:bCs/>
        </w:rPr>
        <w:t xml:space="preserve">Rework outside the normal process must be disclosed.</w:t>
      </w:r>
      <w:r>
        <w:t xml:space="preserve"> The rework definition puts that duty on the supplier. No variance does not mean no one is told.</w:t>
      </w:r>
    </w:p>
    <w:p>
      <w:pPr>
        <w:pStyle w:val="ListParagraph"/>
        <w:numPr>
          <w:ilvl w:val="0"/>
          <w:numId w:val="2"/>
        </w:numPr>
        <w:spacing w:after="80"/>
      </w:pPr>
      <w:r>
        <w:rPr>
          <w:b/>
          <w:bCs/>
        </w:rPr>
        <w:t xml:space="preserve">Scrap follows the contract.</w:t>
      </w:r>
      <w:r>
        <w:t xml:space="preserve"> When the contract requires a variance for scrap, that scrap is classified and goes forward like a repair or a use-as-is.</w:t>
      </w:r>
    </w:p>
    <w:p>
      <w:pPr>
        <w:pStyle w:val="ListParagraph"/>
        <w:numPr>
          <w:ilvl w:val="0"/>
          <w:numId w:val="2"/>
        </w:numPr>
        <w:spacing w:after="80"/>
      </w:pPr>
      <w:r>
        <w:rPr>
          <w:b/>
          <w:bCs/>
        </w:rPr>
        <w:t xml:space="preserve">Use-as-is needs a justification.</w:t>
      </w:r>
      <w:r>
        <w:t xml:space="preserve"> The record must show why the noncompliance does not affect approved requirements and interfaces.</w:t>
      </w:r>
    </w:p>
    <w:p>
      <w:pPr>
        <w:pStyle w:val="ListParagraph"/>
        <w:numPr>
          <w:ilvl w:val="0"/>
          <w:numId w:val="2"/>
        </w:numPr>
        <w:spacing w:after="80"/>
      </w:pPr>
      <w:r>
        <w:rPr>
          <w:b/>
          <w:bCs/>
        </w:rPr>
        <w:t xml:space="preserve">Repair needs Acquirer review and approval, and a new identity.</w:t>
      </w:r>
      <w:r>
        <w:t xml:space="preserve"> Repaired items receive unique configuration identification. A repaired unit can always be told apart from an unrepaired one.</w:t>
      </w:r>
    </w:p>
    <w:p>
      <w:pPr>
        <w:pStyle w:val="Heading1"/>
      </w:pPr>
      <w:r>
        <w:t xml:space="preserve">8. What the MRB documents</w:t>
      </w:r>
    </w:p>
    <w:p>
      <w:pPr>
        <w:spacing w:after="140"/>
      </w:pPr>
      <w:r>
        <w:t xml:space="preserve">When the disposition leads to a variance, the MRB documents four more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Item</w:t>
            </w:r>
          </w:p>
        </w:tc>
        <w:tc>
          <w:tcPr>
            <w:tcW w:type="dxa" w:w="32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it answers</w:t>
            </w:r>
          </w:p>
        </w:tc>
        <w:tc>
          <w:tcPr>
            <w:tcW w:type="dxa" w:w="41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Bracket example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Need statement</w:t>
            </w:r>
          </w:p>
        </w:tc>
        <w:tc>
          <w:tcPr>
            <w:tcW w:type="dxa" w:w="3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Why ship the part rather than rework it or dispose of it</w:t>
            </w:r>
          </w:p>
        </w:tc>
        <w:tc>
          <w:tcPr>
            <w:tcW w:type="dxa" w:w="4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Replacement brackets need six weeks. Delivery is in two. Analysis shows fit and joint strength are unaffected.</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Cause</w:t>
            </w:r>
          </w:p>
        </w:tc>
        <w:tc>
          <w:tcPr>
            <w:tcW w:type="dxa" w:w="3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How the nonconformance happened</w:t>
            </w:r>
          </w:p>
        </w:tc>
        <w:tc>
          <w:tcPr>
            <w:tcW w:type="dxa" w:w="4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drill fixture shifted after a tool change.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Corrective action or CAP</w:t>
            </w:r>
          </w:p>
        </w:tc>
        <w:tc>
          <w:tcPr>
            <w:tcW w:type="dxa" w:w="3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How it will be kept from happening again</w:t>
            </w:r>
          </w:p>
        </w:tc>
        <w:tc>
          <w:tcPr>
            <w:tcW w:type="dxa" w:w="4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Add a fixture check after every tool change.</w:t>
            </w:r>
          </w:p>
        </w:tc>
      </w:tr>
      <w:tr>
        <w:trPr>
          <w:cantSplit/>
        </w:trPr>
        <w:tc>
          <w:tcPr>
            <w:tcW w:type="dxa" w:w="2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Effectivity</w:t>
            </w:r>
          </w:p>
        </w:tc>
        <w:tc>
          <w:tcPr>
            <w:tcW w:type="dxa" w:w="3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Which units the variance covers. The MRB confirms what Quality captured.</w:t>
            </w:r>
          </w:p>
        </w:tc>
        <w:tc>
          <w:tcPr>
            <w:tcW w:type="dxa" w:w="4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Serials 0108 through 0115 only</w:t>
            </w:r>
          </w:p>
        </w:tc>
      </w:tr>
    </w:tbl>
    <w:p>
      <w:pPr>
        <w:spacing w:after="120"/>
      </w:pPr>
    </w:p>
    <w:p>
      <w:pPr>
        <w:spacing w:after="140"/>
      </w:pPr>
      <w:r>
        <w:t xml:space="preserve">Effectivity is limited to as few units as possible. Every unit inside it departs from its baseline. Every one must be tracked for the life of the product. A variance on a whole lot of 40, when only eight serials are bad, puts 32 good parts under a departure they do not have.</w:t>
      </w:r>
    </w:p>
    <w:p>
      <w:pPr>
        <w:pStyle w:val="Heading2"/>
      </w:pPr>
      <w:r>
        <w:t xml:space="preserve">Variance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Type</w:t>
            </w:r>
          </w:p>
        </w:tc>
        <w:tc>
          <w:tcPr>
            <w:tcW w:type="dxa" w:w="3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When the departure is known</w:t>
            </w:r>
          </w:p>
        </w:tc>
        <w:tc>
          <w:tcPr>
            <w:tcW w:type="dxa" w:w="35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Example</w:t>
            </w:r>
          </w:p>
        </w:tc>
      </w:tr>
      <w:tr>
        <w:trPr>
          <w:cantSplit/>
        </w:trPr>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Pre-production (engineering variance)</w:t>
            </w:r>
          </w:p>
        </w:tc>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Before the item is built. The supplier knows in advance it must depart.</w:t>
            </w:r>
          </w:p>
        </w:tc>
        <w:tc>
          <w:tcPr>
            <w:tcW w:type="dxa" w:w="3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specified finish is unavailable. Before building, the supplier asks to use another on the next 20 units.</w:t>
            </w:r>
          </w:p>
        </w:tc>
      </w:tr>
      <w:tr>
        <w:trPr>
          <w:cantSplit/>
        </w:trPr>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Post-production (production or procurement variance)</w:t>
            </w:r>
          </w:p>
        </w:tc>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After the item is produced</w:t>
            </w:r>
          </w:p>
        </w:tc>
        <w:tc>
          <w:tcPr>
            <w:tcW w:type="dxa" w:w="3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bracket hole is found out of position at inspection.</w:t>
            </w:r>
          </w:p>
        </w:tc>
      </w:tr>
    </w:tbl>
    <w:p>
      <w:pPr>
        <w:spacing w:after="120"/>
      </w:pPr>
    </w:p>
    <w:p>
      <w:pPr>
        <w:pStyle w:val="Heading1"/>
      </w:pPr>
      <w:r>
        <w:t xml:space="preserve">9. Classification</w:t>
      </w:r>
    </w:p>
    <w:p>
      <w:pPr>
        <w:spacing w:after="140"/>
      </w:pPr>
      <w:r>
        <w:t xml:space="preserve">Two brackets are both used as is. One holds a cover that carries no load. The other sits in a flight control load path. Both need a variance. They should not need the same approval. Classification is how the process tells them apart.</w:t>
      </w:r>
    </w:p>
    <w:p>
      <w:pPr>
        <w:spacing w:after="140"/>
      </w:pPr>
      <w:r>
        <w:t xml:space="preserve">Classification happens only for dispositions that need a variance: repair, use-as-is, and contractually required scrap. The MRB assigns it in the same review that sets the disposition.</w:t>
      </w:r>
    </w:p>
    <w:p>
      <w:pPr>
        <w:keepNext/>
        <w:pBdr>
          <w:left w:val="single" w:color="9A4A1F" w:sz="24" w:space="10"/>
        </w:pBdr>
        <w:shd w:fill="EEF2F5" w:color="auto" w:val="clear"/>
        <w:spacing w:after="80" w:before="120"/>
        <w:ind w:left="200" w:right="200"/>
      </w:pPr>
      <w:r>
        <w:rPr>
          <w:b/>
          <w:bCs/>
        </w:rPr>
        <w:t xml:space="preserve">Classification drives authority. It is not set by who receives the record.</w:t>
      </w:r>
    </w:p>
    <w:p>
      <w:pPr>
        <w:keepNext w:val="false"/>
        <w:pBdr>
          <w:left w:val="single" w:color="9A4A1F" w:sz="24" w:space="10"/>
        </w:pBdr>
        <w:shd w:fill="EEF2F5" w:color="auto" w:val="clear"/>
        <w:spacing w:after="200" w:before="0"/>
        <w:ind w:left="200" w:right="200"/>
      </w:pPr>
      <w:r>
        <w:t xml:space="preserve">Routing a record to DCMA does not make it minor.</w:t>
      </w:r>
    </w:p>
    <w:p>
      <w:pPr>
        <w:pStyle w:val="Heading2"/>
      </w:pPr>
      <w:r>
        <w:t xml:space="preserve">The criteria</w:t>
      </w:r>
    </w:p>
    <w:p>
      <w:pPr>
        <w:spacing w:after="140"/>
      </w:pPr>
      <w:r>
        <w:t xml:space="preserve">The process classifies against EIA-649-1A. The criteria are quoted in full.</w:t>
      </w:r>
    </w:p>
    <w:p>
      <w:pPr>
        <w:keepNext/>
        <w:pBdr>
          <w:left w:val="single" w:color="1F3A5F" w:sz="24" w:space="10"/>
        </w:pBdr>
        <w:shd w:fill="EEF2F5" w:color="auto" w:val="clear"/>
        <w:spacing w:after="60" w:before="120"/>
        <w:ind w:left="200" w:right="200"/>
      </w:pPr>
      <w:r>
        <w:rPr>
          <w:b/>
          <w:bCs/>
          <w:color w:val="1F3A5F"/>
          <w:spacing w:val="20"/>
          <w:sz w:val="17"/>
          <w:szCs w:val="17"/>
        </w:rPr>
        <w:t xml:space="preserve">CRITICAL</w:t>
      </w:r>
    </w:p>
    <w:p>
      <w:pPr>
        <w:keepNext/>
        <w:pBdr>
          <w:left w:val="single" w:color="1F3A5F" w:sz="24" w:space="10"/>
        </w:pBdr>
        <w:shd w:fill="EEF2F5" w:color="auto" w:val="clear"/>
        <w:spacing w:after="80" w:before="0"/>
        <w:ind w:left="200" w:right="200"/>
      </w:pPr>
      <w:r>
        <w:t xml:space="preserve">Use this classification when it is a departure from requirements affecting one or more of the following: i. Safety; ii. Human health; iii. Environment; iv. Security (local program or national).</w:t>
      </w:r>
    </w:p>
    <w:p>
      <w:pPr>
        <w:keepNext w:val="false"/>
        <w:pBdr>
          <w:left w:val="single" w:color="1F3A5F" w:sz="24" w:space="10"/>
        </w:pBdr>
        <w:shd w:fill="EEF2F5" w:color="auto" w:val="clear"/>
        <w:spacing w:after="200" w:before="0"/>
        <w:ind w:left="200" w:right="200"/>
      </w:pPr>
      <w:r>
        <w:rPr>
          <w:i/>
          <w:iCs/>
        </w:rPr>
        <w:t xml:space="preserve">Source: EIA-649-1A</w:t>
      </w:r>
    </w:p>
    <w:p>
      <w:pPr>
        <w:keepNext/>
        <w:pBdr>
          <w:left w:val="single" w:color="1F3A5F" w:sz="24" w:space="10"/>
        </w:pBdr>
        <w:shd w:fill="EEF2F5" w:color="auto" w:val="clear"/>
        <w:spacing w:after="60" w:before="120"/>
        <w:ind w:left="200" w:right="200"/>
      </w:pPr>
      <w:r>
        <w:rPr>
          <w:b/>
          <w:bCs/>
          <w:color w:val="1F3A5F"/>
          <w:spacing w:val="20"/>
          <w:sz w:val="17"/>
          <w:szCs w:val="17"/>
        </w:rPr>
        <w:t xml:space="preserve">MAJOR</w:t>
      </w:r>
    </w:p>
    <w:p>
      <w:pPr>
        <w:keepNext/>
        <w:pBdr>
          <w:left w:val="single" w:color="1F3A5F" w:sz="24" w:space="10"/>
        </w:pBdr>
        <w:shd w:fill="EEF2F5" w:color="auto" w:val="clear"/>
        <w:spacing w:after="80" w:before="0"/>
        <w:ind w:left="200" w:right="200"/>
      </w:pPr>
      <w:r>
        <w:t xml:space="preserve">Use this classification when it is a departure from requirements affecting one or more of the following: i. Performance or operational limits; ii. Interchangeability, reliability, survivability, maintainability or durability of the item or its repair parts; iii. Structural strength; iv. Effective use or operation; v. Weight, moment of inertia, center of gravity; vi. Appearance; vii. Limits on product use or operation; viii. Temporary use of alternate items; ix. When the configuration documentation defining the requirements for the item classifies the departure from the requirement as major.</w:t>
      </w:r>
    </w:p>
    <w:p>
      <w:pPr>
        <w:keepNext w:val="false"/>
        <w:pBdr>
          <w:left w:val="single" w:color="1F3A5F" w:sz="24" w:space="10"/>
        </w:pBdr>
        <w:shd w:fill="EEF2F5" w:color="auto" w:val="clear"/>
        <w:spacing w:after="200" w:before="0"/>
        <w:ind w:left="200" w:right="200"/>
      </w:pPr>
      <w:r>
        <w:rPr>
          <w:i/>
          <w:iCs/>
        </w:rPr>
        <w:t xml:space="preserve">Source: EIA-649-1A</w:t>
      </w:r>
    </w:p>
    <w:p>
      <w:pPr>
        <w:keepNext/>
        <w:pBdr>
          <w:left w:val="single" w:color="1F3A5F" w:sz="24" w:space="10"/>
        </w:pBdr>
        <w:shd w:fill="EEF2F5" w:color="auto" w:val="clear"/>
        <w:spacing w:after="60" w:before="120"/>
        <w:ind w:left="200" w:right="200"/>
      </w:pPr>
      <w:r>
        <w:rPr>
          <w:b/>
          <w:bCs/>
          <w:color w:val="1F3A5F"/>
          <w:spacing w:val="20"/>
          <w:sz w:val="17"/>
          <w:szCs w:val="17"/>
        </w:rPr>
        <w:t xml:space="preserve">MINOR</w:t>
      </w:r>
    </w:p>
    <w:p>
      <w:pPr>
        <w:keepNext/>
        <w:pBdr>
          <w:left w:val="single" w:color="1F3A5F" w:sz="24" w:space="10"/>
        </w:pBdr>
        <w:shd w:fill="EEF2F5" w:color="auto" w:val="clear"/>
        <w:spacing w:after="80" w:before="0"/>
        <w:ind w:left="200" w:right="200"/>
      </w:pPr>
      <w:r>
        <w:t xml:space="preserve">Use this classification when it consists of a departure that does not involve any of the factors listed for critical or major, or when the configuration documentation defining the requirements for the item classifies the departure from the requirement as minor. NOTE: Departures from the requirements that do not meet the definition of critical or major and are not classified in any configuration documentation (i.e., unlisted characteristic) are treated as minor.</w:t>
      </w:r>
    </w:p>
    <w:p>
      <w:pPr>
        <w:keepNext w:val="false"/>
        <w:pBdr>
          <w:left w:val="single" w:color="1F3A5F" w:sz="24" w:space="10"/>
        </w:pBdr>
        <w:shd w:fill="EEF2F5" w:color="auto" w:val="clear"/>
        <w:spacing w:after="200" w:before="0"/>
        <w:ind w:left="200" w:right="200"/>
      </w:pPr>
      <w:r>
        <w:rPr>
          <w:i/>
          <w:iCs/>
        </w:rPr>
        <w:t xml:space="preserve">Source: EIA-649-1A</w:t>
      </w:r>
    </w:p>
    <w:p>
      <w:pPr>
        <w:pStyle w:val="Heading2"/>
      </w:pPr>
      <w:r>
        <w:t xml:space="preserve">The major factors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Factor</w:t>
            </w:r>
          </w:p>
        </w:tc>
        <w:tc>
          <w:tcPr>
            <w:tcW w:type="dxa" w:w="34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In plain terms</w:t>
            </w:r>
          </w:p>
        </w:tc>
        <w:tc>
          <w:tcPr>
            <w:tcW w:type="dxa" w:w="3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Example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Performance or operational limits</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 may not do its job across its full rated range.</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pump meets its flow at sea level but not at its rated altitude.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Interchangeability</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unit may not swap into place without selection, alteration, or modification.</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hole pattern no longer matches the standard mating part.</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Reliability, survivability, maintainability, durability</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 may fail sooner, resist damage less, or be harder to service.</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bearing surface finish that shortens wear life.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Structural strength</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 may not carry its design load.</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fitting wall thinner than its minimum.</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Effective use or operation</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 works, but not as effectively as specified.</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display that is readable but dimmer than specified.</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Weight, moment of inertia, center of gravity</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item's mass or balance is off.</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counterweight 40 grams heavy.</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Appearance</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How the item looks, where appearance is a requirement.</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wrong color on a visible cockpit panel.</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Limits on product use or operation</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item can be used only under a restriction.</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valve cleared for fewer cycles than specified.</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Temporary use of alternate items</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different part is substituted for the specified one.</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Another vendor's fastener, installed because the specified one is out of stock.</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Classified major by the documentation</w:t>
            </w:r>
          </w:p>
        </w:tc>
        <w:tc>
          <w:tcPr>
            <w:tcW w:type="dxa" w:w="3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drawing or specification itself says the departure is major.</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drawing note flags the characteristic as major.</w:t>
            </w:r>
          </w:p>
        </w:tc>
      </w:tr>
    </w:tbl>
    <w:p>
      <w:pPr>
        <w:spacing w:after="120"/>
      </w:pPr>
    </w:p>
    <w:p>
      <w:pPr>
        <w:pStyle w:val="Heading2"/>
      </w:pPr>
      <w:r>
        <w:t xml:space="preserve">Three points that catch people</w:t>
      </w:r>
    </w:p>
    <w:p>
      <w:pPr>
        <w:pStyle w:val="ListParagraph"/>
        <w:numPr>
          <w:ilvl w:val="0"/>
          <w:numId w:val="2"/>
        </w:numPr>
        <w:spacing w:after="80"/>
      </w:pPr>
      <w:r>
        <w:rPr>
          <w:b/>
          <w:bCs/>
        </w:rPr>
        <w:t xml:space="preserve">Minor is a finding, not a feeling.</w:t>
      </w:r>
      <w:r>
        <w:t xml:space="preserve"> Minor means no critical factor and no major factor applies. To call a departure minor honestly, the MRB must screen both lists and find nothing.</w:t>
      </w:r>
    </w:p>
    <w:p>
      <w:pPr>
        <w:pStyle w:val="ListParagraph"/>
        <w:numPr>
          <w:ilvl w:val="0"/>
          <w:numId w:val="2"/>
        </w:numPr>
        <w:spacing w:after="80"/>
      </w:pPr>
      <w:r>
        <w:rPr>
          <w:b/>
          <w:bCs/>
        </w:rPr>
        <w:t xml:space="preserve">Substitutions are major.</w:t>
      </w:r>
      <w:r>
        <w:t xml:space="preserve"> An alternate part may perform identically. Temporary use of alternate items is still a major factor.</w:t>
      </w:r>
    </w:p>
    <w:p>
      <w:pPr>
        <w:pStyle w:val="ListParagraph"/>
        <w:numPr>
          <w:ilvl w:val="0"/>
          <w:numId w:val="2"/>
        </w:numPr>
        <w:spacing w:after="80"/>
      </w:pPr>
      <w:r>
        <w:rPr>
          <w:b/>
          <w:bCs/>
        </w:rPr>
        <w:t xml:space="preserve">The documentation can decide.</w:t>
      </w:r>
      <w:r>
        <w:t xml:space="preserve"> When the drawing or specification classifies a departure, that classification governs.</w:t>
      </w:r>
    </w:p>
    <w:p>
      <w:pPr>
        <w:pStyle w:val="Heading1"/>
      </w:pPr>
      <w:r>
        <w:t xml:space="preserve">10. Authority, submission, and the controlled record</w:t>
      </w:r>
    </w:p>
    <w:p>
      <w:pPr>
        <w:pStyle w:val="Heading2"/>
      </w:pPr>
      <w:r>
        <w:t xml:space="preserve">Who approves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700"/>
        <w:gridCol w:w="3060"/>
      </w:tblGrid>
      <w:tr>
        <w:trPr>
          <w:tblHeader/>
        </w:trPr>
        <w:tc>
          <w:tcPr>
            <w:tcW w:type="dxa" w:w="16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Classification</w:t>
            </w:r>
          </w:p>
        </w:tc>
        <w:tc>
          <w:tcPr>
            <w:tcW w:type="dxa" w:w="3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Disposition authority</w:t>
            </w:r>
          </w:p>
        </w:tc>
        <w:tc>
          <w:tcPr>
            <w:tcW w:type="dxa" w:w="17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Who submits</w:t>
            </w:r>
          </w:p>
        </w:tc>
        <w:tc>
          <w:tcPr>
            <w:tcW w:type="dxa" w:w="30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is submitted</w:t>
            </w:r>
          </w:p>
        </w:tc>
      </w:tr>
      <w:tr>
        <w:trPr>
          <w:cantSplit/>
        </w:trPr>
        <w:tc>
          <w:tcPr>
            <w:tcW w:type="dxa" w:w="1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Minor</w:t>
            </w:r>
          </w:p>
        </w:tc>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MRB, if the contract delegates it. Otherwise the Acquirer's designated representative, such as DCMA.</w:t>
            </w:r>
          </w:p>
        </w:tc>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MRB, directly</w:t>
            </w:r>
          </w:p>
        </w:tc>
        <w:tc>
          <w:tcPr>
            <w:tcW w:type="dxa" w:w="30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controlled record. If disposition is delegated, the variance is recorded only; no customer submission is required.</w:t>
            </w:r>
          </w:p>
        </w:tc>
      </w:tr>
      <w:tr>
        <w:trPr>
          <w:cantSplit/>
        </w:trPr>
        <w:tc>
          <w:tcPr>
            <w:tcW w:type="dxa" w:w="1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Major or critical</w:t>
            </w:r>
          </w:p>
        </w:tc>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Acquirer: DCMA or the customer CCB</w:t>
            </w:r>
          </w:p>
        </w:tc>
        <w:tc>
          <w:tcPr>
            <w:tcW w:type="dxa" w:w="17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w:t>
            </w:r>
          </w:p>
        </w:tc>
        <w:tc>
          <w:tcPr>
            <w:tcW w:type="dxa" w:w="30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controlled RFV in the format the contract invokes, with an implementation timeline</w:t>
            </w:r>
          </w:p>
        </w:tc>
      </w:tr>
    </w:tbl>
    <w:p>
      <w:pPr>
        <w:spacing w:after="120"/>
      </w:pPr>
    </w:p>
    <w:p>
      <w:pPr>
        <w:spacing w:after="140"/>
      </w:pPr>
      <w:r>
        <w:t xml:space="preserve">For minors, the contract sets one of two paths. The path changes who approves and whether anything goes to the customer. Three things do not change.</w:t>
      </w:r>
    </w:p>
    <w:p>
      <w:pPr>
        <w:pStyle w:val="ListParagraph"/>
        <w:numPr>
          <w:ilvl w:val="0"/>
          <w:numId w:val="2"/>
        </w:numPr>
        <w:spacing w:after="80"/>
      </w:pPr>
      <w:r>
        <w:t xml:space="preserve">CM verifies the record as it enters CSA.</w:t>
      </w:r>
    </w:p>
    <w:p>
      <w:pPr>
        <w:pStyle w:val="ListParagraph"/>
        <w:numPr>
          <w:ilvl w:val="0"/>
          <w:numId w:val="2"/>
        </w:numPr>
        <w:spacing w:after="80"/>
      </w:pPr>
      <w:r>
        <w:t xml:space="preserve">The affected unit is held until that acceptance clears.</w:t>
      </w:r>
    </w:p>
    <w:p>
      <w:pPr>
        <w:pStyle w:val="ListParagraph"/>
        <w:numPr>
          <w:ilvl w:val="0"/>
          <w:numId w:val="2"/>
        </w:numPr>
        <w:spacing w:after="80"/>
      </w:pPr>
      <w:r>
        <w:t xml:space="preserve">The record is the tool-controlled, identified record. Never a loose form.</w:t>
      </w:r>
    </w:p>
    <w:p>
      <w:pPr>
        <w:spacing w:after="140"/>
      </w:pPr>
      <w:r>
        <w:t xml:space="preserve">For majors and criticals, many defense contracts invoke DD Form 1694, delivered under the data item description DI-SESS-80640. A data item description (DID) defines the content and format of a deliverable. The contract data requirements list (CDRL) names the DIDs that apply. If they are invoked, CM uses that format. If not, CM uses the format the contract does call for.</w:t>
      </w:r>
    </w:p>
    <w:p>
      <w:pPr>
        <w:pStyle w:val="Heading2"/>
      </w:pPr>
      <w:r>
        <w:t xml:space="preserve">When the classification is disputed</w:t>
      </w:r>
    </w:p>
    <w:p>
      <w:pPr>
        <w:spacing w:after="140"/>
      </w:pPr>
      <w:r>
        <w:t xml:space="preserve">The MRB says minor. DCMA says major. Classification disagreements between the supplier and the Acquirer's designated representatives go to the Acquirer for final decision. CM does not break the tie.</w:t>
      </w:r>
    </w:p>
    <w:p>
      <w:pPr>
        <w:keepNext w:val="false"/>
        <w:pBdr>
          <w:left w:val="single" w:color="9A4A1F" w:sz="24" w:space="10"/>
        </w:pBdr>
        <w:shd w:fill="EEF2F5" w:color="auto" w:val="clear"/>
        <w:spacing w:after="200" w:before="120"/>
        <w:ind w:left="200" w:right="200"/>
      </w:pPr>
      <w:r>
        <w:rPr>
          <w:b/>
          <w:bCs/>
        </w:rPr>
        <w:t xml:space="preserve">A classification dispute goes up to the Acquirer. It does not go sideways to CM.</w:t>
      </w:r>
    </w:p>
    <w:p>
      <w:pPr>
        <w:pStyle w:val="Heading2"/>
      </w:pPr>
      <w:r>
        <w:t xml:space="preserve">The four conditions for tool-carried control</w:t>
      </w:r>
    </w:p>
    <w:p>
      <w:pPr>
        <w:spacing w:after="140"/>
      </w:pPr>
      <w:r>
        <w:t xml:space="preserve">This process takes the CM person out of the delivery path. That is allowed only if every control a CM person would have applied still happens. The model is compliant only if all four conditions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Condition</w:t>
            </w:r>
          </w:p>
        </w:tc>
        <w:tc>
          <w:tcPr>
            <w:tcW w:type="dxa" w:w="67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it requires</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One real variance identifier</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tool-assigned identifier IS the controlled variance identifier: unique enterprise-wide, segregated from other configuration change management documents, and recognized in CSA as the variance record. It must not be a parallel quality-only number that CSA later reconciles to a separate RFV number.</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Validated CSA feed</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automatic feed enforces data-integrity rules: required fields present, classification assigned, effectivity captured. The supplier must maintain the legitimacy of CSA by storing valid data.</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Record with full RFV content</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What is captured, and what is submitted, carries full variance content. A bare inspection record is not enough.</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Residual CM functions owned</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still owns recurrence and trend analysis, recurring-variance handling, closure verification, and life-cycle retention.</w:t>
            </w:r>
          </w:p>
        </w:tc>
      </w:tr>
    </w:tbl>
    <w:p>
      <w:pPr>
        <w:spacing w:after="120"/>
      </w:pPr>
    </w:p>
    <w:p>
      <w:pPr>
        <w:keepNext w:val="false"/>
        <w:pBdr>
          <w:left w:val="single" w:color="9A4A1F" w:sz="24" w:space="10"/>
        </w:pBdr>
        <w:shd w:fill="EEF2F5" w:color="auto" w:val="clear"/>
        <w:spacing w:after="200" w:before="120"/>
        <w:ind w:left="200" w:right="200"/>
      </w:pPr>
      <w:r>
        <w:rPr>
          <w:b/>
          <w:bCs/>
        </w:rPr>
        <w:t xml:space="preserve">Direct submission removes the CM delivery middleman, not the CM function.</w:t>
      </w:r>
    </w:p>
    <w:p>
      <w:pPr>
        <w:spacing w:after="140"/>
      </w:pPr>
      <w:r>
        <w:t xml:space="preserve">Where the tool cannot enforce the data-integrity rules, CM verifies them when it accepts the record. Either way, CM answers for the validity of CSA.</w:t>
      </w:r>
    </w:p>
    <w:p>
      <w:pPr>
        <w:pStyle w:val="Heading2"/>
      </w:pPr>
      <w:r>
        <w:t xml:space="preserve">Required variance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Content</w:t>
            </w:r>
          </w:p>
        </w:tc>
        <w:tc>
          <w:tcPr>
            <w:tcW w:type="dxa" w:w="28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Usually supplied by</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Unique variance identifier</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tool</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Part number and affected CI or component</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Quantity affected</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Effectivity: specific units, serial or lot numbers, or time period</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 captures; the MRB confirms</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Description of the nonconformance and the requirements departed from</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with the impact basis</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Variance type: pre-production (engineering) or post-production (production or procurement)</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Need statement or justification: why ship rather than rework or dispose</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Cause of the nonconformance</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(repair or use-as-is). For use-as-is, the justification that the noncompliance does not affect approved requirements or interfaces.</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Corrective action or CAP to prevent recurrence</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Cost or consideration, where applicable. For minors, normally borne by the supplier.</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MRB and program</w:t>
            </w:r>
          </w:p>
        </w:tc>
      </w:tr>
      <w:tr>
        <w:trPr>
          <w:cantSplit/>
        </w:trPr>
        <w:tc>
          <w:tcPr>
            <w:tcW w:type="dxa" w:w="65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authority and approval record</w:t>
            </w:r>
          </w:p>
        </w:tc>
        <w:tc>
          <w:tcPr>
            <w:tcW w:type="dxa" w:w="28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approving authority</w:t>
            </w:r>
          </w:p>
        </w:tc>
      </w:tr>
    </w:tbl>
    <w:p>
      <w:pPr>
        <w:spacing w:after="120"/>
      </w:pPr>
    </w:p>
    <w:p>
      <w:pPr>
        <w:pStyle w:val="Heading2"/>
      </w:pPr>
      <w:r>
        <w:t xml:space="preserve">When the NCR form is the RFV</w:t>
      </w:r>
    </w:p>
    <w:p>
      <w:pPr>
        <w:spacing w:after="140"/>
      </w:pPr>
      <w:r>
        <w:t xml:space="preserve">The RFV is information, not a form. So an NCR form may be used to submit minor variances in place of a separate RFV form. That is allowed if, and only if, both conditions hold.</w:t>
      </w:r>
    </w:p>
    <w:p>
      <w:pPr>
        <w:pStyle w:val="ListParagraph"/>
        <w:numPr>
          <w:ilvl w:val="0"/>
          <w:numId w:val="5"/>
        </w:numPr>
        <w:spacing w:after="80"/>
      </w:pPr>
      <w:r>
        <w:rPr>
          <w:b/>
          <w:bCs/>
        </w:rPr>
        <w:t xml:space="preserve">The customer agrees.</w:t>
      </w:r>
      <w:r>
        <w:t xml:space="preserve"> The Acquirer or DCMA agrees to the NCR form as the minor submission vehicle. The agreement is documented in the contract or the CM plan.</w:t>
      </w:r>
    </w:p>
    <w:p>
      <w:pPr>
        <w:pStyle w:val="ListParagraph"/>
        <w:numPr>
          <w:ilvl w:val="0"/>
          <w:numId w:val="5"/>
        </w:numPr>
        <w:spacing w:after="80"/>
      </w:pPr>
      <w:r>
        <w:rPr>
          <w:b/>
          <w:bCs/>
        </w:rPr>
        <w:t xml:space="preserve">The form carries everything.</w:t>
      </w:r>
      <w:r>
        <w:t xml:space="preserve"> The NCR form captures all the required minor variance content in the table above.</w:t>
      </w:r>
    </w:p>
    <w:p>
      <w:pPr>
        <w:spacing w:after="140"/>
      </w:pPr>
      <w:r>
        <w:t xml:space="preserve">If either condition fails, use the controlled RFV record. When both hold, CM recognizes the NCR form as the controlled RFV record of that variance. It is not a copy of the RFV. It is the RFV.</w:t>
      </w:r>
    </w:p>
    <w:p>
      <w:pPr>
        <w:keepNext w:val="false"/>
        <w:pBdr>
          <w:left w:val="single" w:color="9A4A1F" w:sz="24" w:space="10"/>
        </w:pBdr>
        <w:shd w:fill="EEF2F5" w:color="auto" w:val="clear"/>
        <w:spacing w:after="200" w:before="120"/>
        <w:ind w:left="200" w:right="200"/>
      </w:pPr>
      <w:r>
        <w:rPr>
          <w:b/>
          <w:bCs/>
        </w:rPr>
        <w:t xml:space="preserve">Same content, same control, different cover sheet.</w:t>
      </w:r>
    </w:p>
    <w:p>
      <w:pPr>
        <w:spacing w:after="140"/>
      </w:pPr>
      <w:r>
        <w:t xml:space="preserve">This route covers minors only. Majors and criticals go as the controlled RFV in the contract's format.</w:t>
      </w:r>
    </w:p>
    <w:p>
      <w:pPr>
        <w:pStyle w:val="Heading2"/>
      </w:pPr>
      <w:r>
        <w:t xml:space="preserve">What leaves the building, and what does not</w:t>
      </w:r>
    </w:p>
    <w:p>
      <w:pPr>
        <w:spacing w:after="140"/>
      </w:pPr>
      <w:r>
        <w:t xml:space="preserve">The artifact that leaves the company is always the tool-controlled, identified record. Never an uncontrolled form. Not a spreadsheet export. Not a scan without an identifier. Not an email with details pasted in. The identifier is assigned, and the record is under configuration control, before anything is released to the customer.</w:t>
      </w:r>
    </w:p>
    <w:p>
      <w:pPr>
        <w:spacing w:after="140"/>
      </w:pPr>
      <w:r>
        <w:t xml:space="preserve">Two things do not go to the customer:</w:t>
      </w:r>
    </w:p>
    <w:p>
      <w:pPr>
        <w:pStyle w:val="ListParagraph"/>
        <w:numPr>
          <w:ilvl w:val="0"/>
          <w:numId w:val="2"/>
        </w:numPr>
        <w:spacing w:after="80"/>
      </w:pPr>
      <w:r>
        <w:rPr>
          <w:b/>
          <w:bCs/>
        </w:rPr>
        <w:t xml:space="preserve">NCRs dispositioned rework to compliance.</w:t>
      </w:r>
      <w:r>
        <w:t xml:space="preserve"> The part meets its baseline. No variance, no submission.</w:t>
      </w:r>
    </w:p>
    <w:p>
      <w:pPr>
        <w:pStyle w:val="ListParagraph"/>
        <w:numPr>
          <w:ilvl w:val="0"/>
          <w:numId w:val="2"/>
        </w:numPr>
        <w:spacing w:after="80"/>
      </w:pPr>
      <w:r>
        <w:rPr>
          <w:b/>
          <w:bCs/>
        </w:rPr>
        <w:t xml:space="preserve">Scrap</w:t>
      </w:r>
      <w:r>
        <w:t xml:space="preserve">, unless the contract requires it.</w:t>
      </w:r>
    </w:p>
    <w:p>
      <w:pPr>
        <w:spacing w:after="140"/>
      </w:pPr>
      <w:r>
        <w:t xml:space="preserve">Trim the customer feed to actual variances: repair, use-as-is, and contractually required scrap. Do not push every NCR to the customer. The contract may name other records the customer must receive. Confirm that before you set the feed.</w:t>
      </w:r>
    </w:p>
    <w:p>
      <w:pPr>
        <w:pStyle w:val="Heading1"/>
      </w:pPr>
      <w:r>
        <w:t xml:space="preserve">11. Where CM's authority stops</w:t>
      </w:r>
    </w:p>
    <w:p>
      <w:pPr>
        <w:spacing w:after="140"/>
      </w:pPr>
      <w:r>
        <w:t xml:space="preserve">A CM engineer with twenty years in structures reads a variance. The MRB called it minor. The engineer is sure it is major. The engineer may even be right. In this process, the CM engineer still does not re-classify it. The process gives six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Reason</w:t>
            </w:r>
          </w:p>
        </w:tc>
        <w:tc>
          <w:tcPr>
            <w:tcW w:type="dxa" w:w="6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Explanation</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is a technical severity judgment.</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variance is classified by the severity with which the nonconformance impacts the product and its requirements, against criteria like safety, performance limits, interchangeability, and structural strength. These are engineering and quality determinations, not record-control determinations.</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standard assigns that judgment to the MRB.</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MRB is the multi-disciplined board of quality (lead), engineering, and manufacturing. CM is not a defined member. Making CM a classifier, or a classification auditor, puts a non-MRB function into a judgment reserved for the board.</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CM's defined scope excludes it.</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CM's functions are to identify, control, record, and verify. CM controls changes and variances as records and runs CSA. GEIA-HB-649A Table 6 lists variance approval authority as the Engineering MRB Manager and/or the Acquirer, and CM as the release authority.</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dispute path is escalation to the Acquirer.</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disagreements go to the Acquirer for final decision. A CM audit layer would create a second, undefined internal classification authority.</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controls who dispositions.</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sets the level of review and the approval authority. If CM re-classified, CM would control which authority dispositions the variance.</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independence.</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owns the record and controls customer submission. If CM also judged classification, the record-keeper would become a technical authority over its own records.</w:t>
            </w:r>
          </w:p>
        </w:tc>
      </w:tr>
    </w:tbl>
    <w:p>
      <w:pPr>
        <w:spacing w:after="120"/>
      </w:pPr>
    </w:p>
    <w:p>
      <w:pPr>
        <w:pStyle w:val="Heading2"/>
      </w:pPr>
      <w:r>
        <w:t xml:space="preserve">What CM does audit</w:t>
      </w:r>
    </w:p>
    <w:p>
      <w:pPr>
        <w:spacing w:after="140"/>
      </w:pPr>
      <w:r>
        <w:t xml:space="preserve">None of this means CM looks away. CM audits. It audits a different thing.</w:t>
      </w:r>
    </w:p>
    <w:p>
      <w:pPr>
        <w:pStyle w:val="ListParagraph"/>
        <w:numPr>
          <w:ilvl w:val="0"/>
          <w:numId w:val="2"/>
        </w:numPr>
        <w:spacing w:after="80"/>
      </w:pPr>
      <w:r>
        <w:rPr>
          <w:b/>
          <w:bCs/>
        </w:rPr>
        <w:t xml:space="preserve">Process and record compliance.</w:t>
      </w:r>
      <w:r>
        <w:t xml:space="preserve"> A classification was assigned. The identifier and effectivity were captured. The record reached CSA.</w:t>
      </w:r>
    </w:p>
    <w:p>
      <w:pPr>
        <w:pStyle w:val="ListParagraph"/>
        <w:numPr>
          <w:ilvl w:val="0"/>
          <w:numId w:val="2"/>
        </w:numPr>
        <w:spacing w:after="80"/>
      </w:pPr>
      <w:r>
        <w:rPr>
          <w:b/>
          <w:bCs/>
        </w:rPr>
        <w:t xml:space="preserve">Product-to-documentation conformance.</w:t>
      </w:r>
      <w:r>
        <w:t xml:space="preserve"> Configuration audits reconcile the as-built product to its documentation. The functional configuration audit (FCA) checks functional requirements. The physical configuration audit (PCA) checks the as-built item against its product documentation.</w:t>
      </w:r>
    </w:p>
    <w:p>
      <w:pPr>
        <w:pStyle w:val="ListParagraph"/>
        <w:numPr>
          <w:ilvl w:val="0"/>
          <w:numId w:val="2"/>
        </w:numPr>
        <w:spacing w:after="80"/>
      </w:pPr>
      <w:r>
        <w:rPr>
          <w:b/>
          <w:bCs/>
        </w:rPr>
        <w:t xml:space="preserve">Systemic patterns.</w:t>
      </w:r>
      <w:r>
        <w:t xml:space="preserve"> CSA trend analysis flags recurring nonconformances for ECP or corrective-action consideration.</w:t>
      </w:r>
    </w:p>
    <w:p>
      <w:pPr>
        <w:keepNext w:val="false"/>
        <w:pBdr>
          <w:left w:val="single" w:color="9A4A1F" w:sz="24" w:space="10"/>
        </w:pBdr>
        <w:shd w:fill="EEF2F5" w:color="auto" w:val="clear"/>
        <w:spacing w:after="200" w:before="120"/>
        <w:ind w:left="200" w:right="200"/>
      </w:pPr>
      <w:r>
        <w:rPr>
          <w:b/>
          <w:bCs/>
        </w:rPr>
        <w:t xml:space="preserve">CM audits whether the process was followed and the record is sound. It does not audit whether the engineering was right.</w:t>
      </w:r>
    </w:p>
    <w:p>
      <w:pPr>
        <w:pStyle w:val="Heading1"/>
      </w:pPr>
      <w:r>
        <w:t xml:space="preserve">12. CM's check at CSA acceptance</w:t>
      </w:r>
    </w:p>
    <w:p>
      <w:pPr>
        <w:spacing w:after="140"/>
      </w:pPr>
      <w:r>
        <w:t xml:space="preserve">CM does not re-classify. CM does apply a completeness and consistency check to every minor variance record. It does so at the point it already touches the record: acceptance into CSA.</w:t>
      </w:r>
    </w:p>
    <w:p>
      <w:pPr>
        <w:spacing w:after="140"/>
      </w:pPr>
      <w:r>
        <w:t xml:space="preserve">The check runs at CSA acceptance, not at customer submission. The MRB submits the minor directly. CM's check runs in parallel, off DCMA's critical path.</w:t>
      </w:r>
    </w:p>
    <w:p>
      <w:pPr>
        <w:pStyle w:val="Heading2"/>
      </w:pPr>
      <w:r>
        <w:t xml:space="preserve">The evidence CM requires</w:t>
      </w:r>
    </w:p>
    <w:p>
      <w:pPr>
        <w:spacing w:after="140"/>
      </w:pPr>
      <w:r>
        <w:t xml:space="preserve">CM defines the minimum classification evidence a minor record must contain to be accepted into CSA:</w:t>
      </w:r>
    </w:p>
    <w:p>
      <w:pPr>
        <w:pStyle w:val="ListParagraph"/>
        <w:numPr>
          <w:ilvl w:val="0"/>
          <w:numId w:val="2"/>
        </w:numPr>
        <w:spacing w:after="80"/>
      </w:pPr>
      <w:r>
        <w:t xml:space="preserve">the assigned classification;</w:t>
      </w:r>
    </w:p>
    <w:p>
      <w:pPr>
        <w:pStyle w:val="ListParagraph"/>
        <w:numPr>
          <w:ilvl w:val="0"/>
          <w:numId w:val="2"/>
        </w:numPr>
        <w:spacing w:after="80"/>
      </w:pPr>
      <w:r>
        <w:t xml:space="preserve">the critical and major criteria screened; and</w:t>
      </w:r>
    </w:p>
    <w:p>
      <w:pPr>
        <w:pStyle w:val="ListParagraph"/>
        <w:numPr>
          <w:ilvl w:val="0"/>
          <w:numId w:val="2"/>
        </w:numPr>
        <w:spacing w:after="80"/>
      </w:pPr>
      <w:r>
        <w:t xml:space="preserve">a basis statement for why no critical or major factor applies.</w:t>
      </w:r>
    </w:p>
    <w:p>
      <w:pPr>
        <w:spacing w:after="140"/>
      </w:pPr>
      <w:r>
        <w:t xml:space="preserve">At acceptance, CM verifies that the evidence is present. CM also verifies that it is internally consistent with the documented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CM finds</w:t>
            </w:r>
          </w:p>
        </w:tc>
        <w:tc>
          <w:tcPr>
            <w:tcW w:type="dxa" w:w="51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CM does</w:t>
            </w:r>
          </w:p>
        </w:tc>
      </w:tr>
      <w:tr>
        <w:trPr>
          <w:cantSplit/>
        </w:trPr>
        <w:tc>
          <w:tcPr>
            <w:tcW w:type="dxa" w:w="4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Evidence present and consistent</w:t>
            </w:r>
          </w:p>
        </w:tc>
        <w:tc>
          <w:tcPr>
            <w:tcW w:type="dxa" w:w="5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Accepts the record into CSA. Verification passes.</w:t>
            </w:r>
          </w:p>
        </w:tc>
      </w:tr>
      <w:tr>
        <w:trPr>
          <w:cantSplit/>
        </w:trPr>
        <w:tc>
          <w:tcPr>
            <w:tcW w:type="dxa" w:w="4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Evidence missing: no class, no criteria screen, or no basis statement</w:t>
            </w:r>
          </w:p>
        </w:tc>
        <w:tc>
          <w:tcPr>
            <w:tcW w:type="dxa" w:w="5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Rejects the record and returns it for completeness.</w:t>
            </w:r>
          </w:p>
        </w:tc>
      </w:tr>
      <w:tr>
        <w:trPr>
          <w:cantSplit/>
        </w:trPr>
        <w:tc>
          <w:tcPr>
            <w:tcW w:type="dxa" w:w="42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record's own facts indicate a critical or major criterion the classification does not address</w:t>
            </w:r>
          </w:p>
        </w:tc>
        <w:tc>
          <w:tcPr>
            <w:tcW w:type="dxa" w:w="51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Rejects the record and escalates it: to the MRB, and, where the criteria indicate, to the Acquirer.</w:t>
            </w:r>
          </w:p>
        </w:tc>
      </w:tr>
    </w:tbl>
    <w:p>
      <w:pPr>
        <w:spacing w:after="120"/>
      </w:pPr>
    </w:p>
    <w:p>
      <w:pPr>
        <w:spacing w:after="140"/>
      </w:pPr>
      <w:r>
        <w:t xml:space="preserve">CM does not declare the correct classification. Escalation returns the call to those who own it. CM records every acceptance, rejection, and escalation, with its rationale, in the CSA record.</w:t>
      </w:r>
    </w:p>
    <w:p>
      <w:pPr>
        <w:pStyle w:val="Heading3"/>
      </w:pPr>
      <w:r>
        <w:t xml:space="preserve">Example</w:t>
      </w:r>
    </w:p>
    <w:p>
      <w:pPr>
        <w:spacing w:after="140"/>
      </w:pPr>
      <w:r>
        <w:t xml:space="preserve">A minor record says: "Alternate vendor fastener installed. Specified part unavailable." Its basis statement says: "No critical or major factors apply." The record contradicts itself. Temporary use of alternate items is a major factor. CM rejects and escalates. CM does not write "major" on it.</w:t>
      </w:r>
    </w:p>
    <w:p>
      <w:pPr>
        <w:pStyle w:val="Heading2"/>
      </w:pPr>
      <w:r>
        <w:t xml:space="preserve">The release hold</w:t>
      </w:r>
    </w:p>
    <w:p>
      <w:pPr>
        <w:spacing w:after="140"/>
      </w:pPr>
      <w:r>
        <w:t xml:space="preserve">The check has a consequence. CM already holds it: configuration release authority.</w:t>
      </w:r>
    </w:p>
    <w:p>
      <w:pPr>
        <w:keepNext w:val="false"/>
        <w:pBdr>
          <w:left w:val="single" w:color="9A4A1F" w:sz="24" w:space="10"/>
        </w:pBdr>
        <w:shd w:fill="EEF2F5" w:color="auto" w:val="clear"/>
        <w:spacing w:after="200" w:before="120"/>
        <w:ind w:left="200" w:right="200"/>
      </w:pPr>
      <w:r>
        <w:rPr>
          <w:b/>
          <w:bCs/>
        </w:rPr>
        <w:t xml:space="preserve">A unit is not released for delivery until its minor variance record is accepted into CSA and verification has passed, or an escalation is dispositioned.</w:t>
      </w:r>
    </w:p>
    <w:p>
      <w:pPr>
        <w:pStyle w:val="Heading2"/>
      </w:pPr>
      <w:r>
        <w:t xml:space="preserve">The scope limit</w:t>
      </w:r>
    </w:p>
    <w:p>
      <w:pPr>
        <w:spacing w:after="140"/>
      </w:pPr>
      <w:r>
        <w:t xml:space="preserve">The check catches two kinds of misclassification. The </w:t>
      </w:r>
      <w:r>
        <w:rPr>
          <w:b/>
          <w:bCs/>
        </w:rPr>
        <w:t xml:space="preserve">silent</w:t>
      </w:r>
      <w:r>
        <w:t xml:space="preserve"> one has no criteria screen. The </w:t>
      </w:r>
      <w:r>
        <w:rPr>
          <w:b/>
          <w:bCs/>
        </w:rPr>
        <w:t xml:space="preserve">self-contradicting</w:t>
      </w:r>
      <w:r>
        <w:t xml:space="preserve"> one documents a major factor and still asserts minor.</w:t>
      </w:r>
    </w:p>
    <w:p>
      <w:pPr>
        <w:spacing w:after="140"/>
      </w:pPr>
      <w:r>
        <w:t xml:space="preserve">It cannot catch the </w:t>
      </w:r>
      <w:r>
        <w:rPr>
          <w:b/>
          <w:bCs/>
        </w:rPr>
        <w:t xml:space="preserve">competent-but-wrong</w:t>
      </w:r>
      <w:r>
        <w:t xml:space="preserve"> classification. That record is complete, screens every criterion, and agrees with its own facts. Its engineering judgment is simply wrong. Finding that error takes engineering severity judgment. That judgment is the MRB's responsibility, and it is outside CM's scope.</w:t>
      </w:r>
    </w:p>
    <w:p>
      <w:pPr>
        <w:keepNext/>
        <w:pBdr>
          <w:left w:val="single" w:color="9A4A1F" w:sz="24" w:space="10"/>
        </w:pBdr>
        <w:shd w:fill="EEF2F5" w:color="auto" w:val="clear"/>
        <w:spacing w:after="80" w:before="120"/>
        <w:ind w:left="200" w:right="200"/>
      </w:pPr>
      <w:r>
        <w:rPr>
          <w:b/>
          <w:bCs/>
        </w:rPr>
        <w:t xml:space="preserve">CM's verification covers completeness and internal consistency. It is not engineering validation of the severity judgment.</w:t>
      </w:r>
    </w:p>
    <w:p>
      <w:pPr>
        <w:keepNext w:val="false"/>
        <w:pBdr>
          <w:left w:val="single" w:color="9A4A1F" w:sz="24" w:space="10"/>
        </w:pBdr>
        <w:shd w:fill="EEF2F5" w:color="auto" w:val="clear"/>
        <w:spacing w:after="200" w:before="0"/>
        <w:ind w:left="200" w:right="200"/>
      </w:pPr>
      <w:r>
        <w:t xml:space="preserve">State this limit wherever the check is invoked, so CM is not assigned liability it cannot discharge.</w:t>
      </w:r>
    </w:p>
    <w:p>
      <w:pPr>
        <w:pStyle w:val="Heading1"/>
      </w:pPr>
      <w:r>
        <w:t xml:space="preserve">13. Recording, recurrence, and closure</w:t>
      </w:r>
    </w:p>
    <w:p>
      <w:pPr>
        <w:pStyle w:val="Heading2"/>
      </w:pPr>
      <w:r>
        <w:t xml:space="preserve">Recording</w:t>
      </w:r>
    </w:p>
    <w:p>
      <w:pPr>
        <w:spacing w:after="140"/>
      </w:pPr>
      <w:r>
        <w:t xml:space="preserve">CM captures every dispositioned variance in CSA. The record holds the type (pre-production or post-production), description, impact, effectivity, corrective-action criteria, action to prevent recurrence, disposition authority, and cost or consideration where applicable. CM also records, tracks, and reports the status of corrective actions for nonconforming material addressed by RFVs.</w:t>
      </w:r>
    </w:p>
    <w:p>
      <w:pPr>
        <w:pStyle w:val="Heading2"/>
      </w:pPr>
      <w:r>
        <w:t xml:space="preserve">Recurrence</w:t>
      </w:r>
    </w:p>
    <w:p>
      <w:pPr>
        <w:spacing w:after="140"/>
      </w:pPr>
      <w:r>
        <w:t xml:space="preserve">Bracket 4471-203 comes back. Same hole, next lot. The first corrective action did not work. CM watches for exactly this.</w:t>
      </w:r>
    </w:p>
    <w:p>
      <w:pPr>
        <w:pStyle w:val="ListParagraph"/>
        <w:numPr>
          <w:ilvl w:val="0"/>
          <w:numId w:val="2"/>
        </w:numPr>
        <w:spacing w:after="80"/>
      </w:pPr>
      <w:r>
        <w:t xml:space="preserve">CM flags recurring variances on the same part.</w:t>
      </w:r>
    </w:p>
    <w:p>
      <w:pPr>
        <w:pStyle w:val="ListParagraph"/>
        <w:numPr>
          <w:ilvl w:val="0"/>
          <w:numId w:val="2"/>
        </w:numPr>
        <w:spacing w:after="80"/>
      </w:pPr>
      <w:r>
        <w:t xml:space="preserve">A recurring minor needs Acquirer approval before it is resubmitted. CM ensures it is not resubmitted without it.</w:t>
      </w:r>
    </w:p>
    <w:p>
      <w:pPr>
        <w:pStyle w:val="ListParagraph"/>
        <w:numPr>
          <w:ilvl w:val="0"/>
          <w:numId w:val="2"/>
        </w:numPr>
        <w:spacing w:after="80"/>
      </w:pPr>
      <w:r>
        <w:t xml:space="preserve">Recurring engineering variances are evaluated for an ECP. If the same departure keeps being requested, the requirement may need to change.</w:t>
      </w:r>
    </w:p>
    <w:p>
      <w:pPr>
        <w:pStyle w:val="ListParagraph"/>
        <w:numPr>
          <w:ilvl w:val="0"/>
          <w:numId w:val="2"/>
        </w:numPr>
        <w:spacing w:after="80"/>
      </w:pPr>
      <w:r>
        <w:t xml:space="preserve">CM performs CSA trend analysis to detect recurring nonconformances and report problems.</w:t>
      </w:r>
    </w:p>
    <w:p>
      <w:pPr>
        <w:pStyle w:val="ListParagraph"/>
        <w:numPr>
          <w:ilvl w:val="0"/>
          <w:numId w:val="2"/>
        </w:numPr>
        <w:spacing w:after="80"/>
      </w:pPr>
      <w:r>
        <w:t xml:space="preserve">CM reports recurring CSA-acceptance rejections as a process trend. A run of rejected minors for part substitutions points at the process, not at one record.</w:t>
      </w:r>
    </w:p>
    <w:p>
      <w:pPr>
        <w:pStyle w:val="Heading2"/>
      </w:pPr>
      <w:r>
        <w:t xml:space="preserve">Corrective action and closure</w:t>
      </w:r>
    </w:p>
    <w:p>
      <w:pPr>
        <w:spacing w:after="140"/>
      </w:pPr>
      <w:r>
        <w:t xml:space="preserve">Quality and the MRB drive corrective action. Rework is verified to conformance, and the NCR closes with no variance. For repair and use-as-is, corrective action is executed, and the cause is investigated and corrected.</w:t>
      </w:r>
    </w:p>
    <w:p>
      <w:pPr>
        <w:spacing w:after="140"/>
      </w:pPr>
      <w:r>
        <w:t xml:space="preserve">CM closes the variance. It closes in one of two ways:</w:t>
      </w:r>
    </w:p>
    <w:p>
      <w:pPr>
        <w:pStyle w:val="ListParagraph"/>
        <w:numPr>
          <w:ilvl w:val="0"/>
          <w:numId w:val="2"/>
        </w:numPr>
        <w:spacing w:after="80"/>
      </w:pPr>
      <w:r>
        <w:rPr>
          <w:b/>
          <w:bCs/>
        </w:rPr>
        <w:t xml:space="preserve">The product is brought into compliance.</w:t>
      </w:r>
      <w:r>
        <w:t xml:space="preserve"> For example, compliant parts are later installed in the affected units.</w:t>
      </w:r>
    </w:p>
    <w:p>
      <w:pPr>
        <w:pStyle w:val="ListParagraph"/>
        <w:numPr>
          <w:ilvl w:val="0"/>
          <w:numId w:val="2"/>
        </w:numPr>
        <w:spacing w:after="80"/>
      </w:pPr>
      <w:r>
        <w:rPr>
          <w:b/>
          <w:bCs/>
        </w:rPr>
        <w:t xml:space="preserve">An approved ECP revises the baseline.</w:t>
      </w:r>
      <w:r>
        <w:t xml:space="preserve"> The requirement or design changes permanently, which eliminates the basis for the variance.</w:t>
      </w:r>
    </w:p>
    <w:p>
      <w:pPr>
        <w:spacing w:after="140"/>
      </w:pPr>
      <w:r>
        <w:t xml:space="preserve">A variance does not close because the parts shipped. It does not close because time passed. It closes on verification of one of those two things. Afterward, CM retains the record in CSA for the product life cycle, with full historical traceability.</w:t>
      </w:r>
    </w:p>
    <w:p>
      <w:pPr>
        <w:pStyle w:val="Heading1"/>
      </w:pPr>
      <w:r>
        <w:t xml:space="preserve">14. The safety management system interface</w:t>
      </w:r>
    </w:p>
    <w:p>
      <w:pPr>
        <w:spacing w:after="140"/>
      </w:pPr>
      <w:r>
        <w:t xml:space="preserve">A safety management system runs alongside this process as a safety overlay. It does not change disposition authority, classification, or the roles of CM and the MRB. A quality management system is foundational to a safety management system. That makes the NCR and variance process an upstream data source.</w:t>
      </w:r>
    </w:p>
    <w:p>
      <w:pPr>
        <w:keepNext/>
        <w:pBdr>
          <w:left w:val="single" w:color="1F3A5F" w:sz="24" w:space="10"/>
        </w:pBdr>
        <w:shd w:fill="EEF2F5" w:color="auto" w:val="clear"/>
        <w:spacing w:after="60" w:before="120"/>
        <w:ind w:left="200" w:right="200"/>
      </w:pPr>
      <w:r>
        <w:rPr>
          <w:b/>
          <w:bCs/>
          <w:color w:val="1F3A5F"/>
          <w:spacing w:val="20"/>
          <w:sz w:val="17"/>
          <w:szCs w:val="17"/>
        </w:rPr>
        <w:t xml:space="preserve">QUALITY ESCAPE</w:t>
      </w:r>
    </w:p>
    <w:p>
      <w:pPr>
        <w:keepNext/>
        <w:pBdr>
          <w:left w:val="single" w:color="1F3A5F" w:sz="24" w:space="10"/>
        </w:pBdr>
        <w:shd w:fill="EEF2F5" w:color="auto" w:val="clear"/>
        <w:spacing w:after="80" w:before="0"/>
        <w:ind w:left="200" w:right="200"/>
      </w:pPr>
      <w:r>
        <w:t xml:space="preserve">Product released and later found nonconforming to contract or specification: a delivered UAI item, an escaped nonconformance, or a field-discovered defect.</w:t>
      </w:r>
    </w:p>
    <w:p>
      <w:pPr>
        <w:keepNext w:val="false"/>
        <w:pBdr>
          <w:left w:val="single" w:color="1F3A5F" w:sz="24" w:space="10"/>
        </w:pBdr>
        <w:shd w:fill="EEF2F5" w:color="auto" w:val="clear"/>
        <w:spacing w:after="200" w:before="0"/>
        <w:ind w:left="200" w:right="200"/>
      </w:pPr>
      <w:r>
        <w:rPr>
          <w:i/>
          <w:iCs/>
        </w:rPr>
        <w:t xml:space="preserve">Source: Process, after AS9131</w:t>
      </w:r>
    </w:p>
    <w:p>
      <w:pPr>
        <w:pStyle w:val="Heading2"/>
      </w:pPr>
      <w:r>
        <w:t xml:space="preserve">What feeds the safety management system</w:t>
      </w:r>
    </w:p>
    <w:p>
      <w:pPr>
        <w:spacing w:after="140"/>
      </w:pPr>
      <w:r>
        <w:t xml:space="preserve">Quality and the MRB apply a safety-relevance screen in parallel with disposition. These items feed the hazard log and occurrence reporting, whatever the variance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Item</w:t>
            </w:r>
          </w:p>
        </w:tc>
        <w:tc>
          <w:tcPr>
            <w:tcW w:type="dxa" w:w="6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Why it feeds</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Critical-classified variances</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By definition they affect safety, health, environment, or security. They are mandatory input to hazard identification.</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Quality escapes</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Delivered UAI items, escaped nonconformances, and field or in-service defects are subject to occurrence reporting. A production organization also communicates safety-significant escapes to the design organization (NAS9927).</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Safety-relevant nonconformances reworked to compliance</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 variance results and nothing goes to the customer. The defect may still carry hazard or trend information.</w:t>
            </w:r>
          </w:p>
        </w:tc>
      </w:tr>
      <w:tr>
        <w:trPr>
          <w:cantSplit/>
        </w:trPr>
        <w:tc>
          <w:tcPr>
            <w:tcW w:type="dxa" w:w="30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Recurring nonconformances and variances</w:t>
            </w:r>
          </w:p>
        </w:tc>
        <w:tc>
          <w:tcPr>
            <w:tcW w:type="dxa" w:w="6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 trend signal for hazard identification, in addition to CM's recurrence and ECP check.</w:t>
            </w:r>
          </w:p>
        </w:tc>
      </w:tr>
    </w:tbl>
    <w:p>
      <w:pPr>
        <w:spacing w:after="120"/>
      </w:pPr>
    </w:p>
    <w:p>
      <w:pPr>
        <w:pStyle w:val="Heading2"/>
      </w:pPr>
      <w:r>
        <w:t xml:space="preserve">How it works and where it stops</w:t>
      </w:r>
    </w:p>
    <w:p>
      <w:pPr>
        <w:pStyle w:val="ListParagraph"/>
        <w:numPr>
          <w:ilvl w:val="0"/>
          <w:numId w:val="2"/>
        </w:numPr>
        <w:spacing w:after="80"/>
      </w:pPr>
      <w:r>
        <w:rPr>
          <w:b/>
          <w:bCs/>
        </w:rPr>
        <w:t xml:space="preserve">Parallel, not gated.</w:t>
      </w:r>
      <w:r>
        <w:t xml:space="preserve"> A reworked part with no variance can still be a safety item. A minor variance is not automatically a safety item.</w:t>
      </w:r>
    </w:p>
    <w:p>
      <w:pPr>
        <w:pStyle w:val="ListParagraph"/>
        <w:numPr>
          <w:ilvl w:val="0"/>
          <w:numId w:val="2"/>
        </w:numPr>
        <w:spacing w:after="80"/>
      </w:pPr>
      <w:r>
        <w:rPr>
          <w:b/>
          <w:bCs/>
        </w:rPr>
        <w:t xml:space="preserve">The flow.</w:t>
      </w:r>
      <w:r>
        <w:t xml:space="preserve"> Quality and the MRB flag safety relevance. The safety function logs it in the hazard log and runs safety risk management: hazard identification, risk analysis, risk assessment, and risk control. CSA supplies trend and recurrence data. Safety-significant escapes flow to the design organization.</w:t>
      </w:r>
    </w:p>
    <w:p>
      <w:pPr>
        <w:pStyle w:val="ListParagraph"/>
        <w:numPr>
          <w:ilvl w:val="0"/>
          <w:numId w:val="2"/>
        </w:numPr>
        <w:spacing w:after="80"/>
      </w:pPr>
      <w:r>
        <w:rPr>
          <w:b/>
          <w:bCs/>
        </w:rPr>
        <w:t xml:space="preserve">Ownership.</w:t>
      </w:r>
      <w:r>
        <w:t xml:space="preserve"> Quality, the MRB, and CM own the nonconformance and the variance. The safety function owns the hazard log, safety risk management, occurrence reporting, and design-organization feedback. The interface is a data feed, not a merger.</w:t>
      </w:r>
    </w:p>
    <w:p>
      <w:pPr>
        <w:pStyle w:val="ListParagraph"/>
        <w:numPr>
          <w:ilvl w:val="0"/>
          <w:numId w:val="2"/>
        </w:numPr>
        <w:spacing w:after="80"/>
      </w:pPr>
      <w:r>
        <w:rPr>
          <w:b/>
          <w:bCs/>
        </w:rPr>
        <w:t xml:space="preserve">Boundaries.</w:t>
      </w:r>
      <w:r>
        <w:t xml:space="preserve"> The safety system does not change who classifies or the criteria. The safety feed supplements CM and quality records; it does not replace them. Not every nonconformance is a hazard, and not every NCR goes in.</w:t>
      </w:r>
    </w:p>
    <w:p>
      <w:pPr>
        <w:spacing w:after="140"/>
      </w:pPr>
      <w:r>
        <w:t xml:space="preserve">CM has two safety duties. CM makes variance and nonconformance trend data available to the safety function. CM ensures critical-classified variances and quality escapes are visible to the safety function and, for production organizations, routed for design-organization feedback.</w:t>
      </w:r>
    </w:p>
    <w:p>
      <w:pPr>
        <w:pStyle w:val="Heading1"/>
      </w:pPr>
      <w:r>
        <w:t xml:space="preserve">15. What the contract decides</w:t>
      </w:r>
    </w:p>
    <w:p>
      <w:pPr>
        <w:spacing w:after="140"/>
      </w:pPr>
      <w:r>
        <w:t xml:space="preserve">The process is written to work across contracts. Four of its answers come from the contract, its CDRL, or the CM plan. Answer them at program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Contract question</w:t>
            </w:r>
          </w:p>
        </w:tc>
        <w:tc>
          <w:tcPr>
            <w:tcW w:type="dxa" w:w="47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What holds either way</w:t>
            </w:r>
          </w:p>
        </w:tc>
      </w:tr>
      <w:tr>
        <w:trPr>
          <w:cantSplit/>
        </w:trPr>
        <w:tc>
          <w:tcPr>
            <w:tcW w:type="dxa" w:w="4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Is minor disposition delegated to the MRB, or kept by the Acquirer or DCMA?</w:t>
            </w:r>
          </w:p>
        </w:tc>
        <w:tc>
          <w:tcPr>
            <w:tcW w:type="dxa" w:w="4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record is controlled. CM accepts it into CSA. The unit waits for that acceptance.</w:t>
            </w:r>
          </w:p>
        </w:tc>
      </w:tr>
      <w:tr>
        <w:trPr>
          <w:cantSplit/>
        </w:trPr>
        <w:tc>
          <w:tcPr>
            <w:tcW w:type="dxa" w:w="4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Are DD Form 1694 and DI-SESS-80640 invoked?</w:t>
            </w:r>
          </w:p>
        </w:tc>
        <w:tc>
          <w:tcPr>
            <w:tcW w:type="dxa" w:w="4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submits the controlled RFV for majors and criticals, in the invoked format or the one the contract calls for.</w:t>
            </w:r>
          </w:p>
        </w:tc>
      </w:tr>
      <w:tr>
        <w:trPr>
          <w:cantSplit/>
        </w:trPr>
        <w:tc>
          <w:tcPr>
            <w:tcW w:type="dxa" w:w="4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Has the customer agreed to the NCR form as the minor submission vehicle?</w:t>
            </w:r>
          </w:p>
        </w:tc>
        <w:tc>
          <w:tcPr>
            <w:tcW w:type="dxa" w:w="4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NCR form is the RFV only if the customer agreed and the form carries full content.</w:t>
            </w:r>
          </w:p>
        </w:tc>
      </w:tr>
      <w:tr>
        <w:trPr>
          <w:cantSplit/>
        </w:trPr>
        <w:tc>
          <w:tcPr>
            <w:tcW w:type="dxa" w:w="4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Which records must be submitted to the customer?</w:t>
            </w:r>
          </w:p>
        </w:tc>
        <w:tc>
          <w:tcPr>
            <w:tcW w:type="dxa" w:w="4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feed is trimmed to actual variances unless the contract requires more.</w:t>
            </w:r>
          </w:p>
        </w:tc>
      </w:tr>
    </w:tbl>
    <w:p>
      <w:pPr>
        <w:spacing w:after="120"/>
      </w:pPr>
    </w:p>
    <w:p>
      <w:pPr>
        <w:keepNext w:val="false"/>
        <w:pBdr>
          <w:left w:val="single" w:color="9A4A1F" w:sz="24" w:space="10"/>
        </w:pBdr>
        <w:shd w:fill="EEF2F5" w:color="auto" w:val="clear"/>
        <w:spacing w:after="200" w:before="120"/>
        <w:ind w:left="200" w:right="200"/>
      </w:pPr>
      <w:r>
        <w:rPr>
          <w:b/>
          <w:bCs/>
        </w:rPr>
        <w:t xml:space="preserve">The contract changes the route. It never changes the control.</w:t>
      </w:r>
    </w:p>
    <w:p>
      <w:pPr>
        <w:pStyle w:val="Heading1"/>
      </w:pPr>
      <w:r>
        <w:t xml:space="preserve">16. Best practice</w:t>
      </w:r>
    </w:p>
    <w:p>
      <w:pPr>
        <w:spacing w:after="140"/>
      </w:pPr>
      <w:r>
        <w:t xml:space="preserve">The process says what must happen. These practices help it happen well. Each one rests on a rule already stated in this guide, or on guidance in GEIA-HB-649A where noted.</w:t>
      </w:r>
    </w:p>
    <w:p>
      <w:pPr>
        <w:pStyle w:val="Heading2"/>
      </w:pPr>
      <w:r>
        <w:t xml:space="preserve">For Quality</w:t>
      </w:r>
    </w:p>
    <w:p>
      <w:pPr>
        <w:pStyle w:val="ListParagraph"/>
        <w:numPr>
          <w:ilvl w:val="0"/>
          <w:numId w:val="2"/>
        </w:numPr>
        <w:spacing w:after="80"/>
      </w:pPr>
      <w:r>
        <w:rPr>
          <w:b/>
          <w:bCs/>
        </w:rPr>
        <w:t xml:space="preserve">Segregate first.</w:t>
      </w:r>
      <w:r>
        <w:t xml:space="preserve"> Tag and separate the part before anything else. A misplaced part defeats every later control.</w:t>
      </w:r>
    </w:p>
    <w:p>
      <w:pPr>
        <w:pStyle w:val="ListParagraph"/>
        <w:numPr>
          <w:ilvl w:val="0"/>
          <w:numId w:val="2"/>
        </w:numPr>
        <w:spacing w:after="80"/>
      </w:pPr>
      <w:r>
        <w:rPr>
          <w:b/>
          <w:bCs/>
        </w:rPr>
        <w:t xml:space="preserve">Capture effectivity by serial.</w:t>
      </w:r>
      <w:r>
        <w:t xml:space="preserve"> When only some units in a lot are affected, list the serials. Do not default to the lot.</w:t>
      </w:r>
    </w:p>
    <w:p>
      <w:pPr>
        <w:pStyle w:val="ListParagraph"/>
        <w:numPr>
          <w:ilvl w:val="0"/>
          <w:numId w:val="2"/>
        </w:numPr>
        <w:spacing w:after="80"/>
      </w:pPr>
      <w:r>
        <w:rPr>
          <w:b/>
          <w:bCs/>
        </w:rPr>
        <w:t xml:space="preserve">Name the requirement exactly.</w:t>
      </w:r>
      <w:r>
        <w:t xml:space="preserve"> Give the drawing or specification number, its revision, and the characteristic.</w:t>
      </w:r>
    </w:p>
    <w:p>
      <w:pPr>
        <w:pStyle w:val="ListParagraph"/>
        <w:numPr>
          <w:ilvl w:val="0"/>
          <w:numId w:val="2"/>
        </w:numPr>
        <w:spacing w:after="80"/>
      </w:pPr>
      <w:r>
        <w:rPr>
          <w:b/>
          <w:bCs/>
        </w:rPr>
        <w:t xml:space="preserve">Record measured values.</w:t>
      </w:r>
      <w:r>
        <w:t xml:space="preserve"> Write "12.35 to 12.42 mm," not "out of tolerance." The MRB judges from the numbers.</w:t>
      </w:r>
    </w:p>
    <w:p>
      <w:pPr>
        <w:pStyle w:val="Heading2"/>
      </w:pPr>
      <w:r>
        <w:t xml:space="preserve">For the MRB</w:t>
      </w:r>
    </w:p>
    <w:p>
      <w:pPr>
        <w:pStyle w:val="ListParagraph"/>
        <w:numPr>
          <w:ilvl w:val="0"/>
          <w:numId w:val="2"/>
        </w:numPr>
        <w:spacing w:after="80"/>
      </w:pPr>
      <w:r>
        <w:rPr>
          <w:b/>
          <w:bCs/>
        </w:rPr>
        <w:t xml:space="preserve">Start from the trigger rule.</w:t>
      </w:r>
      <w:r>
        <w:t xml:space="preserve"> Decide the disposition first. Then ask whether a still-noncompliant part will be delivered or accepted.</w:t>
      </w:r>
    </w:p>
    <w:p>
      <w:pPr>
        <w:pStyle w:val="ListParagraph"/>
        <w:numPr>
          <w:ilvl w:val="0"/>
          <w:numId w:val="2"/>
        </w:numPr>
        <w:spacing w:after="80"/>
      </w:pPr>
      <w:r>
        <w:rPr>
          <w:b/>
          <w:bCs/>
        </w:rPr>
        <w:t xml:space="preserve">Write the screen down.</w:t>
      </w:r>
      <w:r>
        <w:t xml:space="preserve"> List the critical factors and the major factors you checked. A minor without a written screen will be rejected at CSA acceptance.</w:t>
      </w:r>
    </w:p>
    <w:p>
      <w:pPr>
        <w:pStyle w:val="ListParagraph"/>
        <w:numPr>
          <w:ilvl w:val="0"/>
          <w:numId w:val="2"/>
        </w:numPr>
        <w:spacing w:after="80"/>
      </w:pPr>
      <w:r>
        <w:rPr>
          <w:b/>
          <w:bCs/>
        </w:rPr>
        <w:t xml:space="preserve">Write a basis statement a non-engineer can follow.</w:t>
      </w:r>
      <w:r>
        <w:t xml:space="preserve"> CM verifies that it agrees with the record's facts. Make that agreement visible.</w:t>
      </w:r>
    </w:p>
    <w:p>
      <w:pPr>
        <w:pStyle w:val="ListParagraph"/>
        <w:numPr>
          <w:ilvl w:val="0"/>
          <w:numId w:val="2"/>
        </w:numPr>
        <w:spacing w:after="80"/>
      </w:pPr>
      <w:r>
        <w:rPr>
          <w:b/>
          <w:bCs/>
        </w:rPr>
        <w:t xml:space="preserve">Treat any substitution as a major factor.</w:t>
      </w:r>
      <w:r>
        <w:t xml:space="preserve"> Temporary use of alternate items is on the major list, however good the alternate part is.</w:t>
      </w:r>
    </w:p>
    <w:p>
      <w:pPr>
        <w:pStyle w:val="ListParagraph"/>
        <w:numPr>
          <w:ilvl w:val="0"/>
          <w:numId w:val="2"/>
        </w:numPr>
        <w:spacing w:after="80"/>
      </w:pPr>
      <w:r>
        <w:rPr>
          <w:b/>
          <w:bCs/>
        </w:rPr>
        <w:t xml:space="preserve">Make the need statement answer one question.</w:t>
      </w:r>
      <w:r>
        <w:t xml:space="preserve"> Why ship rather than rework or dispose? Schedule alone is a weak answer. Pair it with the technical basis.</w:t>
      </w:r>
    </w:p>
    <w:p>
      <w:pPr>
        <w:pStyle w:val="ListParagraph"/>
        <w:numPr>
          <w:ilvl w:val="0"/>
          <w:numId w:val="2"/>
        </w:numPr>
        <w:spacing w:after="80"/>
      </w:pPr>
      <w:r>
        <w:rPr>
          <w:b/>
          <w:bCs/>
        </w:rPr>
        <w:t xml:space="preserve">Fix the cause, not only the part.</w:t>
      </w:r>
      <w:r>
        <w:t xml:space="preserve"> A variance excuses these units. The corrective action protects the next lot. GEIA-HB-649A notes that a recurring variance indicates the corrective action was insufficient, not instituted, or not verified.</w:t>
      </w:r>
    </w:p>
    <w:p>
      <w:pPr>
        <w:pStyle w:val="ListParagraph"/>
        <w:numPr>
          <w:ilvl w:val="0"/>
          <w:numId w:val="2"/>
        </w:numPr>
        <w:spacing w:after="80"/>
      </w:pPr>
      <w:r>
        <w:rPr>
          <w:b/>
          <w:bCs/>
        </w:rPr>
        <w:t xml:space="preserve">Watch for standard repairs.</w:t>
      </w:r>
      <w:r>
        <w:t xml:space="preserve"> GEIA-HB-649A notes that repeated use of a supplier standard repair suggests the requirement may be too stringent. Consider a change request.</w:t>
      </w:r>
    </w:p>
    <w:p>
      <w:pPr>
        <w:pStyle w:val="Heading2"/>
      </w:pPr>
      <w:r>
        <w:t xml:space="preserve">For CM</w:t>
      </w:r>
    </w:p>
    <w:p>
      <w:pPr>
        <w:pStyle w:val="ListParagraph"/>
        <w:numPr>
          <w:ilvl w:val="0"/>
          <w:numId w:val="2"/>
        </w:numPr>
        <w:spacing w:after="80"/>
      </w:pPr>
      <w:r>
        <w:rPr>
          <w:b/>
          <w:bCs/>
        </w:rPr>
        <w:t xml:space="preserve">Keep one identifier.</w:t>
      </w:r>
      <w:r>
        <w:t xml:space="preserve"> Never start a parallel log or a cross-reference spreadsheet. If one exists, retire it.</w:t>
      </w:r>
    </w:p>
    <w:p>
      <w:pPr>
        <w:pStyle w:val="ListParagraph"/>
        <w:numPr>
          <w:ilvl w:val="0"/>
          <w:numId w:val="2"/>
        </w:numPr>
        <w:spacing w:after="80"/>
      </w:pPr>
      <w:r>
        <w:rPr>
          <w:b/>
          <w:bCs/>
        </w:rPr>
        <w:t xml:space="preserve">Publish the acceptance evidence.</w:t>
      </w:r>
      <w:r>
        <w:t xml:space="preserve"> Put the minimum classification evidence in writing, so the MRB knows what CM will accept.</w:t>
      </w:r>
    </w:p>
    <w:p>
      <w:pPr>
        <w:pStyle w:val="ListParagraph"/>
        <w:numPr>
          <w:ilvl w:val="0"/>
          <w:numId w:val="2"/>
        </w:numPr>
        <w:spacing w:after="80"/>
      </w:pPr>
      <w:r>
        <w:rPr>
          <w:b/>
          <w:bCs/>
        </w:rPr>
        <w:t xml:space="preserve">Return fast, escalate cleanly.</w:t>
      </w:r>
      <w:r>
        <w:t xml:space="preserve"> Units wait on CM's decision. Return incomplete records quickly. Escalate contradictions with the specific fact that conflicts.</w:t>
      </w:r>
    </w:p>
    <w:p>
      <w:pPr>
        <w:pStyle w:val="ListParagraph"/>
        <w:numPr>
          <w:ilvl w:val="0"/>
          <w:numId w:val="2"/>
        </w:numPr>
        <w:spacing w:after="80"/>
      </w:pPr>
      <w:r>
        <w:rPr>
          <w:b/>
          <w:bCs/>
        </w:rPr>
        <w:t xml:space="preserve">Escalate. Never re-label.</w:t>
      </w:r>
      <w:r>
        <w:t xml:space="preserve"> CM points to the conflict. The MRB or the Acquirer makes the call.</w:t>
      </w:r>
    </w:p>
    <w:p>
      <w:pPr>
        <w:pStyle w:val="ListParagraph"/>
        <w:numPr>
          <w:ilvl w:val="0"/>
          <w:numId w:val="2"/>
        </w:numPr>
        <w:spacing w:after="80"/>
      </w:pPr>
      <w:r>
        <w:rPr>
          <w:b/>
          <w:bCs/>
        </w:rPr>
        <w:t xml:space="preserve">Record the rationale.</w:t>
      </w:r>
      <w:r>
        <w:t xml:space="preserve"> Every acceptance, rejection, and escalation carries its reason in CSA.</w:t>
      </w:r>
    </w:p>
    <w:p>
      <w:pPr>
        <w:pStyle w:val="ListParagraph"/>
        <w:numPr>
          <w:ilvl w:val="0"/>
          <w:numId w:val="2"/>
        </w:numPr>
        <w:spacing w:after="80"/>
      </w:pPr>
      <w:r>
        <w:rPr>
          <w:b/>
          <w:bCs/>
        </w:rPr>
        <w:t xml:space="preserve">State the scope limit.</w:t>
      </w:r>
      <w:r>
        <w:t xml:space="preserve"> Wherever the acceptance check is cited, say that it covers completeness and consistency, not engineering validation.</w:t>
      </w:r>
    </w:p>
    <w:p>
      <w:pPr>
        <w:pStyle w:val="ListParagraph"/>
        <w:numPr>
          <w:ilvl w:val="0"/>
          <w:numId w:val="2"/>
        </w:numPr>
        <w:spacing w:after="80"/>
      </w:pPr>
      <w:r>
        <w:rPr>
          <w:b/>
          <w:bCs/>
        </w:rPr>
        <w:t xml:space="preserve">Trend on a set schedule.</w:t>
      </w:r>
      <w:r>
        <w:t xml:space="preserve"> Review recurring variances and recurring rejections on a fixed cadence. Report patterns as process problems.</w:t>
      </w:r>
    </w:p>
    <w:p>
      <w:pPr>
        <w:pStyle w:val="ListParagraph"/>
        <w:numPr>
          <w:ilvl w:val="0"/>
          <w:numId w:val="2"/>
        </w:numPr>
        <w:spacing w:after="80"/>
      </w:pPr>
      <w:r>
        <w:rPr>
          <w:b/>
          <w:bCs/>
        </w:rPr>
        <w:t xml:space="preserve">Close on evidence.</w:t>
      </w:r>
      <w:r>
        <w:t xml:space="preserve"> Close only on verified compliance or an approved ECP. Never on shipment or elapsed time.</w:t>
      </w:r>
    </w:p>
    <w:p>
      <w:pPr>
        <w:pStyle w:val="Heading2"/>
      </w:pPr>
      <w:r>
        <w:t xml:space="preserve">For program and contract leads</w:t>
      </w:r>
    </w:p>
    <w:p>
      <w:pPr>
        <w:pStyle w:val="ListParagraph"/>
        <w:numPr>
          <w:ilvl w:val="0"/>
          <w:numId w:val="2"/>
        </w:numPr>
        <w:spacing w:after="80"/>
      </w:pPr>
      <w:r>
        <w:rPr>
          <w:b/>
          <w:bCs/>
        </w:rPr>
        <w:t xml:space="preserve">Answer the four contract questions at program start.</w:t>
      </w:r>
      <w:r>
        <w:t xml:space="preserve"> Record the answers in the CM plan.</w:t>
      </w:r>
    </w:p>
    <w:p>
      <w:pPr>
        <w:pStyle w:val="ListParagraph"/>
        <w:numPr>
          <w:ilvl w:val="0"/>
          <w:numId w:val="2"/>
        </w:numPr>
        <w:spacing w:after="80"/>
      </w:pPr>
      <w:r>
        <w:rPr>
          <w:b/>
          <w:bCs/>
        </w:rPr>
        <w:t xml:space="preserve">Document the NCR form agreement.</w:t>
      </w:r>
      <w:r>
        <w:t xml:space="preserve"> If the customer accepts NCR forms for minors, put that agreement in the contract or the CM plan.</w:t>
      </w:r>
    </w:p>
    <w:p>
      <w:pPr>
        <w:pStyle w:val="ListParagraph"/>
        <w:numPr>
          <w:ilvl w:val="0"/>
          <w:numId w:val="2"/>
        </w:numPr>
        <w:spacing w:after="80"/>
      </w:pPr>
      <w:r>
        <w:rPr>
          <w:b/>
          <w:bCs/>
        </w:rPr>
        <w:t xml:space="preserve">Check the scrap requirement.</w:t>
      </w:r>
      <w:r>
        <w:t xml:space="preserve"> Know whether the contract requires a variance or a report for scrap.</w:t>
      </w:r>
    </w:p>
    <w:p>
      <w:pPr>
        <w:pStyle w:val="Heading1"/>
      </w:pPr>
      <w:r>
        <w:t xml:space="preserve">17.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60"/>
        <w:gridCol w:w="3100"/>
      </w:tblGrid>
      <w:tr>
        <w:trPr>
          <w:tblHeader/>
        </w:trPr>
        <w:tc>
          <w:tcPr>
            <w:tcW w:type="dxa" w:w="29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Mistake</w:t>
            </w:r>
          </w:p>
        </w:tc>
        <w:tc>
          <w:tcPr>
            <w:tcW w:type="dxa" w:w="3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Why it is wrong</w:t>
            </w:r>
          </w:p>
        </w:tc>
        <w:tc>
          <w:tcPr>
            <w:tcW w:type="dxa" w:w="31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Do this instead</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"It's minor, so no variance."</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Severity sets who approves. It does not decide whether a variance exists.</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Apply the trigger rule.</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Putting the whole lot on the variance</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Good units fall under a departure they do not have.</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Limit effectivity to the affected serials.</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Treating an open NCR as permission to ship</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An NCR records a problem. It authorizes nothing.</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Wait for the disposition and any required approval.</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"It's going to DCMA, so it's minor."</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Routing follows the class. It does not set it.</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 from the departure's impact.</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Calling a substitution minor because the part is good</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Temporary use of alternate items is a major factor.</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 it major, or show the documentation classifies it otherwise.</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Issuing a separate RFV number and reconciling later</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Two numbers for one record break traceability.</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Use the tool's identifier as the only identifier.</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writing a new class on a record</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does not classify or override the MRB.</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Reject and escalate, with the conflicting fact.</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Using NCR forms for minors without customer agreement</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Both conditions must hold.</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Use the controlled RFV record until the agreement is documented.</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Sending every NCR to the customer</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Reworked parts and most scrap carry no variance.</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Trim the feed to actual variances, plus anything the contract requires.</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Closing a variance when the parts ship</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Closure needs verified compliance or an approved ECP.</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Close on evidence.</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Describing CM's check as validating the classification</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check covers completeness and consistency only.</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State the scope limit.</w:t>
            </w:r>
          </w:p>
        </w:tc>
      </w:tr>
      <w:tr>
        <w:trPr>
          <w:cantSplit/>
        </w:trPr>
        <w:tc>
          <w:tcPr>
            <w:tcW w:type="dxa" w:w="29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Routing every NCR into the safety system, or none of them</w:t>
            </w:r>
          </w:p>
        </w:tc>
        <w:tc>
          <w:tcPr>
            <w:tcW w:type="dxa" w:w="3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safety screen filters for safety relevance.</w:t>
            </w:r>
          </w:p>
        </w:tc>
        <w:tc>
          <w:tcPr>
            <w:tcW w:type="dxa" w:w="31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Screen in parallel with disposition.</w:t>
            </w:r>
          </w:p>
        </w:tc>
      </w:tr>
    </w:tbl>
    <w:p>
      <w:pPr>
        <w:spacing w:after="120"/>
      </w:pPr>
    </w:p>
    <w:p>
      <w:pPr>
        <w:pStyle w:val="Heading1"/>
      </w:pPr>
      <w:r>
        <w:t xml:space="preserve">18. Quick reference</w:t>
      </w:r>
    </w:p>
    <w:p>
      <w:pPr>
        <w:pStyle w:val="ListParagraph"/>
        <w:numPr>
          <w:ilvl w:val="0"/>
          <w:numId w:val="6"/>
        </w:numPr>
        <w:spacing w:after="80"/>
      </w:pPr>
      <w:r>
        <w:rPr>
          <w:b/>
          <w:bCs/>
        </w:rPr>
        <w:t xml:space="preserve">Does the part depart from its approved definition?</w:t>
      </w:r>
      <w:r>
        <w:t xml:space="preserve"> If yes, Quality opens an NCR, segregates the part, and captures the facts.</w:t>
      </w:r>
    </w:p>
    <w:p>
      <w:pPr>
        <w:pStyle w:val="ListParagraph"/>
        <w:numPr>
          <w:ilvl w:val="0"/>
          <w:numId w:val="6"/>
        </w:numPr>
        <w:spacing w:after="80"/>
      </w:pPr>
      <w:r>
        <w:rPr>
          <w:b/>
          <w:bCs/>
        </w:rPr>
        <w:t xml:space="preserve">What is the disposition?</w:t>
      </w:r>
      <w:r>
        <w:t xml:space="preserve"> The MRB decides: rework, repair, use-as-is, or scrap.</w:t>
      </w:r>
    </w:p>
    <w:p>
      <w:pPr>
        <w:pStyle w:val="ListParagraph"/>
        <w:numPr>
          <w:ilvl w:val="0"/>
          <w:numId w:val="6"/>
        </w:numPr>
        <w:spacing w:after="80"/>
      </w:pPr>
      <w:r>
        <w:rPr>
          <w:b/>
          <w:bCs/>
        </w:rPr>
        <w:t xml:space="preserve">Will a still-noncompliant part be delivered or accepted?</w:t>
      </w:r>
      <w:r>
        <w:t xml:space="preserve"> If no, there is generally no variance. If yes, or if the contract requires a variance for scrap, continue.</w:t>
      </w:r>
    </w:p>
    <w:p>
      <w:pPr>
        <w:pStyle w:val="ListParagraph"/>
        <w:numPr>
          <w:ilvl w:val="0"/>
          <w:numId w:val="6"/>
        </w:numPr>
        <w:spacing w:after="80"/>
      </w:pPr>
      <w:r>
        <w:rPr>
          <w:b/>
          <w:bCs/>
        </w:rPr>
        <w:t xml:space="preserve">What is the class?</w:t>
      </w:r>
      <w:r>
        <w:t xml:space="preserve"> The MRB screens the critical factors, then the major factors. If none applies, the class is minor.</w:t>
      </w:r>
    </w:p>
    <w:p>
      <w:pPr>
        <w:pStyle w:val="ListParagraph"/>
        <w:numPr>
          <w:ilvl w:val="0"/>
          <w:numId w:val="6"/>
        </w:numPr>
        <w:spacing w:after="80"/>
      </w:pPr>
      <w:r>
        <w:rPr>
          <w:b/>
          <w:bCs/>
        </w:rPr>
        <w:t xml:space="preserve">Who approves?</w:t>
      </w:r>
      <w:r>
        <w:t xml:space="preserve"> Minor: the MRB if delegated, otherwise the designated representative. Major or critical: the Acquirer.</w:t>
      </w:r>
    </w:p>
    <w:p>
      <w:pPr>
        <w:pStyle w:val="ListParagraph"/>
        <w:numPr>
          <w:ilvl w:val="0"/>
          <w:numId w:val="6"/>
        </w:numPr>
        <w:spacing w:after="80"/>
      </w:pPr>
      <w:r>
        <w:rPr>
          <w:b/>
          <w:bCs/>
        </w:rPr>
        <w:t xml:space="preserve">Who submits, and what?</w:t>
      </w:r>
      <w:r>
        <w:t xml:space="preserve"> Minor: the MRB, using the controlled record. Major or critical: CM, using the controlled RFV in the contract's format, with an implementation timeline.</w:t>
      </w:r>
    </w:p>
    <w:p>
      <w:pPr>
        <w:pStyle w:val="ListParagraph"/>
        <w:numPr>
          <w:ilvl w:val="0"/>
          <w:numId w:val="6"/>
        </w:numPr>
        <w:spacing w:after="80"/>
      </w:pPr>
      <w:r>
        <w:rPr>
          <w:b/>
          <w:bCs/>
        </w:rPr>
        <w:t xml:space="preserve">Does the record pass CM's check?</w:t>
      </w:r>
      <w:r>
        <w:t xml:space="preserve"> Minors: evidence present and consistent. If not, return or escalate. The unit is held until the check clears.</w:t>
      </w:r>
    </w:p>
    <w:p>
      <w:pPr>
        <w:pStyle w:val="ListParagraph"/>
        <w:numPr>
          <w:ilvl w:val="0"/>
          <w:numId w:val="6"/>
        </w:numPr>
        <w:spacing w:after="80"/>
      </w:pPr>
      <w:r>
        <w:rPr>
          <w:b/>
          <w:bCs/>
        </w:rPr>
        <w:t xml:space="preserve">Has it happened before?</w:t>
      </w:r>
      <w:r>
        <w:t xml:space="preserve"> Recurring minors need Acquirer approval. Recurring engineering variances are evaluated for an ECP.</w:t>
      </w:r>
    </w:p>
    <w:p>
      <w:pPr>
        <w:pStyle w:val="ListParagraph"/>
        <w:numPr>
          <w:ilvl w:val="0"/>
          <w:numId w:val="6"/>
        </w:numPr>
        <w:spacing w:after="80"/>
      </w:pPr>
      <w:r>
        <w:rPr>
          <w:b/>
          <w:bCs/>
        </w:rPr>
        <w:t xml:space="preserve">Is it safety relevant?</w:t>
      </w:r>
      <w:r>
        <w:t xml:space="preserve"> If so, it feeds the safety management system, whatever the variance outcome.</w:t>
      </w:r>
    </w:p>
    <w:p>
      <w:pPr>
        <w:pStyle w:val="ListParagraph"/>
        <w:numPr>
          <w:ilvl w:val="0"/>
          <w:numId w:val="6"/>
        </w:numPr>
        <w:spacing w:after="80"/>
      </w:pPr>
      <w:r>
        <w:rPr>
          <w:b/>
          <w:bCs/>
        </w:rPr>
        <w:t xml:space="preserve">Is the reason for the variance gone?</w:t>
      </w:r>
      <w:r>
        <w:t xml:space="preserve"> Close on verified compliance or an approved ECP. Retain the record for life.</w:t>
      </w:r>
    </w:p>
    <w:p>
      <w:r>
        <w:br w:type="page"/>
      </w:r>
    </w:p>
    <w:p>
      <w:pPr>
        <w:pStyle w:val="Heading1"/>
      </w:pPr>
      <w:r>
        <w:t xml:space="preserve">Appendix A. CM obligations</w:t>
      </w:r>
    </w:p>
    <w:p>
      <w:pPr>
        <w:spacing w:after="140"/>
      </w:pPr>
      <w:r>
        <w:t xml:space="preserve">This table gathers everything the process asks of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Area</w:t>
            </w:r>
          </w:p>
        </w:tc>
        <w:tc>
          <w:tcPr>
            <w:tcW w:type="dxa" w:w="69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CM shall</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Process ownership</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Document the nonconformance and variance configuration-control process in the CM plan or a referenced CM procedure. Maintain the configuration-control process that receives, identifies, and processes RFVs as configuration change management artifacts. The CM manager defines the level of CSA rigor appropriate to the customer and contract.</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Identifier and record control</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Ensure each variance is issued a unique identifier, segregated from other configuration change management documents. Ensure the tool's identifier is the single controlled identifier of record. Ensure it is assigned, and the record is under configuration control, before release to the customer. Recognize the NCR form as the controlled RFV record when the customer agreed and the form carries all required content.</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CSA capture and legitimacy</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Capture every variance in CSA at disposition. Validate required fields, classification, and effectivity, by tool where possible and otherwise at acceptance. Record, track, and report corrective-action status. Maintain effectivity, confirmed at disposition and limited to as few units as possible.</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Minor verification at CSA acceptance</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Define the minimum classification evidence. Verify it is present and internally consistent. Reject and return incomplete records. Escalate, without re-classifying, records whose facts indicate an unaddressed critical or major criterion. Withhold configuration release until acceptance or a dispositioned escalation. Record each decision and its rationale.</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Submission control</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Release only the controlled, identified record. Submit majors and criticals in the format the contract invokes. Apply the acceptance check and release hold to minors the MRB submits.</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Recurrence and trend</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Perform CSA trend analysis. Flag recurring variances, and keep recurring minors from resubmission without Acquirer approval. Ensure recurring engineering variances are evaluated for an ECP. Report recurring acceptance rejections as a process trend.</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Closure and retention</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Track each variance to closure, verified by compliance to baseline or an approved ECP. Retain closed records in CSA for the product life cycle.</w:t>
            </w:r>
          </w:p>
        </w:tc>
      </w:tr>
      <w:tr>
        <w:trPr>
          <w:cantSplit/>
        </w:trPr>
        <w:tc>
          <w:tcPr>
            <w:tcW w:type="dxa" w:w="24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Safety interface</w:t>
            </w:r>
          </w:p>
        </w:tc>
        <w:tc>
          <w:tcPr>
            <w:tcW w:type="dxa" w:w="69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Make variance and nonconformance trend data available to the safety function. Ensure critical variances and quality escapes are visible to it and, for production organizations, routed for design-organization feedback.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CM shall not</w:t>
            </w:r>
          </w:p>
        </w:tc>
      </w:tr>
      <w:tr>
        <w:trPr>
          <w:cantSplit/>
        </w:trPr>
        <w:tc>
          <w:tcPr>
            <w:tcW w:type="dxa" w:w="9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Classify variances.</w:t>
            </w:r>
          </w:p>
        </w:tc>
      </w:tr>
      <w:tr>
        <w:trPr>
          <w:cantSplit/>
        </w:trPr>
        <w:tc>
          <w:tcPr>
            <w:tcW w:type="dxa" w:w="9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Disposition nonconforming material.</w:t>
            </w:r>
          </w:p>
        </w:tc>
      </w:tr>
      <w:tr>
        <w:trPr>
          <w:cantSplit/>
        </w:trPr>
        <w:tc>
          <w:tcPr>
            <w:tcW w:type="dxa" w:w="9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Re-adjudicate or override MRB classifications. Classification disputes are escalated to the Acquirer for final decision.</w:t>
            </w:r>
          </w:p>
        </w:tc>
      </w:tr>
      <w:tr>
        <w:trPr>
          <w:cantSplit/>
        </w:trPr>
        <w:tc>
          <w:tcPr>
            <w:tcW w:type="dxa" w:w="9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Treat its CSA-acceptance verification as engineering validation. It is limited to completeness and internal consistency of the classification rationale.</w:t>
            </w:r>
          </w:p>
        </w:tc>
      </w:tr>
      <w:tr>
        <w:trPr>
          <w:cantSplit/>
        </w:trPr>
        <w:tc>
          <w:tcPr>
            <w:tcW w:type="dxa" w:w="93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Audit the technical correctness of the severity call. CM's audit scope is process and record compliance and product-to-documentation conformance.</w:t>
            </w:r>
          </w:p>
        </w:tc>
      </w:tr>
    </w:tbl>
    <w:p>
      <w:pPr>
        <w:spacing w:after="120"/>
      </w:pPr>
    </w:p>
    <w:p>
      <w:pPr>
        <w:pStyle w:val="Heading1"/>
      </w:pPr>
      <w:r>
        <w:t xml:space="preserve">Appendix B. References</w:t>
      </w:r>
    </w:p>
    <w:p>
      <w:pPr>
        <w:pStyle w:val="ListParagraph"/>
        <w:numPr>
          <w:ilvl w:val="0"/>
          <w:numId w:val="2"/>
        </w:numPr>
        <w:spacing w:after="80"/>
      </w:pPr>
      <w:r>
        <w:rPr>
          <w:b/>
          <w:bCs/>
        </w:rPr>
        <w:t xml:space="preserve">EIA-649-1A.</w:t>
      </w:r>
      <w:r>
        <w:t xml:space="preserve"> Configuration management requirements for defense contracts. Source of the definitions, classification criteria, RFV duties, and CSA duties quoted in this guide.</w:t>
      </w:r>
    </w:p>
    <w:p>
      <w:pPr>
        <w:pStyle w:val="ListParagraph"/>
        <w:numPr>
          <w:ilvl w:val="0"/>
          <w:numId w:val="2"/>
        </w:numPr>
        <w:spacing w:after="80"/>
      </w:pPr>
      <w:r>
        <w:rPr>
          <w:b/>
          <w:bCs/>
        </w:rPr>
        <w:t xml:space="preserve">GEIA-HB-649A.</w:t>
      </w:r>
      <w:r>
        <w:t xml:space="preserve"> Configuration management implementation handbook. Source of the variance identifier, content, effectivity, cost, classification, and closure guidance.</w:t>
      </w:r>
    </w:p>
    <w:p>
      <w:pPr>
        <w:pStyle w:val="ListParagraph"/>
        <w:numPr>
          <w:ilvl w:val="0"/>
          <w:numId w:val="2"/>
        </w:numPr>
        <w:spacing w:after="80"/>
      </w:pPr>
      <w:r>
        <w:rPr>
          <w:b/>
          <w:bCs/>
        </w:rPr>
        <w:t xml:space="preserve">AS9131.</w:t>
      </w:r>
      <w:r>
        <w:t xml:space="preserve"> Aerospace nonconformance data definition and documentation. Source of the quality escape concept.</w:t>
      </w:r>
    </w:p>
    <w:p>
      <w:pPr>
        <w:pStyle w:val="ListParagraph"/>
        <w:numPr>
          <w:ilvl w:val="0"/>
          <w:numId w:val="2"/>
        </w:numPr>
        <w:spacing w:after="80"/>
      </w:pPr>
      <w:r>
        <w:rPr>
          <w:b/>
          <w:bCs/>
        </w:rPr>
        <w:t xml:space="preserve">NAS9927.</w:t>
      </w:r>
      <w:r>
        <w:t xml:space="preserve"> Aerospace safety management system standard. Source of the duty to communicate safety-significant escapes from a production organization to the design organization.</w:t>
      </w:r>
    </w:p>
    <w:p>
      <w:pPr>
        <w:pStyle w:val="ListParagraph"/>
        <w:numPr>
          <w:ilvl w:val="0"/>
          <w:numId w:val="2"/>
        </w:numPr>
        <w:spacing w:after="80"/>
      </w:pPr>
      <w:r>
        <w:rPr>
          <w:b/>
          <w:bCs/>
        </w:rPr>
        <w:t xml:space="preserve">DD Form 1694 and DI-SESS-80640.</w:t>
      </w:r>
      <w:r>
        <w:t xml:space="preserve"> The request for variance form and its data item description, used when the contract invokes them.</w:t>
      </w:r>
    </w:p>
    <w:p>
      <w:pPr>
        <w:pStyle w:val="ListParagraph"/>
        <w:numPr>
          <w:ilvl w:val="0"/>
          <w:numId w:val="2"/>
        </w:numPr>
        <w:spacing w:after="80"/>
      </w:pPr>
      <w:r>
        <w:rPr>
          <w:b/>
          <w:bCs/>
        </w:rPr>
        <w:t xml:space="preserve">The nonconformance and variance process (draft).</w:t>
      </w:r>
      <w:r>
        <w:t xml:space="preserve"> The governing process. This guide explains it and does not replace it.</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C6D78"/>
        <w:sz w:val="16"/>
        <w:szCs w:val="16"/>
      </w:rPr>
      <w:t xml:space="preserve">[Company]  ·  Draft for review</w:t>
    </w:r>
    <w:r>
      <w:rPr>
        <w:color w:val="5C6D7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F" w:sz="4" w:space="4"/>
      </w:pBdr>
      <w:jc w:val="right"/>
    </w:pPr>
    <w:r>
      <w:rPr>
        <w:color w:val="5C6D78"/>
        <w:sz w:val="16"/>
        <w:szCs w:val="16"/>
      </w:rPr>
      <w:t xml:space="preserve">Nonconformance and Variance: A Guide to the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62E"/>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10" w:before="260"/>
      <w:outlineLvl w:val="1"/>
    </w:pPr>
    <w:rPr>
      <w:rFonts w:ascii="Arial" w:cs="Arial" w:eastAsia="Arial" w:hAnsi="Arial"/>
      <w:b/>
      <w:bCs/>
      <w:color w:val="1F3A5F"/>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9A4A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Nonconformance and Variance: A Guide to the Process</dc:title>
  <dc:creator>[Company] Configuration Management</dc:creator>
  <dc:description>Guide to the nonconformance and variance process</dc:description>
  <cp:lastModifiedBy>Un-named</cp:lastModifiedBy>
  <cp:revision>1</cp:revision>
  <dcterms:created xsi:type="dcterms:W3CDTF">2026-10-02T19:52:12.843Z</dcterms:created>
  <dcterms:modified xsi:type="dcterms:W3CDTF">2026-10-02T19:52:12.843Z</dcterms:modified>
</cp:coreProperties>
</file>

<file path=docProps/custom.xml><?xml version="1.0" encoding="utf-8"?>
<Properties xmlns="http://schemas.openxmlformats.org/officeDocument/2006/custom-properties" xmlns:vt="http://schemas.openxmlformats.org/officeDocument/2006/docPropsVTypes"/>
</file>