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A5F"/>
          <w:spacing w:val="40"/>
          <w:sz w:val="40"/>
          <w:szCs w:val="40"/>
        </w:rPr>
        <w:t xml:space="preserve">MEMORANDUM</w:t>
      </w:r>
    </w:p>
    <w:p>
      <w:pPr>
        <w:tabs>
          <w:tab w:val="left" w:pos="1300"/>
        </w:tabs>
        <w:spacing w:after="80"/>
      </w:pPr>
      <w:r>
        <w:rPr>
          <w:b/>
          <w:bCs/>
          <w:sz w:val="21"/>
          <w:szCs w:val="21"/>
        </w:rPr>
        <w:t xml:space="preserve">TO:</w:t>
      </w:r>
      <w:r>
        <w:rPr>
          <w:sz w:val="21"/>
          <w:szCs w:val="21"/>
        </w:rPr>
        <w:t xml:space="preserve">	Executive Leadership; Engineering Management</w:t>
      </w:r>
    </w:p>
    <w:p>
      <w:pPr>
        <w:tabs>
          <w:tab w:val="left" w:pos="1300"/>
        </w:tabs>
        <w:spacing w:after="80"/>
      </w:pPr>
      <w:r>
        <w:rPr>
          <w:b/>
          <w:bCs/>
          <w:sz w:val="21"/>
          <w:szCs w:val="21"/>
        </w:rPr>
        <w:t xml:space="preserve">FROM:</w:t>
      </w:r>
      <w:r>
        <w:rPr>
          <w:sz w:val="21"/>
          <w:szCs w:val="21"/>
        </w:rPr>
        <w:t xml:space="preserve">	[Name], Configuration Management</w:t>
      </w:r>
    </w:p>
    <w:p>
      <w:pPr>
        <w:tabs>
          <w:tab w:val="left" w:pos="1300"/>
        </w:tabs>
        <w:spacing w:after="80"/>
      </w:pPr>
      <w:r>
        <w:rPr>
          <w:b/>
          <w:bCs/>
          <w:sz w:val="21"/>
          <w:szCs w:val="21"/>
        </w:rPr>
        <w:t xml:space="preserve">DATE:</w:t>
      </w:r>
      <w:r>
        <w:rPr>
          <w:sz w:val="21"/>
          <w:szCs w:val="21"/>
        </w:rPr>
        <w:t xml:space="preserve">	October 2, 2026</w:t>
      </w:r>
    </w:p>
    <w:p>
      <w:pPr>
        <w:pBdr>
          <w:bottom w:val="single" w:color="1F3A5F" w:sz="8" w:space="8"/>
        </w:pBdr>
        <w:tabs>
          <w:tab w:val="left" w:pos="1300"/>
        </w:tabs>
        <w:spacing w:after="200"/>
        <w:ind w:left="1300" w:hanging="1300"/>
      </w:pPr>
      <w:r>
        <w:rPr>
          <w:b/>
          <w:bCs/>
          <w:sz w:val="21"/>
          <w:szCs w:val="21"/>
        </w:rPr>
        <w:t xml:space="preserve">SUBJECT:</w:t>
      </w:r>
      <w:r>
        <w:rPr>
          <w:sz w:val="21"/>
          <w:szCs w:val="21"/>
        </w:rPr>
        <w:t xml:space="preserve">	The nonconformance and variance process: what it does, what it changes, and what it needs from you</w:t>
      </w:r>
    </w:p>
    <w:p>
      <w:pPr>
        <w:pStyle w:val="Heading2"/>
      </w:pPr>
      <w:r>
        <w:t xml:space="preserve">Bottom line</w:t>
      </w:r>
    </w:p>
    <w:p>
      <w:pPr>
        <w:spacing w:after="140"/>
      </w:pPr>
      <w:r>
        <w:t xml:space="preserve">When a part does not match its approved definition, this process decides three things. It decides what happens to the part. It decides who must approve that decision. And it decides how the decision is recorded for the life of the product.</w:t>
      </w:r>
    </w:p>
    <w:p>
      <w:pPr>
        <w:spacing w:after="140"/>
      </w:pPr>
      <w:r>
        <w:t xml:space="preserve">The process splits the work in a clear way. The Material Review Board (MRB) makes the technical call. Configuration Management (CM) controls the record. The customer approves what the contract and the severity require.</w:t>
      </w:r>
    </w:p>
    <w:p>
      <w:pPr>
        <w:spacing w:after="140"/>
      </w:pPr>
      <w:r>
        <w:t xml:space="preserve">The design does two things leaders should care about. It takes CM out of the delivery path, so variances move faster. And it keeps every CM control, so each variance stays traceable and defensible.</w:t>
      </w:r>
    </w:p>
    <w:p>
      <w:pPr>
        <w:spacing w:after="140"/>
      </w:pPr>
      <w:r>
        <w:t xml:space="preserve">The process is in draft. This memo explains its key features and asks for five specific commitments.</w:t>
      </w:r>
    </w:p>
    <w:p>
      <w:pPr>
        <w:pStyle w:val="Heading2"/>
      </w:pPr>
      <w:r>
        <w:t xml:space="preserve">A concrete case</w:t>
      </w:r>
    </w:p>
    <w:p>
      <w:pPr>
        <w:spacing w:after="140"/>
      </w:pPr>
      <w:r>
        <w:t xml:space="preserve">A bracket's drawing puts a hole 12.00 mm from an edge, plus or minus 0.10 mm. Inspection measures 12.40 mm on eight brackets in a lot of 40. Engineering shows the fastener still fits and the joint still carries its load. The program wants to ship.</w:t>
      </w:r>
    </w:p>
    <w:p>
      <w:pPr>
        <w:spacing w:after="140"/>
      </w:pPr>
      <w:r>
        <w:t xml:space="preserve">Shipping those eight brackets takes a </w:t>
      </w:r>
      <w:r>
        <w:rPr>
          <w:b/>
          <w:bCs/>
        </w:rPr>
        <w:t xml:space="preserve">variance</w:t>
      </w:r>
      <w:r>
        <w:t xml:space="preserve">. Here is the exact meaning of that word in this process:</w:t>
      </w:r>
    </w:p>
    <w:p>
      <w:pPr>
        <w:keepNext/>
        <w:pBdr>
          <w:left w:val="single" w:color="1F3A5F" w:sz="24" w:space="10"/>
        </w:pBdr>
        <w:shd w:fill="EEF2F5" w:color="auto" w:val="clear"/>
        <w:spacing w:after="60" w:before="120"/>
        <w:ind w:left="200" w:right="200"/>
      </w:pPr>
      <w:r>
        <w:rPr>
          <w:b/>
          <w:bCs/>
          <w:color w:val="1F3A5F"/>
          <w:spacing w:val="20"/>
          <w:sz w:val="17"/>
          <w:szCs w:val="17"/>
        </w:rPr>
        <w:t xml:space="preserve">VARIANCE</w:t>
      </w:r>
    </w:p>
    <w:p>
      <w:pPr>
        <w:keepNext w:val="false"/>
        <w:pBdr>
          <w:left w:val="single" w:color="1F3A5F" w:sz="24" w:space="10"/>
        </w:pBdr>
        <w:shd w:fill="EEF2F5" w:color="auto" w:val="clear"/>
        <w:spacing w:after="200" w:before="0"/>
        <w:ind w:left="200" w:right="200"/>
      </w:pPr>
      <w:r>
        <w:t xml:space="preserve">Authorization for a nonconforming product to depart from baseline requirements for a specific unit, number of units, or period of time, without revising the product definition information.</w:t>
      </w:r>
    </w:p>
    <w:p>
      <w:pPr>
        <w:spacing w:after="140"/>
      </w:pPr>
      <w:r>
        <w:t xml:space="preserve">A variance is permission, not a fix. The drawing does not change. The eight brackets are excused from it. Thirty years from now, someone must still be able to find which eight, why, and who approved it.</w:t>
      </w:r>
    </w:p>
    <w:p>
      <w:pPr>
        <w:pStyle w:val="Heading2"/>
      </w:pPr>
      <w:r>
        <w:t xml:space="preserve">Six things to know</w:t>
      </w:r>
    </w:p>
    <w:p>
      <w:pPr>
        <w:spacing w:after="140"/>
      </w:pPr>
      <w:r>
        <w:rPr>
          <w:b/>
          <w:bCs/>
        </w:rPr>
        <w:t xml:space="preserve">1. The trigger is delivery, not severity.</w:t>
      </w:r>
      <w:r>
        <w:t xml:space="preserve"> A variance is required when a still-noncompliant part will be delivered or accepted. Repair and use-as-is need one. Rework restores full compliance and normally needs none. Scrap normally needs none unless the contract requires it. Size never decides. A tiny departure that ships needs a variance. A gross defect that is scrapped normally does not.</w:t>
      </w:r>
    </w:p>
    <w:p>
      <w:pPr>
        <w:spacing w:after="140"/>
      </w:pPr>
      <w:r>
        <w:t xml:space="preserve">That rule keeps the customer feed clean. We send actual variances, not every nonconformance record.</w:t>
      </w:r>
    </w:p>
    <w:p>
      <w:pPr>
        <w:spacing w:after="140"/>
      </w:pPr>
      <w:r>
        <w:rPr>
          <w:b/>
          <w:bCs/>
        </w:rPr>
        <w:t xml:space="preserve">2. Engineering owns the classification.</w:t>
      </w:r>
      <w:r>
        <w:t xml:space="preserve"> The MRB classifies each variance critical, major, or minor. The criteria come from EIA-649-1A. Critical means the departure affects safety, human health, environment, or security. Major covers factors such as performance limits, interchangeability, structural strength, weight and balance, and temporary use of alternate items. Minor means none of those factors applies.</w:t>
      </w:r>
    </w:p>
    <w:p>
      <w:pPr>
        <w:spacing w:after="140"/>
      </w:pPr>
      <w:r>
        <w:t xml:space="preserve">Classification sets the approval authority. Majors and criticals go to the customer. Minors go to the customer's designated representative, such as DCMA, or stay with the MRB when the contract delegates them. Disputes with the customer's representative go to the customer for final decision.</w:t>
      </w:r>
    </w:p>
    <w:p>
      <w:pPr>
        <w:keepNext w:val="false"/>
        <w:pBdr>
          <w:left w:val="single" w:color="9A4A1F" w:sz="24" w:space="10"/>
        </w:pBdr>
        <w:shd w:fill="EEF2F5" w:color="auto" w:val="clear"/>
        <w:spacing w:after="200" w:before="120"/>
        <w:ind w:left="200" w:right="200"/>
      </w:pPr>
      <w:r>
        <w:rPr>
          <w:b/>
          <w:bCs/>
        </w:rPr>
        <w:t xml:space="preserve">The MRB decides the technical fate of the part and its classification. CM owns the variance as a controlled configuration record.</w:t>
      </w:r>
    </w:p>
    <w:p>
      <w:pPr>
        <w:spacing w:after="140"/>
      </w:pPr>
      <w:r>
        <w:rPr>
          <w:b/>
          <w:bCs/>
        </w:rPr>
        <w:t xml:space="preserve">3. CM controls the record through the tool, not by hand.</w:t>
      </w:r>
      <w:r>
        <w:t xml:space="preserve"> The NCR tool assigns the variance identifier and feeds the CM record system automatically. The MRB submits minors directly. No CM person sits in the delivery path. The process allows this only if four conditions hold:</w:t>
      </w:r>
    </w:p>
    <w:p>
      <w:pPr>
        <w:pStyle w:val="ListParagraph"/>
        <w:numPr>
          <w:ilvl w:val="0"/>
          <w:numId w:val="2"/>
        </w:numPr>
        <w:spacing w:after="80"/>
      </w:pPr>
      <w:r>
        <w:t xml:space="preserve">One identifier per variance, issued by the tool. No parallel numbering.</w:t>
      </w:r>
    </w:p>
    <w:p>
      <w:pPr>
        <w:pStyle w:val="ListParagraph"/>
        <w:numPr>
          <w:ilvl w:val="0"/>
          <w:numId w:val="2"/>
        </w:numPr>
        <w:spacing w:after="80"/>
      </w:pPr>
      <w:r>
        <w:t xml:space="preserve">A record feed that rejects incomplete data: required fields, a classification, and the affected units.</w:t>
      </w:r>
    </w:p>
    <w:p>
      <w:pPr>
        <w:pStyle w:val="ListParagraph"/>
        <w:numPr>
          <w:ilvl w:val="0"/>
          <w:numId w:val="2"/>
        </w:numPr>
        <w:spacing w:after="80"/>
      </w:pPr>
      <w:r>
        <w:t xml:space="preserve">Full variance content in every record, not a bare inspection entry.</w:t>
      </w:r>
    </w:p>
    <w:p>
      <w:pPr>
        <w:pStyle w:val="ListParagraph"/>
        <w:numPr>
          <w:ilvl w:val="0"/>
          <w:numId w:val="2"/>
        </w:numPr>
        <w:spacing w:after="80"/>
      </w:pPr>
      <w:r>
        <w:t xml:space="preserve">CM still owns trend analysis, recurring variances, closure, and life-cycle retention.</w:t>
      </w:r>
    </w:p>
    <w:p>
      <w:pPr>
        <w:spacing w:after="140"/>
      </w:pPr>
      <w:r>
        <w:rPr>
          <w:b/>
          <w:bCs/>
        </w:rPr>
        <w:t xml:space="preserve">4. CM checks minors, and holds the unit until the check clears.</w:t>
      </w:r>
      <w:r>
        <w:t xml:space="preserve"> When a minor variance record enters the CM record system, CM checks two things. The record must show the classification, the criteria screened, and a basis statement. And that evidence must agree with the record's own facts. If evidence is missing, CM returns the record. If the facts point to a major factor, CM escalates to the MRB or the customer.</w:t>
      </w:r>
    </w:p>
    <w:p>
      <w:pPr>
        <w:spacing w:after="140"/>
      </w:pPr>
      <w:r>
        <w:t xml:space="preserve">The check runs in parallel with the submission to DCMA, so it adds no customer wait. It has one consequence. The unit is not released for delivery until the check clears or the escalation is resolved.</w:t>
      </w:r>
    </w:p>
    <w:p>
      <w:pPr>
        <w:spacing w:after="140"/>
      </w:pPr>
      <w:r>
        <w:rPr>
          <w:b/>
          <w:bCs/>
        </w:rPr>
        <w:t xml:space="preserve">5. CM's check has a limit, and leaders should know it.</w:t>
      </w:r>
      <w:r>
        <w:t xml:space="preserve"> CM verifies that a record is complete and consistent. CM does not validate the engineering. A record can be complete, consistent, and wrong. Catching that error takes engineering severity judgment, which belongs to the MRB.</w:t>
      </w:r>
    </w:p>
    <w:p>
      <w:pPr>
        <w:keepNext w:val="false"/>
        <w:pBdr>
          <w:left w:val="single" w:color="9A4A1F" w:sz="24" w:space="10"/>
        </w:pBdr>
        <w:shd w:fill="EEF2F5" w:color="auto" w:val="clear"/>
        <w:spacing w:after="200" w:before="120"/>
        <w:ind w:left="200" w:right="200"/>
      </w:pPr>
      <w:r>
        <w:rPr>
          <w:b/>
          <w:bCs/>
        </w:rPr>
        <w:t xml:space="preserve">CM's verification covers completeness and internal consistency. It is not engineering validation of the severity judgment.</w:t>
      </w:r>
    </w:p>
    <w:p>
      <w:pPr>
        <w:spacing w:after="140"/>
      </w:pPr>
      <w:r>
        <w:rPr>
          <w:b/>
          <w:bCs/>
        </w:rPr>
        <w:t xml:space="preserve">6. Safety data flows out in parallel.</w:t>
      </w:r>
      <w:r>
        <w:t xml:space="preserve"> Critical variances, quality escapes, safety-relevant defects that were reworked, and recurring nonconformances feed the safety management system. The safety feed does not change who classifies or who approves. It adds a parallel obligation.</w:t>
      </w:r>
    </w:p>
    <w:p>
      <w:pPr>
        <w:pStyle w:val="Heading2"/>
      </w:pPr>
      <w:r>
        <w:t xml:space="preserve">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Exposure</w:t>
            </w:r>
          </w:p>
        </w:tc>
        <w:tc>
          <w:tcPr>
            <w:tcW w:type="dxa" w:w="6760"/>
            <w:tcBorders>
              <w:top w:val="single" w:color="BFC8CF" w:sz="4"/>
              <w:left w:val="single" w:color="BFC8CF" w:sz="4"/>
              <w:bottom w:val="single" w:color="BFC8CF" w:sz="4"/>
              <w:right w:val="single" w:color="BFC8CF" w:sz="4"/>
            </w:tcBorders>
            <w:shd w:fill="1F3A5F" w:color="auto" w:val="clear"/>
            <w:tcMar>
              <w:top w:type="dxa" w:w="70"/>
              <w:left w:type="dxa" w:w="110"/>
              <w:bottom w:type="dxa" w:w="70"/>
              <w:right w:type="dxa" w:w="110"/>
            </w:tcMar>
          </w:tcPr>
          <w:p>
            <w:pPr>
              <w:spacing w:after="0"/>
            </w:pPr>
            <w:r>
              <w:rPr>
                <w:b/>
                <w:bCs/>
                <w:color w:val="FFFFFF"/>
                <w:sz w:val="19"/>
                <w:szCs w:val="19"/>
              </w:rPr>
              <w:t xml:space="preserve">How the process addresses it</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Lost traceability</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One identifier per variance, limited to as few units as possible, retained for the product life cycle.</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Wrong approval authority</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Classification by the MRB against published criteria. Disputes go to the customer, not to an internal tie-breaker.</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Misclassified minors reaching the customer</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CM's completeness and consistency check, with a release hold. It catches records that skip the screen or contradict themselves.</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Unclear accountability</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The MRB owns the engineering judgment. CM owns the record. Neither is assigned a duty it cannot discharge.</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Slow delivery</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No CM person in the delivery path. CM's check runs off the customer's critical path.</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Repeat problems</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CM flags recurring variances. Recurring minors need customer approval before resubmission. Recurring engineering variances are evaluated for an engineering change.</w:t>
            </w:r>
          </w:p>
        </w:tc>
      </w:tr>
      <w:tr>
        <w:trPr>
          <w:cantSplit/>
        </w:trPr>
        <w:tc>
          <w:tcPr>
            <w:tcW w:type="dxa" w:w="260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Cost</w:t>
            </w:r>
          </w:p>
        </w:tc>
        <w:tc>
          <w:tcPr>
            <w:tcW w:type="dxa" w:w="6760"/>
            <w:tcBorders>
              <w:top w:val="single" w:color="BFC8CF" w:sz="4"/>
              <w:left w:val="single" w:color="BFC8CF" w:sz="4"/>
              <w:bottom w:val="single" w:color="BFC8CF" w:sz="4"/>
              <w:right w:val="single" w:color="BFC8CF" w:sz="4"/>
            </w:tcBorders>
            <w:tcMar>
              <w:top w:type="dxa" w:w="70"/>
              <w:left w:type="dxa" w:w="110"/>
              <w:bottom w:type="dxa" w:w="70"/>
              <w:right w:type="dxa" w:w="110"/>
            </w:tcMar>
          </w:tcPr>
          <w:p>
            <w:pPr>
              <w:spacing w:after="0"/>
            </w:pPr>
            <w:r>
              <w:rPr>
                <w:sz w:val="19"/>
                <w:szCs w:val="19"/>
              </w:rPr>
              <w:t xml:space="preserve">Minor variance costs are normally borne by the supplier. Major and critical variances can draw customer consideration. Fewer repeats mean less of both.</w:t>
            </w:r>
          </w:p>
        </w:tc>
      </w:tr>
    </w:tbl>
    <w:p>
      <w:pPr>
        <w:spacing w:after="120"/>
      </w:pPr>
    </w:p>
    <w:p>
      <w:pPr>
        <w:pStyle w:val="Heading2"/>
      </w:pPr>
      <w:r>
        <w:t xml:space="preserve">What we need from you</w:t>
      </w:r>
    </w:p>
    <w:p>
      <w:pPr>
        <w:pStyle w:val="Heading3"/>
      </w:pPr>
      <w:r>
        <w:t xml:space="preserve">Engineering management</w:t>
      </w:r>
    </w:p>
    <w:p>
      <w:pPr>
        <w:pStyle w:val="ListParagraph"/>
        <w:numPr>
          <w:ilvl w:val="0"/>
          <w:numId w:val="3"/>
        </w:numPr>
        <w:spacing w:after="80"/>
      </w:pPr>
      <w:r>
        <w:rPr>
          <w:b/>
          <w:bCs/>
        </w:rPr>
        <w:t xml:space="preserve">Staff the MRB engineering seat with people who can make the severity call, and hold them accountable for it.</w:t>
      </w:r>
      <w:r>
        <w:t xml:space="preserve"> The process gives classification to the MRB alone. CM will not second-guess the engineering.</w:t>
      </w:r>
    </w:p>
    <w:p>
      <w:pPr>
        <w:pStyle w:val="ListParagraph"/>
        <w:numPr>
          <w:ilvl w:val="0"/>
          <w:numId w:val="3"/>
        </w:numPr>
        <w:spacing w:after="80"/>
      </w:pPr>
      <w:r>
        <w:rPr>
          <w:b/>
          <w:bCs/>
        </w:rPr>
        <w:t xml:space="preserve">Require a written criteria screen and basis statement on every minor.</w:t>
      </w:r>
      <w:r>
        <w:t xml:space="preserve"> Without them, CM will return the record and the unit will wait. Treat any part substitution as a major factor, as the criteria require.</w:t>
      </w:r>
    </w:p>
    <w:p>
      <w:pPr>
        <w:pStyle w:val="Heading3"/>
      </w:pPr>
      <w:r>
        <w:t xml:space="preserve">Executive leadership</w:t>
      </w:r>
    </w:p>
    <w:p>
      <w:pPr>
        <w:pStyle w:val="ListParagraph"/>
        <w:numPr>
          <w:ilvl w:val="0"/>
          <w:numId w:val="4"/>
        </w:numPr>
        <w:spacing w:after="80"/>
      </w:pPr>
      <w:r>
        <w:rPr>
          <w:b/>
          <w:bCs/>
        </w:rPr>
        <w:t xml:space="preserve">Back the release hold under schedule pressure.</w:t>
      </w:r>
      <w:r>
        <w:t xml:space="preserve"> The hold is the control that makes CM's check matter. A complete, consistent record clears it. A unit waits longer only when its record is incomplete or contradicts itself.</w:t>
      </w:r>
    </w:p>
    <w:p>
      <w:pPr>
        <w:pStyle w:val="ListParagraph"/>
        <w:numPr>
          <w:ilvl w:val="0"/>
          <w:numId w:val="4"/>
        </w:numPr>
        <w:spacing w:after="80"/>
      </w:pPr>
      <w:r>
        <w:rPr>
          <w:b/>
          <w:bCs/>
        </w:rPr>
        <w:t xml:space="preserve">Commit the NCR tool to the four conditions.</w:t>
      </w:r>
      <w:r>
        <w:t xml:space="preserve"> One identifier, enforced data rules, full variance content. If the tool cannot enforce a rule, CM must check it by hand, which costs time.</w:t>
      </w:r>
    </w:p>
    <w:p>
      <w:pPr>
        <w:pStyle w:val="ListParagraph"/>
        <w:numPr>
          <w:ilvl w:val="0"/>
          <w:numId w:val="4"/>
        </w:numPr>
        <w:spacing w:after="80"/>
      </w:pPr>
      <w:r>
        <w:rPr>
          <w:b/>
          <w:bCs/>
        </w:rPr>
        <w:t xml:space="preserve">Direct each program to answer four contract questions at start-up.</w:t>
      </w:r>
      <w:r>
        <w:t xml:space="preserve"> Is minor disposition delegated to the MRB? Is DD Form 1694 invoked? Will the customer accept an NCR form as the minor variance? Which records must the customer receive? The answers change the route. They never change the control.</w:t>
      </w:r>
    </w:p>
    <w:p>
      <w:pPr>
        <w:pStyle w:val="Heading2"/>
      </w:pPr>
      <w:r>
        <w:t xml:space="preserve">Next steps</w:t>
      </w:r>
    </w:p>
    <w:p>
      <w:pPr>
        <w:pStyle w:val="ListParagraph"/>
        <w:numPr>
          <w:ilvl w:val="0"/>
          <w:numId w:val="2"/>
        </w:numPr>
        <w:spacing w:after="80"/>
      </w:pPr>
      <w:r>
        <w:t xml:space="preserve">[Date]: Comments on the draft process due to Configuration Management.</w:t>
      </w:r>
    </w:p>
    <w:p>
      <w:pPr>
        <w:pStyle w:val="ListParagraph"/>
        <w:numPr>
          <w:ilvl w:val="0"/>
          <w:numId w:val="2"/>
        </w:numPr>
        <w:spacing w:after="80"/>
      </w:pPr>
      <w:r>
        <w:t xml:space="preserve">[Date]: Process release.</w:t>
      </w:r>
    </w:p>
    <w:p>
      <w:pPr>
        <w:pStyle w:val="ListParagraph"/>
        <w:numPr>
          <w:ilvl w:val="0"/>
          <w:numId w:val="2"/>
        </w:numPr>
        <w:spacing w:after="80"/>
      </w:pPr>
      <w:r>
        <w:t xml:space="preserve">An interactive training course on the process is ready for CM engineers and CM specialists. A practitioner guide accompanies this memo.</w:t>
      </w:r>
    </w:p>
    <w:p>
      <w:pPr>
        <w:spacing w:after="140"/>
      </w:pPr>
      <w:r>
        <w:t xml:space="preserve">Questions go to [Name], Configuration Management, at [email].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C6D78"/>
        <w:sz w:val="16"/>
        <w:szCs w:val="16"/>
      </w:rPr>
      <w:t xml:space="preserve">[Company]  ·  Draft for review</w:t>
    </w:r>
    <w:r>
      <w:rPr>
        <w:color w:val="5C6D7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F" w:sz="4" w:space="4"/>
      </w:pBdr>
      <w:jc w:val="right"/>
    </w:pPr>
    <w:r>
      <w:rPr>
        <w:color w:val="5C6D78"/>
        <w:sz w:val="16"/>
        <w:szCs w:val="16"/>
      </w:rPr>
      <w:t xml:space="preserve">Memorandum: The Nonconformance and Variance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62E"/>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10" w:before="260"/>
      <w:outlineLvl w:val="1"/>
    </w:pPr>
    <w:rPr>
      <w:rFonts w:ascii="Arial" w:cs="Arial" w:eastAsia="Arial" w:hAnsi="Arial"/>
      <w:b/>
      <w:bCs/>
      <w:color w:val="1F3A5F"/>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9A4A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The Nonconformance and Variance Process</dc:title>
  <dc:creator>[Company] Configuration Management</dc:creator>
  <cp:lastModifiedBy>Un-named</cp:lastModifiedBy>
  <cp:revision>1</cp:revision>
  <dcterms:created xsi:type="dcterms:W3CDTF">2026-10-02T19:52:44.052Z</dcterms:created>
  <dcterms:modified xsi:type="dcterms:W3CDTF">2026-10-02T19:52:44.052Z</dcterms:modified>
</cp:coreProperties>
</file>

<file path=docProps/custom.xml><?xml version="1.0" encoding="utf-8"?>
<Properties xmlns="http://schemas.openxmlformats.org/officeDocument/2006/custom-properties" xmlns:vt="http://schemas.openxmlformats.org/officeDocument/2006/docPropsVTypes"/>
</file>