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i/>
          <w:iCs/>
          <w:color w:val="0000CC"/>
          <w:sz w:val="24"/>
          <w:szCs w:val="24"/>
        </w:rPr>
        <w:t xml:space="preserve">&lt;Replace Organization with applicable office title&gt;</w:t>
      </w:r>
    </w:p>
    <w:p>
      <w:pPr>
        <w:jc w:val="center"/>
      </w:pPr>
      <w:r>
        <w:rPr>
          <w:rFonts w:ascii="Times New Roman" w:cs="Times New Roman" w:eastAsia="Times New Roman" w:hAnsi="Times New Roman"/>
          <w:b/>
          <w:bCs/>
          <w:sz w:val="56"/>
          <w:szCs w:val="56"/>
        </w:rPr>
        <w:t xml:space="preserve">Life Cycle</w:t>
      </w:r>
    </w:p>
    <w:p>
      <w:pPr>
        <w:jc w:val="center"/>
      </w:pPr>
      <w:r>
        <w:rPr>
          <w:rFonts w:ascii="Times New Roman" w:cs="Times New Roman" w:eastAsia="Times New Roman" w:hAnsi="Times New Roman"/>
          <w:b/>
          <w:bCs/>
          <w:sz w:val="56"/>
          <w:szCs w:val="56"/>
        </w:rPr>
        <w:t xml:space="preserve">Configuration Management Plan</w:t>
      </w:r>
    </w:p>
    <w:p>
      <w:pPr>
        <w:spacing w:after="400"/>
        <w:jc w:val="center"/>
      </w:pPr>
      <w:r>
        <w:rPr>
          <w:rFonts w:ascii="Times New Roman" w:cs="Times New Roman" w:eastAsia="Times New Roman" w:hAnsi="Times New Roman"/>
          <w:b/>
          <w:bCs/>
          <w:sz w:val="56"/>
          <w:szCs w:val="56"/>
        </w:rPr>
        <w:t xml:space="preserve">(CMP)</w:t>
      </w:r>
    </w:p>
    <w:p>
      <w:pPr>
        <w:spacing w:after="300"/>
        <w:jc w:val="center"/>
      </w:pPr>
      <w:r>
        <w:rPr>
          <w:rFonts w:ascii="Times New Roman" w:cs="Times New Roman" w:eastAsia="Times New Roman" w:hAnsi="Times New Roman"/>
          <w:i/>
          <w:iCs/>
          <w:color w:val="0000CC"/>
          <w:sz w:val="22"/>
          <w:szCs w:val="22"/>
        </w:rPr>
        <w:t xml:space="preserve">&lt;Insert organizational logo&gt;</w:t>
      </w:r>
    </w:p>
    <w:p>
      <w:pPr>
        <w:jc w:val="center"/>
      </w:pPr>
      <w:r>
        <w:rPr>
          <w:rFonts w:ascii="Times New Roman" w:cs="Times New Roman" w:eastAsia="Times New Roman" w:hAnsi="Times New Roman"/>
          <w:i/>
          <w:iCs/>
          <w:color w:val="0000CC"/>
          <w:sz w:val="22"/>
          <w:szCs w:val="22"/>
        </w:rPr>
        <w:t xml:space="preserve">&lt;Enter Release Date DD MMM YYYY&gt;  — release date must be post approval date</w:t>
      </w:r>
    </w:p>
    <w:p>
      <w:pPr>
        <w:spacing w:after="600"/>
        <w:jc w:val="center"/>
      </w:pPr>
      <w:r>
        <w:rPr>
          <w:rFonts w:ascii="Times New Roman" w:cs="Times New Roman" w:eastAsia="Times New Roman" w:hAnsi="Times New Roman"/>
          <w:i/>
          <w:iCs/>
          <w:color w:val="0000CC"/>
          <w:sz w:val="22"/>
          <w:szCs w:val="22"/>
        </w:rPr>
        <w:t xml:space="preserve">&lt;Enter Version.Revision number v##.##&gt;</w:t>
      </w:r>
    </w:p>
    <w:p>
      <w:pPr>
        <w:jc w:val="center"/>
      </w:pPr>
      <w:r>
        <w:rPr>
          <w:rFonts w:ascii="Times New Roman" w:cs="Times New Roman" w:eastAsia="Times New Roman" w:hAnsi="Times New Roman"/>
          <w:i/>
          <w:iCs/>
          <w:color w:val="0000CC"/>
          <w:sz w:val="18"/>
          <w:szCs w:val="18"/>
        </w:rPr>
        <w:t xml:space="preserve">&lt;Insert the distribution and destruction statements applicable to your organization just above the footer. Select the distribution statement per your data-rights and classification rules.&gt;</w:t>
      </w:r>
    </w:p>
    <w:p>
      <w:r>
        <w:br w:type="page"/>
      </w:r>
    </w:p>
    <w:p>
      <w:pPr>
        <w:pStyle w:val="Heading1"/>
        <w:spacing w:after="120" w:before="240"/>
      </w:pPr>
      <w:r>
        <w:rPr>
          <w:rFonts w:ascii="Times New Roman" w:cs="Times New Roman" w:eastAsia="Times New Roman" w:hAnsi="Times New Roman"/>
          <w:b/>
          <w:bCs/>
          <w:sz w:val="28"/>
          <w:szCs w:val="28"/>
        </w:rPr>
        <w:t xml:space="preserve">How to Use This Template</w:t>
      </w:r>
    </w:p>
    <w:p>
      <w:pPr>
        <w:spacing w:after="120"/>
      </w:pPr>
      <w:r>
        <w:rPr>
          <w:rFonts w:ascii="Times New Roman" w:cs="Times New Roman" w:eastAsia="Times New Roman" w:hAnsi="Times New Roman"/>
          <w:sz w:val="22"/>
          <w:szCs w:val="22"/>
        </w:rPr>
        <w:t xml:space="preserve">This template is derived from the Configuration Management Plan example in GEIA-HB-649 (Appendix G) and extended with the CM floor requirements traceable to EIA-649-1A. It represents a minimum set of data required for compliance; the organization may provide additional data to ensure the information is clear, concise, and valid.</w:t>
      </w:r>
    </w:p>
    <w:p>
      <w:pPr>
        <w:spacing w:after="120"/>
      </w:pPr>
      <w:r>
        <w:rPr>
          <w:rFonts w:ascii="Times New Roman" w:cs="Times New Roman" w:eastAsia="Times New Roman" w:hAnsi="Times New Roman"/>
          <w:sz w:val="22"/>
          <w:szCs w:val="22"/>
        </w:rPr>
        <w:t xml:space="preserve">Blue text in angle brackets gives directions within the template. </w:t>
      </w:r>
      <w:r>
        <w:rPr>
          <w:rFonts w:ascii="Times New Roman" w:cs="Times New Roman" w:eastAsia="Times New Roman" w:hAnsi="Times New Roman"/>
          <w:i/>
          <w:iCs/>
          <w:color w:val="0000CC"/>
          <w:sz w:val="22"/>
          <w:szCs w:val="22"/>
        </w:rPr>
        <w:t xml:space="preserve">&lt;like this&gt;</w:t>
      </w:r>
    </w:p>
    <w:p>
      <w:pPr>
        <w:spacing w:after="120"/>
      </w:pPr>
      <w:r>
        <w:rPr>
          <w:rFonts w:ascii="Times New Roman" w:cs="Times New Roman" w:eastAsia="Times New Roman" w:hAnsi="Times New Roman"/>
          <w:sz w:val="22"/>
          <w:szCs w:val="22"/>
        </w:rPr>
        <w:t xml:space="preserve">Red text gives sample entries. </w:t>
      </w:r>
      <w:r>
        <w:rPr>
          <w:rFonts w:ascii="Times New Roman" w:cs="Times New Roman" w:eastAsia="Times New Roman" w:hAnsi="Times New Roman"/>
          <w:color w:val="CC0000"/>
          <w:sz w:val="22"/>
          <w:szCs w:val="22"/>
        </w:rPr>
        <w:t xml:space="preserve">i.e. like this</w:t>
      </w:r>
    </w:p>
    <w:p>
      <w:pPr>
        <w:spacing w:after="120"/>
      </w:pPr>
      <w:r>
        <w:rPr>
          <w:rFonts w:ascii="Times New Roman" w:cs="Times New Roman" w:eastAsia="Times New Roman" w:hAnsi="Times New Roman"/>
          <w:sz w:val="22"/>
          <w:szCs w:val="22"/>
        </w:rPr>
        <w:t xml:space="preserve">There should be no blue or red text in your submitted document; remove all instructions and samples before release.</w:t>
      </w:r>
    </w:p>
    <w:p>
      <w:pPr>
        <w:spacing w:after="120"/>
      </w:pPr>
      <w:r>
        <w:rPr>
          <w:rFonts w:ascii="Times New Roman" w:cs="Times New Roman" w:eastAsia="Times New Roman" w:hAnsi="Times New Roman"/>
          <w:sz w:val="22"/>
          <w:szCs w:val="22"/>
        </w:rPr>
        <w:t xml:space="preserve">Sections 1 through 6 follow the GEIA-HB-649 CMP structure. Section 7 and Appendix Q are additions: they implement the CM floor — the discrete EIA-649-1A "shall" statements that must be performed on all safety-significant product lines regardless of contract flow-down, or replaced by documented equivalent controls. Each floor requirement is referenced by its EIA-649-1A clause number and requirement text (paraphrased; the governing text is the standard itself). Every floor requirement row in Section 7 must be completed, and the compliance matrix in Appendix Q must be maintained under configuration control.</w:t>
      </w:r>
    </w:p>
    <w:p>
      <w:r>
        <w:br w:type="page"/>
      </w:r>
    </w:p>
    <w:p>
      <w:pPr>
        <w:pStyle w:val="Heading1"/>
        <w:spacing w:after="120" w:before="240"/>
      </w:pPr>
      <w:r>
        <w:rPr>
          <w:rFonts w:ascii="Times New Roman" w:cs="Times New Roman" w:eastAsia="Times New Roman" w:hAnsi="Times New Roman"/>
          <w:b/>
          <w:bCs/>
          <w:sz w:val="28"/>
          <w:szCs w:val="28"/>
        </w:rPr>
        <w:t xml:space="preserve">Signature Page</w:t>
      </w:r>
    </w:p>
    <w:p>
      <w:pPr>
        <w:spacing w:after="120"/>
      </w:pPr>
      <w:r>
        <w:rPr>
          <w:rFonts w:ascii="Times New Roman" w:cs="Times New Roman" w:eastAsia="Times New Roman" w:hAnsi="Times New Roman"/>
          <w:sz w:val="22"/>
          <w:szCs w:val="22"/>
        </w:rPr>
        <w:t xml:space="preserve">NOTE: Three signatures recommended.</w:t>
      </w:r>
    </w:p>
    <w:p>
      <w:pPr>
        <w:spacing w:after="120"/>
      </w:pPr>
      <w:r>
        <w:rPr>
          <w:rFonts w:ascii="Times New Roman" w:cs="Times New Roman" w:eastAsia="Times New Roman" w:hAnsi="Times New Roman"/>
          <w:b/>
          <w:bCs/>
          <w:sz w:val="22"/>
          <w:szCs w:val="22"/>
        </w:rPr>
        <w:t xml:space="preserve">OWNER:</w:t>
      </w:r>
    </w:p>
    <w:p>
      <w:pPr>
        <w:spacing w:before="300"/>
      </w:pPr>
      <w:r>
        <w:rPr>
          <w:rFonts w:ascii="Times New Roman" w:cs="Times New Roman" w:eastAsia="Times New Roman" w:hAnsi="Times New Roman"/>
          <w:sz w:val="22"/>
          <w:szCs w:val="22"/>
        </w:rPr>
        <w:t xml:space="preserve">_________________________________________</w:t>
      </w:r>
    </w:p>
    <w:p>
      <w:pPr>
        <w:spacing w:after="120"/>
      </w:pPr>
      <w:r>
        <w:rPr>
          <w:rFonts w:ascii="Times New Roman" w:cs="Times New Roman" w:eastAsia="Times New Roman" w:hAnsi="Times New Roman"/>
          <w:sz w:val="22"/>
          <w:szCs w:val="22"/>
        </w:rPr>
        <w:t xml:space="preserve">Configuration Manager, &lt;Replace Organization with the applicable office title&gt;          Date</w:t>
      </w:r>
    </w:p>
    <w:p>
      <w:pPr>
        <w:spacing w:after="120"/>
      </w:pPr>
      <w:r>
        <w:rPr>
          <w:rFonts w:ascii="Times New Roman" w:cs="Times New Roman" w:eastAsia="Times New Roman" w:hAnsi="Times New Roman"/>
          <w:b/>
          <w:bCs/>
          <w:sz w:val="22"/>
          <w:szCs w:val="22"/>
        </w:rPr>
        <w:t xml:space="preserve">USER:</w:t>
      </w:r>
    </w:p>
    <w:p>
      <w:pPr>
        <w:spacing w:after="120"/>
      </w:pPr>
      <w:r>
        <w:rPr>
          <w:rFonts w:ascii="Times New Roman" w:cs="Times New Roman" w:eastAsia="Times New Roman" w:hAnsi="Times New Roman"/>
          <w:i/>
          <w:iCs/>
          <w:color w:val="0000CC"/>
          <w:sz w:val="22"/>
          <w:szCs w:val="22"/>
        </w:rPr>
        <w:t xml:space="preserve">&lt;Select a designated user from your organization that is jointly responsible to achieve consistent conformance and authorized to make CM business decisions, i.e. Project Manager, Systems Engineer, Deputy Program Manager&gt;</w:t>
      </w:r>
    </w:p>
    <w:p>
      <w:pPr>
        <w:spacing w:before="300"/>
      </w:pPr>
      <w:r>
        <w:rPr>
          <w:rFonts w:ascii="Times New Roman" w:cs="Times New Roman" w:eastAsia="Times New Roman" w:hAnsi="Times New Roman"/>
          <w:sz w:val="22"/>
          <w:szCs w:val="22"/>
        </w:rPr>
        <w:t xml:space="preserve">_________________________________________</w:t>
      </w:r>
    </w:p>
    <w:p>
      <w:pPr>
        <w:spacing w:after="120"/>
      </w:pPr>
      <w:r>
        <w:rPr>
          <w:rFonts w:ascii="Times New Roman" w:cs="Times New Roman" w:eastAsia="Times New Roman" w:hAnsi="Times New Roman"/>
          <w:sz w:val="22"/>
          <w:szCs w:val="22"/>
        </w:rPr>
        <w:t xml:space="preserve">&lt;Name&gt;, &lt;Title&gt;, &lt;Organization&gt;          Date</w:t>
      </w:r>
    </w:p>
    <w:p>
      <w:pPr>
        <w:spacing w:after="120"/>
      </w:pPr>
      <w:r>
        <w:rPr>
          <w:rFonts w:ascii="Times New Roman" w:cs="Times New Roman" w:eastAsia="Times New Roman" w:hAnsi="Times New Roman"/>
          <w:b/>
          <w:bCs/>
          <w:sz w:val="22"/>
          <w:szCs w:val="22"/>
        </w:rPr>
        <w:t xml:space="preserve">APPROVER:</w:t>
      </w:r>
    </w:p>
    <w:p>
      <w:pPr>
        <w:spacing w:before="300"/>
      </w:pPr>
      <w:r>
        <w:rPr>
          <w:rFonts w:ascii="Times New Roman" w:cs="Times New Roman" w:eastAsia="Times New Roman" w:hAnsi="Times New Roman"/>
          <w:sz w:val="22"/>
          <w:szCs w:val="22"/>
        </w:rPr>
        <w:t xml:space="preserve">_________________________________________</w:t>
      </w:r>
    </w:p>
    <w:p>
      <w:pPr>
        <w:spacing w:after="120"/>
      </w:pPr>
      <w:r>
        <w:rPr>
          <w:rFonts w:ascii="Times New Roman" w:cs="Times New Roman" w:eastAsia="Times New Roman" w:hAnsi="Times New Roman"/>
          <w:sz w:val="22"/>
          <w:szCs w:val="22"/>
        </w:rPr>
        <w:t xml:space="preserve">Program Manager, &lt;Replace Organization with the applicable office title&gt;          Date</w:t>
      </w:r>
    </w:p>
    <w:p>
      <w:r>
        <w:br w:type="page"/>
      </w:r>
    </w:p>
    <w:p>
      <w:pPr>
        <w:pStyle w:val="Heading1"/>
        <w:spacing w:after="120" w:before="240"/>
      </w:pPr>
      <w:r>
        <w:rPr>
          <w:rFonts w:ascii="Times New Roman" w:cs="Times New Roman" w:eastAsia="Times New Roman" w:hAnsi="Times New Roman"/>
          <w:b/>
          <w:bCs/>
          <w:sz w:val="28"/>
          <w:szCs w:val="28"/>
        </w:rPr>
        <w:t xml:space="preserve">Change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900"/>
        <w:gridCol w:w="3460"/>
        <w:gridCol w:w="1200"/>
        <w:gridCol w:w="1200"/>
      </w:tblGrid>
      <w:tr>
        <w:trPr>
          <w:tblHeader/>
        </w:trPr>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Version.Revision</w:t>
            </w:r>
          </w:p>
        </w:tc>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Date</w:t>
            </w:r>
          </w:p>
        </w:tc>
        <w:tc>
          <w:tcPr>
            <w:tcW w:type="dxa" w:w="9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Action Code</w:t>
            </w:r>
          </w:p>
        </w:tc>
        <w:tc>
          <w:tcPr>
            <w:tcW w:type="dxa" w:w="34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Description of Change</w:t>
            </w:r>
          </w:p>
        </w:tc>
        <w:tc>
          <w:tcPr>
            <w:tcW w:type="dxa" w:w="12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Change Request No.*</w:t>
            </w:r>
          </w:p>
        </w:tc>
        <w:tc>
          <w:tcPr>
            <w:tcW w:type="dxa" w:w="12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Changed By</w:t>
            </w:r>
          </w:p>
        </w:tc>
      </w:tr>
      <w:tr>
        <w:tc>
          <w:tcPr>
            <w:tcW w:type="dxa" w:w="13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&lt;version.revision&gt;</w:t>
            </w:r>
          </w:p>
          <w:p>
            <w:r>
              <w:rPr>
                <w:rFonts w:ascii="Times New Roman" w:cs="Times New Roman" w:eastAsia="Times New Roman" w:hAnsi="Times New Roman"/>
                <w:color w:val="CC0000"/>
                <w:sz w:val="20"/>
                <w:szCs w:val="20"/>
              </w:rPr>
              <w:t xml:space="preserve">i.e. 00.01</w:t>
            </w:r>
          </w:p>
        </w:tc>
        <w:tc>
          <w:tcPr>
            <w:tcW w:type="dxa" w:w="13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&lt;date of change&gt;</w:t>
            </w:r>
          </w:p>
        </w:tc>
        <w:tc>
          <w:tcPr>
            <w:tcW w:type="dxa" w:w="9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&lt;A, C, D&gt;</w:t>
            </w:r>
          </w:p>
        </w:tc>
        <w:tc>
          <w:tcPr>
            <w:tcW w:type="dxa" w:w="346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&lt;Summary of change and sections affected&gt;</w:t>
            </w:r>
          </w:p>
        </w:tc>
        <w:tc>
          <w:tcPr>
            <w:tcW w:type="dxa" w:w="12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&lt;CR number&gt;</w:t>
            </w:r>
          </w:p>
        </w:tc>
        <w:tc>
          <w:tcPr>
            <w:tcW w:type="dxa" w:w="12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&lt;name&gt;</w:t>
            </w:r>
          </w:p>
        </w:tc>
      </w:tr>
    </w:tbl>
    <w:p>
      <w:pPr>
        <w:spacing w:after="120" w:before="120"/>
      </w:pPr>
      <w:r>
        <w:rPr>
          <w:rFonts w:ascii="Times New Roman" w:cs="Times New Roman" w:eastAsia="Times New Roman" w:hAnsi="Times New Roman"/>
          <w:sz w:val="18"/>
          <w:szCs w:val="18"/>
        </w:rPr>
        <w:t xml:space="preserve">Action Code Legend: A – Add, C – Change, D – Delete.  *Enter NR in the Change Request Number column for all draft documents.</w:t>
      </w:r>
    </w:p>
    <w:p>
      <w:pPr>
        <w:spacing w:after="120"/>
      </w:pPr>
      <w:r>
        <w:rPr>
          <w:rFonts w:ascii="Times New Roman" w:cs="Times New Roman" w:eastAsia="Times New Roman" w:hAnsi="Times New Roman"/>
          <w:sz w:val="22"/>
          <w:szCs w:val="22"/>
        </w:rPr>
        <w:t xml:space="preserve">Please submit any comments or updates to the Configuration Manager &lt;office code&gt; at &lt;phone&gt;, &lt;email&gt;.</w:t>
      </w:r>
    </w:p>
    <w:p>
      <w:r>
        <w:br w:type="page"/>
      </w:r>
    </w:p>
    <w:p>
      <w:pPr>
        <w:pStyle w:val="Heading1"/>
        <w:spacing w:after="120" w:before="24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sz w:val="28"/>
          <w:szCs w:val="28"/>
        </w:rPr>
        <w:t xml:space="preserve">1.0 Executive Summary</w:t>
      </w:r>
    </w:p>
    <w:p>
      <w:pPr>
        <w:pStyle w:val="Heading2"/>
        <w:spacing w:after="100" w:before="200"/>
      </w:pPr>
      <w:r>
        <w:rPr>
          <w:rFonts w:ascii="Times New Roman" w:cs="Times New Roman" w:eastAsia="Times New Roman" w:hAnsi="Times New Roman"/>
          <w:b/>
          <w:bCs/>
          <w:sz w:val="24"/>
          <w:szCs w:val="24"/>
        </w:rPr>
        <w:t xml:space="preserve">1.1 Introduction</w:t>
      </w:r>
    </w:p>
    <w:p>
      <w:pPr>
        <w:spacing w:after="120"/>
      </w:pPr>
      <w:r>
        <w:rPr>
          <w:rFonts w:ascii="Times New Roman" w:cs="Times New Roman" w:eastAsia="Times New Roman" w:hAnsi="Times New Roman"/>
          <w:i/>
          <w:iCs/>
          <w:color w:val="0000CC"/>
          <w:sz w:val="22"/>
          <w:szCs w:val="22"/>
        </w:rPr>
        <w:t xml:space="preserve">&lt;Provide a general idea of what this document is about and include a brief overview of how the CMP relates to the program or project&gt;</w:t>
      </w:r>
    </w:p>
    <w:p>
      <w:pPr>
        <w:spacing w:after="120"/>
      </w:pPr>
      <w:r>
        <w:rPr>
          <w:rFonts w:ascii="Times New Roman" w:cs="Times New Roman" w:eastAsia="Times New Roman" w:hAnsi="Times New Roman"/>
          <w:color w:val="CC0000"/>
          <w:sz w:val="22"/>
          <w:szCs w:val="22"/>
        </w:rPr>
        <w:t xml:space="preserve">i.e. This Configuration Management Plan (CMP) specifies the requirements for performing CM in Program XYZ. It assigns responsibilities, defines roles, and promulgates the approach to satisfying the requirements of the Life Cycle CM Organizational Standard Process and other higher-level CM requirements, including the CM floor requirements in Section 7.</w:t>
      </w:r>
    </w:p>
    <w:p>
      <w:pPr>
        <w:pStyle w:val="Heading2"/>
        <w:spacing w:after="100" w:before="200"/>
      </w:pPr>
      <w:r>
        <w:rPr>
          <w:rFonts w:ascii="Times New Roman" w:cs="Times New Roman" w:eastAsia="Times New Roman" w:hAnsi="Times New Roman"/>
          <w:b/>
          <w:bCs/>
          <w:sz w:val="24"/>
          <w:szCs w:val="24"/>
        </w:rPr>
        <w:t xml:space="preserve">1.2 Scope</w:t>
      </w:r>
    </w:p>
    <w:p>
      <w:pPr>
        <w:spacing w:after="120"/>
      </w:pPr>
      <w:r>
        <w:rPr>
          <w:rFonts w:ascii="Times New Roman" w:cs="Times New Roman" w:eastAsia="Times New Roman" w:hAnsi="Times New Roman"/>
          <w:i/>
          <w:iCs/>
          <w:color w:val="0000CC"/>
          <w:sz w:val="22"/>
          <w:szCs w:val="22"/>
        </w:rPr>
        <w:t xml:space="preserve">&lt;Define the participants and stakeholders governed by this document&gt;</w:t>
      </w:r>
    </w:p>
    <w:p>
      <w:pPr>
        <w:spacing w:after="120"/>
      </w:pPr>
      <w:r>
        <w:rPr>
          <w:rFonts w:ascii="Times New Roman" w:cs="Times New Roman" w:eastAsia="Times New Roman" w:hAnsi="Times New Roman"/>
          <w:color w:val="CC0000"/>
          <w:sz w:val="22"/>
          <w:szCs w:val="22"/>
        </w:rPr>
        <w:t xml:space="preserve">i.e. The CMP is mandatory for use by all support personnel. Contractors/suppliers, whether industry or government, shall comply with the guidance set forth in this plan when delivering end-items or documents for inclusion into any programs, products, or platforms within the technical baseline. The requirements apply to all phases of the lifecycle including installation and disposal.</w:t>
      </w:r>
    </w:p>
    <w:p>
      <w:pPr>
        <w:pStyle w:val="Heading2"/>
        <w:spacing w:after="100" w:before="200"/>
      </w:pPr>
      <w:r>
        <w:rPr>
          <w:rFonts w:ascii="Times New Roman" w:cs="Times New Roman" w:eastAsia="Times New Roman" w:hAnsi="Times New Roman"/>
          <w:b/>
          <w:bCs/>
          <w:sz w:val="24"/>
          <w:szCs w:val="24"/>
        </w:rPr>
        <w:t xml:space="preserve">1.3 Purpose</w:t>
      </w:r>
    </w:p>
    <w:p>
      <w:pPr>
        <w:spacing w:after="120"/>
      </w:pPr>
      <w:r>
        <w:rPr>
          <w:rFonts w:ascii="Times New Roman" w:cs="Times New Roman" w:eastAsia="Times New Roman" w:hAnsi="Times New Roman"/>
          <w:i/>
          <w:iCs/>
          <w:color w:val="0000CC"/>
          <w:sz w:val="22"/>
          <w:szCs w:val="22"/>
        </w:rPr>
        <w:t xml:space="preserve">&lt;Define the desired results intended&gt;</w:t>
      </w:r>
    </w:p>
    <w:p>
      <w:pPr>
        <w:spacing w:after="120"/>
      </w:pPr>
      <w:r>
        <w:rPr>
          <w:rFonts w:ascii="Times New Roman" w:cs="Times New Roman" w:eastAsia="Times New Roman" w:hAnsi="Times New Roman"/>
          <w:color w:val="CC0000"/>
          <w:sz w:val="22"/>
          <w:szCs w:val="22"/>
        </w:rPr>
        <w:t xml:space="preserve">i.e. The purpose of the CMP is to describe how configuration management will be conducted throughout the project lifecycle: how CM is managed, roles and responsibilities, how configuration item (CI) changes are made, and how all aspects of CM are communicated to stakeholders.</w:t>
      </w:r>
    </w:p>
    <w:p>
      <w:pPr>
        <w:pStyle w:val="Heading2"/>
        <w:spacing w:after="100" w:before="200"/>
      </w:pPr>
      <w:r>
        <w:rPr>
          <w:rFonts w:ascii="Times New Roman" w:cs="Times New Roman" w:eastAsia="Times New Roman" w:hAnsi="Times New Roman"/>
          <w:b/>
          <w:bCs/>
          <w:sz w:val="24"/>
          <w:szCs w:val="24"/>
        </w:rPr>
        <w:t xml:space="preserve">1.4 CM Floor Requirements Basis</w:t>
      </w:r>
    </w:p>
    <w:p>
      <w:pPr>
        <w:spacing w:after="120"/>
      </w:pPr>
      <w:r>
        <w:rPr>
          <w:rFonts w:ascii="Times New Roman" w:cs="Times New Roman" w:eastAsia="Times New Roman" w:hAnsi="Times New Roman"/>
          <w:sz w:val="22"/>
          <w:szCs w:val="22"/>
        </w:rPr>
        <w:t xml:space="preserve">This CMP incorporates the CM floor: the discrete EIA-649-1A "shall" statements obligated through the SMS pathway. These requirements are performed on all safety-significant product lines regardless of contract flow-down, or are replaced by documented equivalent controls. Principle statements (CCM-, CSA-, CI-, CVA-) in EIA-649-1A are non-normative rationale and are not floor. Each floor requirement carries an inclusion category: Clean (applies as written), Judgment (application requires documented organizational judgment), or Conditional (applies only when the stated condition exists). Section 7 states how each floor requirement is implemented; Appendix Q provides the full traceability matrix to barriers and SM-0001 hazards.</w:t>
      </w:r>
    </w:p>
    <w:p>
      <w:pPr>
        <w:spacing w:after="120"/>
      </w:pPr>
      <w:r>
        <w:rPr>
          <w:rFonts w:ascii="Times New Roman" w:cs="Times New Roman" w:eastAsia="Times New Roman" w:hAnsi="Times New Roman"/>
          <w:i/>
          <w:iCs/>
          <w:color w:val="0000CC"/>
          <w:sz w:val="22"/>
          <w:szCs w:val="22"/>
        </w:rPr>
        <w:t xml:space="preserve">&lt;State the safety-significant product lines to which the CM floor applies in your organization, and identify the authority that approves any documented equivalent control&gt;</w:t>
      </w:r>
    </w:p>
    <w:p>
      <w:pPr>
        <w:spacing w:after="120"/>
      </w:pPr>
      <w:r>
        <w:t>The floor disposition record — the per-requirement determination that each floor requirement is performed, replaced by a documented equivalent control, or formally risk-accepted, together with its evidence or risk-acceptance reference, its health check, and its sign-off — is maintained as structured, queryable records outside this document. Appendix Q is the static traceability baseline; the disposition record is the living compliance evidence. A disposition record kept only as a table inside this plan cannot be queried, and the floor coverage measures cannot be computed from it.</w:t>
      </w:r>
    </w:p>
    <w:p>
      <w:pPr>
        <w:spacing w:after="120"/>
      </w:pPr>
      <w:r>
        <w:rPr>
          <w:b/>
          <w:i/>
          <w:color w:val="0000CC"/>
        </w:rPr>
        <w:t>&lt;Identify where the floor disposition record is maintained, its owner, the health check cadence, and the authority that approves each documented equivalent control and each risk acceptance by severity.&gt;</w:t>
      </w:r>
    </w:p>
    <w:p>
      <w:r>
        <w:br w:type="page"/>
      </w:r>
    </w:p>
    <w:p>
      <w:pPr>
        <w:pStyle w:val="Heading1"/>
        <w:spacing w:after="120" w:before="240"/>
      </w:pPr>
      <w:r>
        <w:rPr>
          <w:rFonts w:ascii="Times New Roman" w:cs="Times New Roman" w:eastAsia="Times New Roman" w:hAnsi="Times New Roman"/>
          <w:b/>
          <w:bCs/>
          <w:sz w:val="28"/>
          <w:szCs w:val="28"/>
        </w:rPr>
        <w:t xml:space="preserve">2.0 Configuration Management Functions &amp; Principles</w:t>
      </w:r>
    </w:p>
    <w:p>
      <w:pPr>
        <w:pStyle w:val="Heading2"/>
        <w:spacing w:after="100" w:before="200"/>
      </w:pPr>
      <w:r>
        <w:rPr>
          <w:rFonts w:ascii="Times New Roman" w:cs="Times New Roman" w:eastAsia="Times New Roman" w:hAnsi="Times New Roman"/>
          <w:b/>
          <w:bCs/>
          <w:sz w:val="24"/>
          <w:szCs w:val="24"/>
        </w:rPr>
        <w:t xml:space="preserve">2.1 Configuration Management</w:t>
      </w:r>
    </w:p>
    <w:p>
      <w:pPr>
        <w:pStyle w:val="Heading3"/>
        <w:spacing w:after="80" w:before="160"/>
      </w:pPr>
      <w:r>
        <w:rPr>
          <w:rFonts w:ascii="Times New Roman" w:cs="Times New Roman" w:eastAsia="Times New Roman" w:hAnsi="Times New Roman"/>
          <w:b/>
          <w:bCs/>
          <w:sz w:val="22"/>
          <w:szCs w:val="22"/>
        </w:rPr>
        <w:t xml:space="preserve">2.1.1 Function</w:t>
      </w:r>
    </w:p>
    <w:p>
      <w:pPr>
        <w:spacing w:after="120"/>
      </w:pPr>
      <w:r>
        <w:rPr>
          <w:rFonts w:ascii="Times New Roman" w:cs="Times New Roman" w:eastAsia="Times New Roman" w:hAnsi="Times New Roman"/>
          <w:sz w:val="22"/>
          <w:szCs w:val="22"/>
        </w:rPr>
        <w:t xml:space="preserve">A disciplined process that provides a common and structured approach necessary to minimize variation in establishing and maintaining consistency between a product or service function, requirements, performance, physical attributes and its design and operational information, applying management and planning, configuration identification, configuration control, configuration status accounting, and configuration verification and audit functions in a closed-loop process throughout its life cycle.</w:t>
      </w:r>
    </w:p>
    <w:p>
      <w:pPr>
        <w:pStyle w:val="Heading3"/>
        <w:spacing w:after="80" w:before="160"/>
      </w:pPr>
      <w:r>
        <w:rPr>
          <w:rFonts w:ascii="Times New Roman" w:cs="Times New Roman" w:eastAsia="Times New Roman" w:hAnsi="Times New Roman"/>
          <w:b/>
          <w:bCs/>
          <w:sz w:val="22"/>
          <w:szCs w:val="22"/>
        </w:rPr>
        <w:t xml:space="preserve">2.1.2 Principle</w:t>
      </w:r>
    </w:p>
    <w:p>
      <w:pPr>
        <w:spacing w:after="120"/>
      </w:pPr>
      <w:r>
        <w:rPr>
          <w:rFonts w:ascii="Times New Roman" w:cs="Times New Roman" w:eastAsia="Times New Roman" w:hAnsi="Times New Roman"/>
          <w:sz w:val="22"/>
          <w:szCs w:val="22"/>
        </w:rPr>
        <w:t xml:space="preserve">Configuration Management implementation requires a balanced and continuous application of CM functions and their underlying principles throughout the life cycle.</w:t>
      </w:r>
    </w:p>
    <w:p>
      <w:pPr>
        <w:pStyle w:val="Heading3"/>
        <w:spacing w:after="80" w:before="160"/>
      </w:pPr>
      <w:r>
        <w:rPr>
          <w:rFonts w:ascii="Times New Roman" w:cs="Times New Roman" w:eastAsia="Times New Roman" w:hAnsi="Times New Roman"/>
          <w:b/>
          <w:bCs/>
          <w:sz w:val="22"/>
          <w:szCs w:val="22"/>
        </w:rPr>
        <w:t xml:space="preserve">2.1.3 Activity</w:t>
      </w:r>
    </w:p>
    <w:p>
      <w:pPr>
        <w:spacing w:after="120"/>
      </w:pPr>
      <w:r>
        <w:rPr>
          <w:rFonts w:ascii="Times New Roman" w:cs="Times New Roman" w:eastAsia="Times New Roman" w:hAnsi="Times New Roman"/>
          <w:i/>
          <w:iCs/>
          <w:color w:val="0000CC"/>
          <w:sz w:val="22"/>
          <w:szCs w:val="22"/>
        </w:rPr>
        <w:t xml:space="preserve">&lt;Provide an overview description of how Configuration Management relates to the program/project and how it will be implemented&gt;</w:t>
      </w:r>
    </w:p>
    <w:p>
      <w:pPr>
        <w:spacing w:after="120"/>
      </w:pPr>
      <w:r>
        <w:rPr>
          <w:rFonts w:ascii="Times New Roman" w:cs="Times New Roman" w:eastAsia="Times New Roman" w:hAnsi="Times New Roman"/>
          <w:color w:val="CC0000"/>
          <w:sz w:val="22"/>
          <w:szCs w:val="22"/>
        </w:rPr>
        <w:t xml:space="preserve">i.e. All five CM functions will be incorporated to ensure a standard approach is used to implement the CM process. This section provides overarching guidance for each CM function.</w:t>
      </w:r>
    </w:p>
    <w:p>
      <w:pPr>
        <w:pStyle w:val="Heading2"/>
        <w:spacing w:after="100" w:before="200"/>
      </w:pPr>
      <w:r>
        <w:rPr>
          <w:rFonts w:ascii="Times New Roman" w:cs="Times New Roman" w:eastAsia="Times New Roman" w:hAnsi="Times New Roman"/>
          <w:b/>
          <w:bCs/>
          <w:sz w:val="24"/>
          <w:szCs w:val="24"/>
        </w:rPr>
        <w:t xml:space="preserve">2.2 Configuration Management &amp; Planning</w:t>
      </w:r>
    </w:p>
    <w:p>
      <w:pPr>
        <w:pStyle w:val="Heading3"/>
        <w:spacing w:after="80" w:before="160"/>
      </w:pPr>
      <w:r>
        <w:rPr>
          <w:rFonts w:ascii="Times New Roman" w:cs="Times New Roman" w:eastAsia="Times New Roman" w:hAnsi="Times New Roman"/>
          <w:b/>
          <w:bCs/>
          <w:sz w:val="22"/>
          <w:szCs w:val="22"/>
        </w:rPr>
        <w:t xml:space="preserve">2.2.1 Function</w:t>
      </w:r>
    </w:p>
    <w:p>
      <w:pPr>
        <w:spacing w:after="120"/>
      </w:pPr>
      <w:r>
        <w:rPr>
          <w:rFonts w:ascii="Times New Roman" w:cs="Times New Roman" w:eastAsia="Times New Roman" w:hAnsi="Times New Roman"/>
          <w:sz w:val="22"/>
          <w:szCs w:val="22"/>
        </w:rPr>
        <w:t xml:space="preserve">A planned, established, and managed repeatable process that is applied across all CM pillar functions, documented in a CM Plan that includes continuous improvement in all phases of a life cycle for processes, products and services.</w:t>
      </w:r>
    </w:p>
    <w:p>
      <w:pPr>
        <w:pStyle w:val="Heading3"/>
        <w:spacing w:after="80" w:before="160"/>
      </w:pPr>
      <w:r>
        <w:rPr>
          <w:rFonts w:ascii="Times New Roman" w:cs="Times New Roman" w:eastAsia="Times New Roman" w:hAnsi="Times New Roman"/>
          <w:b/>
          <w:bCs/>
          <w:sz w:val="22"/>
          <w:szCs w:val="22"/>
        </w:rPr>
        <w:t xml:space="preserve">2.2.2 Principle</w:t>
      </w:r>
    </w:p>
    <w:p>
      <w:pPr>
        <w:spacing w:after="120"/>
      </w:pPr>
      <w:r>
        <w:rPr>
          <w:rFonts w:ascii="Times New Roman" w:cs="Times New Roman" w:eastAsia="Times New Roman" w:hAnsi="Times New Roman"/>
          <w:sz w:val="22"/>
          <w:szCs w:val="22"/>
        </w:rPr>
        <w:t xml:space="preserve">The organization will implement CM throughout the applicable phases of the life cycle to provide consistency among the product, platform, requirements, information, and the contractors/suppliers. Training and periodic assessment of the effectiveness of CM procedures and tools and of compliance with the CMP maintains the health of the CM process.</w:t>
      </w:r>
    </w:p>
    <w:p>
      <w:pPr>
        <w:pStyle w:val="Heading3"/>
        <w:spacing w:after="80" w:before="160"/>
      </w:pPr>
      <w:r>
        <w:rPr>
          <w:rFonts w:ascii="Times New Roman" w:cs="Times New Roman" w:eastAsia="Times New Roman" w:hAnsi="Times New Roman"/>
          <w:b/>
          <w:bCs/>
          <w:sz w:val="22"/>
          <w:szCs w:val="22"/>
        </w:rPr>
        <w:t xml:space="preserve">2.2.3 Activity</w:t>
      </w:r>
    </w:p>
    <w:p>
      <w:pPr>
        <w:spacing w:after="120"/>
      </w:pPr>
      <w:r>
        <w:rPr>
          <w:rFonts w:ascii="Times New Roman" w:cs="Times New Roman" w:eastAsia="Times New Roman" w:hAnsi="Times New Roman"/>
          <w:i/>
          <w:iCs/>
          <w:color w:val="0000CC"/>
          <w:sz w:val="22"/>
          <w:szCs w:val="22"/>
        </w:rPr>
        <w:t xml:space="preserve">&lt;Provide an overview description of how Configuration Management &amp; Planning relates to the program/project and how it will be implemented&gt;</w:t>
      </w:r>
    </w:p>
    <w:p>
      <w:pPr>
        <w:spacing w:after="120"/>
      </w:pPr>
      <w:r>
        <w:rPr>
          <w:rFonts w:ascii="Times New Roman" w:cs="Times New Roman" w:eastAsia="Times New Roman" w:hAnsi="Times New Roman"/>
          <w:color w:val="CC0000"/>
          <w:sz w:val="22"/>
          <w:szCs w:val="22"/>
        </w:rPr>
        <w:t xml:space="preserve">i.e. The CM process is documented throughout this plan. Continuous improvements are included as part of the periodic update cycle.</w:t>
      </w:r>
    </w:p>
    <w:p>
      <w:pPr>
        <w:spacing w:after="120"/>
      </w:pPr>
      <w:r>
        <w:rPr>
          <w:b/>
          <w:i/>
          <w:color w:val="0000CC"/>
        </w:rPr>
        <w:t>&lt;Describe the CM performance measurement methodology: which enterprise-standard measures are reported (these are mandatory and comparable across programs), which additional program-specific measures are selected, and for each measure the organization whose activity is measured, the numerator and denominator, the system the data is drawn from, the reporting frequency, and the threshold. Where a measure depends on a review or signature, state what that signature attests — that review occurred, or that content is adequate — before the measure is first reported.&gt;</w:t>
      </w:r>
    </w:p>
    <w:p>
      <w:pPr>
        <w:spacing w:after="120"/>
      </w:pPr>
      <w:r>
        <w:rPr>
          <w:b/>
          <w:i/>
          <w:color w:val="0000CC"/>
        </w:rPr>
        <w:t>&lt;State how safety-floor coverage is measured and reported: a severity-weighted coverage percentage for trend, and an unweighted count of undispositioned top-band floor requirements as the safety-exposure measure with a target of zero. Report them together and never combine them; report separately the share of coverage achieved by risk acceptance rather than performance.&gt;</w:t>
      </w:r>
    </w:p>
    <w:p>
      <w:pPr>
        <w:spacing w:after="120"/>
      </w:pPr>
      <w:r>
        <w:rPr>
          <w:color w:val="CC0000"/>
        </w:rPr>
        <w:t>i.e. Enterprise-standard CM measures are reported monthly per the organizational standard process. Floor coverage is reported as a weighted percentage together with the count of undispositioned top-band requirements; a nonzero count is reported as a finding regardless of the percentage.</w:t>
      </w:r>
    </w:p>
    <w:p>
      <w:pPr>
        <w:pStyle w:val="Heading2"/>
        <w:spacing w:after="100" w:before="200"/>
      </w:pPr>
      <w:r>
        <w:rPr>
          <w:rFonts w:ascii="Times New Roman" w:cs="Times New Roman" w:eastAsia="Times New Roman" w:hAnsi="Times New Roman"/>
          <w:b/>
          <w:bCs/>
          <w:sz w:val="24"/>
          <w:szCs w:val="24"/>
        </w:rPr>
        <w:t xml:space="preserve">2.3 Configuration Identification</w:t>
      </w:r>
    </w:p>
    <w:p>
      <w:pPr>
        <w:pStyle w:val="Heading3"/>
        <w:spacing w:after="80" w:before="160"/>
      </w:pPr>
      <w:r>
        <w:rPr>
          <w:rFonts w:ascii="Times New Roman" w:cs="Times New Roman" w:eastAsia="Times New Roman" w:hAnsi="Times New Roman"/>
          <w:b/>
          <w:bCs/>
          <w:sz w:val="22"/>
          <w:szCs w:val="22"/>
        </w:rPr>
        <w:t xml:space="preserve">2.3.1 Function</w:t>
      </w:r>
    </w:p>
    <w:p>
      <w:pPr>
        <w:spacing w:after="120"/>
      </w:pPr>
      <w:r>
        <w:rPr>
          <w:rFonts w:ascii="Times New Roman" w:cs="Times New Roman" w:eastAsia="Times New Roman" w:hAnsi="Times New Roman"/>
          <w:sz w:val="22"/>
          <w:szCs w:val="22"/>
        </w:rPr>
        <w:t xml:space="preserve">The CM function that selects, defines, documents, and baselines product and service attributes and assigns unique identifiers to processes, products and services, and associated configuration information throughout the lifecycle.</w:t>
      </w:r>
    </w:p>
    <w:p>
      <w:pPr>
        <w:pStyle w:val="Heading3"/>
        <w:spacing w:after="80" w:before="160"/>
      </w:pPr>
      <w:r>
        <w:rPr>
          <w:rFonts w:ascii="Times New Roman" w:cs="Times New Roman" w:eastAsia="Times New Roman" w:hAnsi="Times New Roman"/>
          <w:b/>
          <w:bCs/>
          <w:sz w:val="22"/>
          <w:szCs w:val="22"/>
        </w:rPr>
        <w:t xml:space="preserve">2.3.2 Principle</w:t>
      </w:r>
    </w:p>
    <w:p>
      <w:pPr>
        <w:spacing w:after="120"/>
      </w:pPr>
      <w:r>
        <w:rPr>
          <w:rFonts w:ascii="Times New Roman" w:cs="Times New Roman" w:eastAsia="Times New Roman" w:hAnsi="Times New Roman"/>
          <w:sz w:val="22"/>
          <w:szCs w:val="22"/>
        </w:rPr>
        <w:t xml:space="preserve">Configuration identification is the basis from which the configuration of products is defined, structured, and labeled to provide traceability throughout the product life cycle. All documents reflecting product performance, functional, or physical requirements and other product information are uniquely identified in a baseline so that they can be correctly associated with the applicable configuration of the product.</w:t>
      </w:r>
    </w:p>
    <w:p>
      <w:pPr>
        <w:pStyle w:val="Heading3"/>
        <w:spacing w:after="80" w:before="160"/>
      </w:pPr>
      <w:r>
        <w:rPr>
          <w:rFonts w:ascii="Times New Roman" w:cs="Times New Roman" w:eastAsia="Times New Roman" w:hAnsi="Times New Roman"/>
          <w:b/>
          <w:bCs/>
          <w:sz w:val="22"/>
          <w:szCs w:val="22"/>
        </w:rPr>
        <w:t xml:space="preserve">2.3.3 Activity</w:t>
      </w:r>
    </w:p>
    <w:p>
      <w:pPr>
        <w:spacing w:after="120"/>
      </w:pPr>
      <w:r>
        <w:rPr>
          <w:rFonts w:ascii="Times New Roman" w:cs="Times New Roman" w:eastAsia="Times New Roman" w:hAnsi="Times New Roman"/>
          <w:i/>
          <w:iCs/>
          <w:color w:val="0000CC"/>
          <w:sz w:val="22"/>
          <w:szCs w:val="22"/>
        </w:rPr>
        <w:t xml:space="preserve">&lt;Provide an overview description of how Configuration Identification will be implemented, including CI selection, documentation typing, identifier issuance, baseline establishment, and CI hierarchy documentation&gt;</w:t>
      </w:r>
    </w:p>
    <w:p>
      <w:pPr>
        <w:spacing w:after="120"/>
      </w:pPr>
      <w:r>
        <w:rPr>
          <w:rFonts w:ascii="Times New Roman" w:cs="Times New Roman" w:eastAsia="Times New Roman" w:hAnsi="Times New Roman"/>
          <w:color w:val="CC0000"/>
          <w:sz w:val="22"/>
          <w:szCs w:val="22"/>
        </w:rPr>
        <w:t xml:space="preserve">i.e. This is a coordinated effort by the Program, Systems Engineers, ILS, CM Specialist, and the contractor/supplier(s). CI selection criteria are documented in Appendix B.</w:t>
      </w:r>
    </w:p>
    <w:p>
      <w:pPr>
        <w:pStyle w:val="Heading3"/>
        <w:spacing w:after="80" w:before="160"/>
      </w:pPr>
      <w:r>
        <w:rPr>
          <w:rFonts w:ascii="Times New Roman" w:cs="Times New Roman" w:eastAsia="Times New Roman" w:hAnsi="Times New Roman"/>
          <w:b/>
          <w:bCs/>
          <w:sz w:val="22"/>
          <w:szCs w:val="22"/>
        </w:rPr>
        <w:t xml:space="preserve">2.3.4 CM Floor Requirements Applicable to this Function</w:t>
      </w:r>
    </w:p>
    <w:p>
      <w:pPr>
        <w:spacing w:after="120"/>
      </w:pPr>
      <w:r>
        <w:rPr>
          <w:rFonts w:ascii="Times New Roman" w:cs="Times New Roman" w:eastAsia="Times New Roman" w:hAnsi="Times New Roman"/>
          <w:sz w:val="22"/>
          <w:szCs w:val="22"/>
        </w:rPr>
        <w:t xml:space="preserve">Floor requirements F01 (safety-critical CI selection) and F35–F37 (interface requirement identification, incorporation into FCD/ACD/PCD, and configuration control of baselined interfaces) are implemented through this function. See Section 7.1 and 7.4.</w:t>
      </w:r>
    </w:p>
    <w:p>
      <w:pPr>
        <w:pStyle w:val="Heading2"/>
        <w:spacing w:after="100" w:before="200"/>
      </w:pPr>
      <w:r>
        <w:rPr>
          <w:rFonts w:ascii="Times New Roman" w:cs="Times New Roman" w:eastAsia="Times New Roman" w:hAnsi="Times New Roman"/>
          <w:b/>
          <w:bCs/>
          <w:sz w:val="24"/>
          <w:szCs w:val="24"/>
        </w:rPr>
        <w:t xml:space="preserve">2.4 Configuration Control</w:t>
      </w:r>
    </w:p>
    <w:p>
      <w:pPr>
        <w:pStyle w:val="Heading3"/>
        <w:spacing w:after="80" w:before="160"/>
      </w:pPr>
      <w:r>
        <w:rPr>
          <w:rFonts w:ascii="Times New Roman" w:cs="Times New Roman" w:eastAsia="Times New Roman" w:hAnsi="Times New Roman"/>
          <w:b/>
          <w:bCs/>
          <w:sz w:val="22"/>
          <w:szCs w:val="22"/>
        </w:rPr>
        <w:t xml:space="preserve">2.4.1 Function</w:t>
      </w:r>
    </w:p>
    <w:p>
      <w:pPr>
        <w:spacing w:after="120"/>
      </w:pPr>
      <w:r>
        <w:rPr>
          <w:rFonts w:ascii="Times New Roman" w:cs="Times New Roman" w:eastAsia="Times New Roman" w:hAnsi="Times New Roman"/>
          <w:sz w:val="22"/>
          <w:szCs w:val="22"/>
        </w:rPr>
        <w:t xml:space="preserve">The CM function that ensures a consistent systematic change process establishes and maintains control of configuration baselines, and that changes to processes, products, and services are properly identified, recorded, evaluated, approved or disapproved, incorporated and verified as appropriate.</w:t>
      </w:r>
    </w:p>
    <w:p>
      <w:pPr>
        <w:pStyle w:val="Heading3"/>
        <w:spacing w:after="80" w:before="160"/>
      </w:pPr>
      <w:r>
        <w:rPr>
          <w:rFonts w:ascii="Times New Roman" w:cs="Times New Roman" w:eastAsia="Times New Roman" w:hAnsi="Times New Roman"/>
          <w:b/>
          <w:bCs/>
          <w:sz w:val="22"/>
          <w:szCs w:val="22"/>
        </w:rPr>
        <w:t xml:space="preserve">2.4.2 Principle</w:t>
      </w:r>
    </w:p>
    <w:p>
      <w:pPr>
        <w:spacing w:after="120"/>
      </w:pPr>
      <w:r>
        <w:rPr>
          <w:rFonts w:ascii="Times New Roman" w:cs="Times New Roman" w:eastAsia="Times New Roman" w:hAnsi="Times New Roman"/>
          <w:sz w:val="22"/>
          <w:szCs w:val="22"/>
        </w:rPr>
        <w:t xml:space="preserve">Product and document changes are accomplished using a systematic, measurable change process. Classification of a requested change determines the appropriate level of review and the applicable change approval authority. A unique change identifier enables tracking of the change request and the status of implementation and verification of the approved change.</w:t>
      </w:r>
    </w:p>
    <w:p>
      <w:pPr>
        <w:pStyle w:val="Heading3"/>
        <w:spacing w:after="80" w:before="160"/>
      </w:pPr>
      <w:r>
        <w:rPr>
          <w:rFonts w:ascii="Times New Roman" w:cs="Times New Roman" w:eastAsia="Times New Roman" w:hAnsi="Times New Roman"/>
          <w:b/>
          <w:bCs/>
          <w:sz w:val="22"/>
          <w:szCs w:val="22"/>
        </w:rPr>
        <w:t xml:space="preserve">2.4.3 Activity</w:t>
      </w:r>
    </w:p>
    <w:p>
      <w:pPr>
        <w:spacing w:after="120"/>
      </w:pPr>
      <w:r>
        <w:rPr>
          <w:rFonts w:ascii="Times New Roman" w:cs="Times New Roman" w:eastAsia="Times New Roman" w:hAnsi="Times New Roman"/>
          <w:i/>
          <w:iCs/>
          <w:color w:val="0000CC"/>
          <w:sz w:val="22"/>
          <w:szCs w:val="22"/>
        </w:rPr>
        <w:t xml:space="preserve">&lt;Provide an overview description of how Configuration Control will be implemented, including the CCB charter, change classification (Major/Class I vs Minor/Class II), ECP/NOR/variance processing, engineering release, and change verification&gt;</w:t>
      </w:r>
    </w:p>
    <w:p>
      <w:pPr>
        <w:spacing w:after="120"/>
      </w:pPr>
      <w:r>
        <w:rPr>
          <w:rFonts w:ascii="Times New Roman" w:cs="Times New Roman" w:eastAsia="Times New Roman" w:hAnsi="Times New Roman"/>
          <w:color w:val="CC0000"/>
          <w:sz w:val="22"/>
          <w:szCs w:val="22"/>
        </w:rPr>
        <w:t xml:space="preserve">i.e. A CCB Charter details the responsibilities, voting members, operating procedures and periodicity of the CCB. A Change Request is the vehicle for recording a recommended change against hardware configuration, software configuration, baseline content, and documentation.</w:t>
      </w:r>
    </w:p>
    <w:p>
      <w:pPr>
        <w:pStyle w:val="Heading3"/>
        <w:spacing w:after="80" w:before="160"/>
      </w:pPr>
      <w:r>
        <w:rPr>
          <w:rFonts w:ascii="Times New Roman" w:cs="Times New Roman" w:eastAsia="Times New Roman" w:hAnsi="Times New Roman"/>
          <w:b/>
          <w:bCs/>
          <w:sz w:val="22"/>
          <w:szCs w:val="22"/>
        </w:rPr>
        <w:t xml:space="preserve">2.4.4 CM Floor Requirements Applicable to this Function</w:t>
      </w:r>
    </w:p>
    <w:p>
      <w:pPr>
        <w:spacing w:after="120"/>
      </w:pPr>
      <w:r>
        <w:rPr>
          <w:rFonts w:ascii="Times New Roman" w:cs="Times New Roman" w:eastAsia="Times New Roman" w:hAnsi="Times New Roman"/>
          <w:sz w:val="22"/>
          <w:szCs w:val="22"/>
        </w:rPr>
        <w:t xml:space="preserve">The bulk of the CM floor lands in this function: F02–F05 (change classification and joint CCB), F06–F13, F15–F23 (change discipline, ECP/NOR/variance processing, release, and incorporation verification), and F37 (interface baseline control). See Sections 7.1 and 7.2.</w:t>
      </w:r>
    </w:p>
    <w:p>
      <w:pPr>
        <w:pStyle w:val="Heading2"/>
        <w:spacing w:after="100" w:before="200"/>
      </w:pPr>
      <w:r>
        <w:rPr>
          <w:rFonts w:ascii="Times New Roman" w:cs="Times New Roman" w:eastAsia="Times New Roman" w:hAnsi="Times New Roman"/>
          <w:b/>
          <w:bCs/>
          <w:sz w:val="24"/>
          <w:szCs w:val="24"/>
        </w:rPr>
        <w:t xml:space="preserve">2.5 Configuration Status Accounting</w:t>
      </w:r>
    </w:p>
    <w:p>
      <w:pPr>
        <w:pStyle w:val="Heading3"/>
        <w:spacing w:after="80" w:before="160"/>
      </w:pPr>
      <w:r>
        <w:rPr>
          <w:rFonts w:ascii="Times New Roman" w:cs="Times New Roman" w:eastAsia="Times New Roman" w:hAnsi="Times New Roman"/>
          <w:b/>
          <w:bCs/>
          <w:sz w:val="22"/>
          <w:szCs w:val="22"/>
        </w:rPr>
        <w:t xml:space="preserve">2.5.1 Function</w:t>
      </w:r>
    </w:p>
    <w:p>
      <w:pPr>
        <w:spacing w:after="120"/>
      </w:pPr>
      <w:r>
        <w:rPr>
          <w:rFonts w:ascii="Times New Roman" w:cs="Times New Roman" w:eastAsia="Times New Roman" w:hAnsi="Times New Roman"/>
          <w:sz w:val="22"/>
          <w:szCs w:val="22"/>
        </w:rPr>
        <w:t xml:space="preserve">The CM function that manages the capture of establishing, maintaining and reporting process, product, and service information to ensure the configuration can be determined, recorded, safeguarded and validated throughout its life cycle.</w:t>
      </w:r>
    </w:p>
    <w:p>
      <w:pPr>
        <w:pStyle w:val="Heading3"/>
        <w:spacing w:after="80" w:before="160"/>
      </w:pPr>
      <w:r>
        <w:rPr>
          <w:rFonts w:ascii="Times New Roman" w:cs="Times New Roman" w:eastAsia="Times New Roman" w:hAnsi="Times New Roman"/>
          <w:b/>
          <w:bCs/>
          <w:sz w:val="22"/>
          <w:szCs w:val="22"/>
        </w:rPr>
        <w:t xml:space="preserve">2.5.2 Principle</w:t>
      </w:r>
    </w:p>
    <w:p>
      <w:pPr>
        <w:spacing w:after="120"/>
      </w:pPr>
      <w:r>
        <w:rPr>
          <w:rFonts w:ascii="Times New Roman" w:cs="Times New Roman" w:eastAsia="Times New Roman" w:hAnsi="Times New Roman"/>
          <w:sz w:val="22"/>
          <w:szCs w:val="22"/>
        </w:rPr>
        <w:t xml:space="preserve">As CM tasks are performed throughout the lifecycle, information and data about the product, documentation, and the configuration are captured and recorded to support program/project activities in an accurate and timely manner. Metrics derived from CSA information are used to evaluate and support process improvement.</w:t>
      </w:r>
    </w:p>
    <w:p>
      <w:pPr>
        <w:pStyle w:val="Heading3"/>
        <w:spacing w:after="80" w:before="160"/>
      </w:pPr>
      <w:r>
        <w:rPr>
          <w:rFonts w:ascii="Times New Roman" w:cs="Times New Roman" w:eastAsia="Times New Roman" w:hAnsi="Times New Roman"/>
          <w:b/>
          <w:bCs/>
          <w:sz w:val="22"/>
          <w:szCs w:val="22"/>
        </w:rPr>
        <w:t xml:space="preserve">2.5.3 Activity</w:t>
      </w:r>
    </w:p>
    <w:p>
      <w:pPr>
        <w:spacing w:after="120"/>
      </w:pPr>
      <w:r>
        <w:rPr>
          <w:rFonts w:ascii="Times New Roman" w:cs="Times New Roman" w:eastAsia="Times New Roman" w:hAnsi="Times New Roman"/>
          <w:i/>
          <w:iCs/>
          <w:color w:val="0000CC"/>
          <w:sz w:val="22"/>
          <w:szCs w:val="22"/>
        </w:rPr>
        <w:t xml:space="preserve">&lt;Provide an overview description of how CSA will be implemented, including the CSA tool, baseline reports, CR logs, historical traceability, retrofit incorporation records, and sub-tier supplier data&gt;</w:t>
      </w:r>
    </w:p>
    <w:p>
      <w:pPr>
        <w:spacing w:after="120"/>
      </w:pPr>
      <w:r>
        <w:rPr>
          <w:rFonts w:ascii="Times New Roman" w:cs="Times New Roman" w:eastAsia="Times New Roman" w:hAnsi="Times New Roman"/>
          <w:color w:val="CC0000"/>
          <w:sz w:val="22"/>
          <w:szCs w:val="22"/>
        </w:rPr>
        <w:t xml:space="preserve">i.e. A CM tool facilitates the capture of data, documentation and configuration items and provides status reports. All items are linked to provide a relational view and support impact assessment.</w:t>
      </w:r>
    </w:p>
    <w:p>
      <w:pPr>
        <w:spacing w:after="120"/>
      </w:pPr>
      <w:r>
        <w:rPr>
          <w:b/>
          <w:i/>
          <w:color w:val="0000CC"/>
        </w:rPr>
        <w:t>&lt;Distinguish the system of record from analysis tooling. The system of record captures configuration information when it is created, keeps it current, stores and safeguards it, and makes it retrievable across the retention period and the full program history. Reconciliation, comparison, and verification tools operate on that information to compare, verify, and report; they do not satisfy the capture, currency, storage, retention, retrieval, or historical-traceability obligations. Name both, and state which system satisfies which obligation — F24 through F28 and F32 are record obligations, not analysis obligations.&gt;</w:t>
      </w:r>
    </w:p>
    <w:p>
      <w:pPr>
        <w:pStyle w:val="Heading3"/>
        <w:spacing w:after="80" w:before="160"/>
      </w:pPr>
      <w:r>
        <w:rPr>
          <w:rFonts w:ascii="Times New Roman" w:cs="Times New Roman" w:eastAsia="Times New Roman" w:hAnsi="Times New Roman"/>
          <w:b/>
          <w:bCs/>
          <w:sz w:val="22"/>
          <w:szCs w:val="22"/>
        </w:rPr>
        <w:t xml:space="preserve">2.5.4 CM Floor Requirements Applicable to this Function</w:t>
      </w:r>
    </w:p>
    <w:p>
      <w:pPr>
        <w:spacing w:after="120"/>
      </w:pPr>
      <w:r>
        <w:rPr>
          <w:rFonts w:ascii="Times New Roman" w:cs="Times New Roman" w:eastAsia="Times New Roman" w:hAnsi="Times New Roman"/>
          <w:sz w:val="22"/>
          <w:szCs w:val="22"/>
        </w:rPr>
        <w:t xml:space="preserve">Floor requirements F07 and F14 (recording changes in CSA), F24–F28 (CSA validity, capture, storage, safeguarding and retrieval), F32 (historical traceability from contract award to present), F33 (retrofit incorporation), and F39 (sub-tier supplier data traceability) are implemented through this function. See Sections 7.2, 7.3 and 7.4.</w:t>
      </w:r>
    </w:p>
    <w:p>
      <w:pPr>
        <w:pStyle w:val="Heading2"/>
        <w:spacing w:after="100" w:before="200"/>
      </w:pPr>
      <w:r>
        <w:rPr>
          <w:rFonts w:ascii="Times New Roman" w:cs="Times New Roman" w:eastAsia="Times New Roman" w:hAnsi="Times New Roman"/>
          <w:b/>
          <w:bCs/>
          <w:sz w:val="24"/>
          <w:szCs w:val="24"/>
        </w:rPr>
        <w:t xml:space="preserve">2.6 Configuration Verification &amp; Audit</w:t>
      </w:r>
    </w:p>
    <w:p>
      <w:pPr>
        <w:pStyle w:val="Heading3"/>
        <w:spacing w:after="80" w:before="160"/>
      </w:pPr>
      <w:r>
        <w:rPr>
          <w:rFonts w:ascii="Times New Roman" w:cs="Times New Roman" w:eastAsia="Times New Roman" w:hAnsi="Times New Roman"/>
          <w:b/>
          <w:bCs/>
          <w:sz w:val="22"/>
          <w:szCs w:val="22"/>
        </w:rPr>
        <w:t xml:space="preserve">2.6.1 Function</w:t>
      </w:r>
    </w:p>
    <w:p>
      <w:pPr>
        <w:spacing w:after="120"/>
      </w:pPr>
      <w:r>
        <w:rPr>
          <w:rFonts w:ascii="Times New Roman" w:cs="Times New Roman" w:eastAsia="Times New Roman" w:hAnsi="Times New Roman"/>
          <w:sz w:val="22"/>
          <w:szCs w:val="22"/>
        </w:rPr>
        <w:t xml:space="preserve">The CM function that reviews and evaluates processes, products, and services to validate compliance and ensure integrity with requirements, conformance to definition information, and confirmation that specified process requirements have been fulfilled.</w:t>
      </w:r>
    </w:p>
    <w:p>
      <w:pPr>
        <w:pStyle w:val="Heading3"/>
        <w:spacing w:after="80" w:before="160"/>
      </w:pPr>
      <w:r>
        <w:rPr>
          <w:rFonts w:ascii="Times New Roman" w:cs="Times New Roman" w:eastAsia="Times New Roman" w:hAnsi="Times New Roman"/>
          <w:b/>
          <w:bCs/>
          <w:sz w:val="22"/>
          <w:szCs w:val="22"/>
        </w:rPr>
        <w:t xml:space="preserve">2.6.2 Principle</w:t>
      </w:r>
    </w:p>
    <w:p>
      <w:pPr>
        <w:spacing w:after="120"/>
      </w:pPr>
      <w:r>
        <w:rPr>
          <w:rFonts w:ascii="Times New Roman" w:cs="Times New Roman" w:eastAsia="Times New Roman" w:hAnsi="Times New Roman"/>
          <w:sz w:val="22"/>
          <w:szCs w:val="22"/>
        </w:rPr>
        <w:t xml:space="preserve">To validate compliance, configuration verification uses the physical, functional, and interface requirements to ensure consistency is maintained between a product, its configuration information, and related support documentation. Configuration audits assure that specified process requirements have been fulfilled and baselines are established at key points in the life cycle.</w:t>
      </w:r>
    </w:p>
    <w:p>
      <w:pPr>
        <w:pStyle w:val="Heading3"/>
        <w:spacing w:after="80" w:before="160"/>
      </w:pPr>
      <w:r>
        <w:rPr>
          <w:rFonts w:ascii="Times New Roman" w:cs="Times New Roman" w:eastAsia="Times New Roman" w:hAnsi="Times New Roman"/>
          <w:b/>
          <w:bCs/>
          <w:sz w:val="22"/>
          <w:szCs w:val="22"/>
        </w:rPr>
        <w:t xml:space="preserve">2.6.3 Activity</w:t>
      </w:r>
    </w:p>
    <w:p>
      <w:pPr>
        <w:spacing w:after="120"/>
      </w:pPr>
      <w:r>
        <w:rPr>
          <w:rFonts w:ascii="Times New Roman" w:cs="Times New Roman" w:eastAsia="Times New Roman" w:hAnsi="Times New Roman"/>
          <w:i/>
          <w:iCs/>
          <w:color w:val="0000CC"/>
          <w:sz w:val="22"/>
          <w:szCs w:val="22"/>
        </w:rPr>
        <w:t xml:space="preserve">&lt;Provide an overview description of how Verification &amp; Audit will be implemented, including FCA, PCA, process assessments, and support to Acquirer audits&gt;</w:t>
      </w:r>
    </w:p>
    <w:p>
      <w:pPr>
        <w:spacing w:after="120"/>
      </w:pPr>
      <w:r>
        <w:rPr>
          <w:rFonts w:ascii="Times New Roman" w:cs="Times New Roman" w:eastAsia="Times New Roman" w:hAnsi="Times New Roman"/>
          <w:color w:val="CC0000"/>
          <w:sz w:val="22"/>
          <w:szCs w:val="22"/>
        </w:rPr>
        <w:t xml:space="preserve">i.e. An FCA will be performed between acquirer and supplier to validate that documentation meets approved functional requirements. A PCA will be performed to validate that the physical item meets the approved design requirements. A CM process assessment is performed after each major milestone.</w:t>
      </w:r>
    </w:p>
    <w:p>
      <w:pPr>
        <w:pStyle w:val="Heading3"/>
        <w:spacing w:after="80" w:before="160"/>
      </w:pPr>
      <w:r>
        <w:rPr>
          <w:rFonts w:ascii="Times New Roman" w:cs="Times New Roman" w:eastAsia="Times New Roman" w:hAnsi="Times New Roman"/>
          <w:b/>
          <w:bCs/>
          <w:sz w:val="22"/>
          <w:szCs w:val="22"/>
        </w:rPr>
        <w:t xml:space="preserve">2.6.4 CM Floor Requirements Applicable to this Function</w:t>
      </w:r>
    </w:p>
    <w:p>
      <w:pPr>
        <w:spacing w:after="120"/>
      </w:pPr>
      <w:r>
        <w:rPr>
          <w:rFonts w:ascii="Times New Roman" w:cs="Times New Roman" w:eastAsia="Times New Roman" w:hAnsi="Times New Roman"/>
          <w:sz w:val="22"/>
          <w:szCs w:val="22"/>
        </w:rPr>
        <w:t xml:space="preserve">Floor requirements F09 and F15 (change incorporation verification), F29–F31 and F34 (PCA conduct, PPSL confirmation, non-compliance reporting, production/development CI differences), F41 (support to Acquirer CM audits), and F42–F44 (FCA conduct, non-compliance reporting, requirements-to-test traceability matrix) are implemented through this function. See Sections 7.2, 7.3 and 7.4.</w:t>
      </w:r>
    </w:p>
    <w:p>
      <w:pPr>
        <w:pStyle w:val="Heading2"/>
        <w:spacing w:after="100" w:before="200"/>
      </w:pPr>
      <w:r>
        <w:rPr>
          <w:rFonts w:ascii="Times New Roman" w:cs="Times New Roman" w:eastAsia="Times New Roman" w:hAnsi="Times New Roman"/>
          <w:b/>
          <w:bCs/>
          <w:sz w:val="24"/>
          <w:szCs w:val="24"/>
        </w:rPr>
        <w:t xml:space="preserve">2.7 Data &amp; Document Management</w:t>
      </w:r>
    </w:p>
    <w:p>
      <w:pPr>
        <w:pStyle w:val="Heading3"/>
        <w:spacing w:after="80" w:before="160"/>
      </w:pPr>
      <w:r>
        <w:rPr>
          <w:rFonts w:ascii="Times New Roman" w:cs="Times New Roman" w:eastAsia="Times New Roman" w:hAnsi="Times New Roman"/>
          <w:b/>
          <w:bCs/>
          <w:sz w:val="22"/>
          <w:szCs w:val="22"/>
        </w:rPr>
        <w:t xml:space="preserve">2.7.1 Function</w:t>
      </w:r>
    </w:p>
    <w:p>
      <w:pPr>
        <w:spacing w:after="120"/>
      </w:pPr>
      <w:r>
        <w:rPr>
          <w:rFonts w:ascii="Times New Roman" w:cs="Times New Roman" w:eastAsia="Times New Roman" w:hAnsi="Times New Roman"/>
          <w:sz w:val="22"/>
          <w:szCs w:val="22"/>
        </w:rPr>
        <w:t xml:space="preserve">A discipline that monitors all recorded administrative, managerial, financial, and technical configuration information, regardless of medium or characteristics. It includes ownership and approval of documentation and data, versioning of documentation and software, and document and data repository control and access.</w:t>
      </w:r>
    </w:p>
    <w:p>
      <w:pPr>
        <w:pStyle w:val="Heading3"/>
        <w:spacing w:after="80" w:before="160"/>
      </w:pPr>
      <w:r>
        <w:rPr>
          <w:rFonts w:ascii="Times New Roman" w:cs="Times New Roman" w:eastAsia="Times New Roman" w:hAnsi="Times New Roman"/>
          <w:b/>
          <w:bCs/>
          <w:sz w:val="22"/>
          <w:szCs w:val="22"/>
        </w:rPr>
        <w:t xml:space="preserve">2.7.2 Principle</w:t>
      </w:r>
    </w:p>
    <w:p>
      <w:pPr>
        <w:spacing w:after="120"/>
      </w:pPr>
      <w:r>
        <w:rPr>
          <w:rFonts w:ascii="Times New Roman" w:cs="Times New Roman" w:eastAsia="Times New Roman" w:hAnsi="Times New Roman"/>
          <w:sz w:val="22"/>
          <w:szCs w:val="22"/>
        </w:rPr>
        <w:t xml:space="preserve">Define the relevant scope of data; plan for, acquire and provide data responses; identify data products and views so their requirements and attributes can be controlled; control data, repositories, data products, data views, and metadata using an approved change control process.</w:t>
      </w:r>
    </w:p>
    <w:p>
      <w:pPr>
        <w:pStyle w:val="Heading3"/>
        <w:spacing w:after="80" w:before="160"/>
      </w:pPr>
      <w:r>
        <w:rPr>
          <w:rFonts w:ascii="Times New Roman" w:cs="Times New Roman" w:eastAsia="Times New Roman" w:hAnsi="Times New Roman"/>
          <w:b/>
          <w:bCs/>
          <w:sz w:val="22"/>
          <w:szCs w:val="22"/>
        </w:rPr>
        <w:t xml:space="preserve">2.7.3 Activity</w:t>
      </w:r>
    </w:p>
    <w:p>
      <w:pPr>
        <w:spacing w:after="120"/>
      </w:pPr>
      <w:r>
        <w:rPr>
          <w:rFonts w:ascii="Times New Roman" w:cs="Times New Roman" w:eastAsia="Times New Roman" w:hAnsi="Times New Roman"/>
          <w:i/>
          <w:iCs/>
          <w:color w:val="0000CC"/>
          <w:sz w:val="22"/>
          <w:szCs w:val="22"/>
        </w:rPr>
        <w:t xml:space="preserve">&lt;Provide an overview description of how Data &amp; Document Management will be implemented, including metadata fields, entry patterns, standard titles, numbering schemes, version/revision schemes, and naming conventions (details in the Data and Document Management Conventions appendix)&gt;</w:t>
      </w:r>
    </w:p>
    <w:p>
      <w:pPr>
        <w:spacing w:after="120"/>
      </w:pPr>
      <w:r>
        <w:rPr>
          <w:rFonts w:ascii="Times New Roman" w:cs="Times New Roman" w:eastAsia="Times New Roman" w:hAnsi="Times New Roman"/>
          <w:color w:val="CC0000"/>
          <w:sz w:val="22"/>
          <w:szCs w:val="22"/>
        </w:rPr>
        <w:t xml:space="preserve">i.e. The data and document management conventions are used to identify data products and attributes so that requirements can be controlled. Refer to Appendix P.</w:t>
      </w:r>
    </w:p>
    <w:p>
      <w:pPr>
        <w:pStyle w:val="Heading3"/>
        <w:spacing w:after="80" w:before="160"/>
      </w:pPr>
      <w:r>
        <w:rPr>
          <w:rFonts w:ascii="Times New Roman" w:cs="Times New Roman" w:eastAsia="Times New Roman" w:hAnsi="Times New Roman"/>
          <w:b/>
          <w:bCs/>
          <w:sz w:val="22"/>
          <w:szCs w:val="22"/>
        </w:rPr>
        <w:t xml:space="preserve">2.7.4 CM Floor Requirements Applicable to this Function</w:t>
      </w:r>
    </w:p>
    <w:p>
      <w:pPr>
        <w:spacing w:after="120"/>
      </w:pPr>
      <w:r>
        <w:rPr>
          <w:rFonts w:ascii="Times New Roman" w:cs="Times New Roman" w:eastAsia="Times New Roman" w:hAnsi="Times New Roman"/>
          <w:sz w:val="22"/>
          <w:szCs w:val="22"/>
        </w:rPr>
        <w:t xml:space="preserve">Floor requirements F13 (documented engineering release system), F23 (revision creation with before/after traceability), and F27–F28 (storage, safeguarding and retrieval of configuration information) rely on this function jointly with 2.4 and 2.5. See Section 7.2 and 7.3.</w:t>
      </w:r>
    </w:p>
    <w:p>
      <w:r>
        <w:br w:type="page"/>
      </w:r>
    </w:p>
    <w:p>
      <w:pPr>
        <w:pStyle w:val="Heading1"/>
        <w:spacing w:after="120" w:before="240"/>
      </w:pPr>
      <w:r>
        <w:rPr>
          <w:rFonts w:ascii="Times New Roman" w:cs="Times New Roman" w:eastAsia="Times New Roman" w:hAnsi="Times New Roman"/>
          <w:b/>
          <w:bCs/>
          <w:sz w:val="28"/>
          <w:szCs w:val="28"/>
        </w:rPr>
        <w:t xml:space="preserve">3.0 Configuration Management Paradigms</w:t>
      </w:r>
    </w:p>
    <w:p>
      <w:pPr>
        <w:spacing w:after="120"/>
      </w:pPr>
      <w:r>
        <w:rPr>
          <w:rFonts w:ascii="Times New Roman" w:cs="Times New Roman" w:eastAsia="Times New Roman" w:hAnsi="Times New Roman"/>
          <w:sz w:val="22"/>
          <w:szCs w:val="22"/>
        </w:rPr>
        <w:t xml:space="preserve">CM paradigms are defined in the context of the relationship between products and platforms, acquirer and supplier, hardware and software, acquisition and operational environments, data and document management, and system of systems / family of systems.</w:t>
      </w:r>
    </w:p>
    <w:p>
      <w:pPr>
        <w:pStyle w:val="Heading2"/>
        <w:spacing w:after="100" w:before="200"/>
      </w:pPr>
      <w:r>
        <w:rPr>
          <w:rFonts w:ascii="Times New Roman" w:cs="Times New Roman" w:eastAsia="Times New Roman" w:hAnsi="Times New Roman"/>
          <w:b/>
          <w:bCs/>
          <w:sz w:val="24"/>
          <w:szCs w:val="24"/>
        </w:rPr>
        <w:t xml:space="preserve">3.1 Product – Platform</w:t>
      </w:r>
    </w:p>
    <w:p>
      <w:pPr>
        <w:spacing w:after="120"/>
      </w:pPr>
      <w:r>
        <w:rPr>
          <w:rFonts w:ascii="Times New Roman" w:cs="Times New Roman" w:eastAsia="Times New Roman" w:hAnsi="Times New Roman"/>
          <w:i/>
          <w:iCs/>
          <w:color w:val="0000CC"/>
          <w:sz w:val="22"/>
          <w:szCs w:val="22"/>
        </w:rPr>
        <w:t xml:space="preserve">&lt;Describe the relationship and touch points between your product and applicable platforms: fielding coordination, configuration data transition, communication between product and platform stakeholders, and how their CM processes interface&gt;</w:t>
      </w:r>
    </w:p>
    <w:p>
      <w:pPr>
        <w:pStyle w:val="Heading2"/>
        <w:spacing w:after="100" w:before="200"/>
      </w:pPr>
      <w:r>
        <w:rPr>
          <w:rFonts w:ascii="Times New Roman" w:cs="Times New Roman" w:eastAsia="Times New Roman" w:hAnsi="Times New Roman"/>
          <w:b/>
          <w:bCs/>
          <w:sz w:val="24"/>
          <w:szCs w:val="24"/>
        </w:rPr>
        <w:t xml:space="preserve">3.2 Acquirer – Supplier</w:t>
      </w:r>
    </w:p>
    <w:p>
      <w:pPr>
        <w:spacing w:after="120"/>
      </w:pPr>
      <w:r>
        <w:rPr>
          <w:rFonts w:ascii="Times New Roman" w:cs="Times New Roman" w:eastAsia="Times New Roman" w:hAnsi="Times New Roman"/>
          <w:i/>
          <w:iCs/>
          <w:color w:val="0000CC"/>
          <w:sz w:val="22"/>
          <w:szCs w:val="22"/>
        </w:rPr>
        <w:t xml:space="preserve">&lt;Define the relationship between the acquirer, who monitors supplier performance under a contract or agreement, and the supplier, who accomplishes specific work and/or delivers required products or services. Address: joint Acquirer/Supplier CCB participation (F04), Acquirer concurrence on Minor/Class II classification (F05), flow-down of CM floor requirements to sub-suppliers with suitable tailoring (F40), support to Acquirer audits of Supplier and sub-supplier CM (F41), sub-tier supplier data reporting (F39), and ICWG representation where one exists (F38)&gt;</w:t>
      </w:r>
    </w:p>
    <w:p>
      <w:pPr>
        <w:spacing w:after="120"/>
      </w:pPr>
      <w:r>
        <w:rPr>
          <w:rFonts w:ascii="Times New Roman" w:cs="Times New Roman" w:eastAsia="Times New Roman" w:hAnsi="Times New Roman"/>
          <w:color w:val="CC0000"/>
          <w:sz w:val="22"/>
          <w:szCs w:val="22"/>
        </w:rPr>
        <w:t xml:space="preserve">i.e. All programs identify the level of CM control and/or visibility necessary to meet program needs and ensure effective management of baselines and baseline changes. Sub-supplier purchase orders impose the CM floor requirements of Section 7, tailored where documented and approved.</w:t>
      </w:r>
    </w:p>
    <w:p>
      <w:pPr>
        <w:pStyle w:val="Heading3"/>
        <w:spacing w:after="80" w:before="160"/>
      </w:pPr>
      <w:r>
        <w:t>3.2.1 Sub-Supplier CM Requirements Flowdown Method</w:t>
      </w:r>
    </w:p>
    <w:p>
      <w:pPr>
        <w:spacing w:after="120"/>
      </w:pPr>
      <w:r>
        <w:rPr>
          <w:b/>
          <w:i/>
          <w:color w:val="0000CC"/>
        </w:rPr>
        <w:t>&lt;State the method by which CM requirements are selected for each procurement: classification of the work the supplier performs (who holds design authority, who performs the build, item type), derivation of the applicable requirement set and supplier data deliverables from that classification, and recording of the classification as the documented tailoring rationale required by F40. Identify where classifications are recorded, and who reviews and signs the supplier statement of work before release.&gt;</w:t>
      </w:r>
    </w:p>
    <w:p>
      <w:pPr>
        <w:spacing w:after="120"/>
      </w:pPr>
      <w:r>
        <w:rPr>
          <w:color w:val="CC0000"/>
        </w:rPr>
        <w:t>i.e. Each procurement is classified by work type at statement-of-work development and recorded on the classification log; the requirement set and data deliverables are derived from that classification; CM signs the statement of work before release.</w:t>
      </w:r>
    </w:p>
    <w:p>
      <w:pPr>
        <w:pStyle w:val="Heading3"/>
        <w:spacing w:after="80" w:before="160"/>
      </w:pPr>
      <w:r>
        <w:t>3.2.2 Sub-Supplier CM Effectiveness Determination and Actions</w:t>
      </w:r>
    </w:p>
    <w:p>
      <w:pPr>
        <w:spacing w:after="120"/>
      </w:pPr>
      <w:r>
        <w:rPr>
          <w:b/>
          <w:i/>
          <w:color w:val="0000CC"/>
        </w:rPr>
        <w:t>&lt;State the method used to determine whether each sub-supplier CM process is effective and the actions taken when it is not — a required CMP planning factor. Address: the evidence accrued (data deliverable review results with defect codes; findings, escapes, and non-submittal events); the determination cadence and the triggers that force an off-cycle determination; the determination levels and the determining authority; and the graduated actions applied, from increased surveillance through corrective action, source inspection, and award restriction. State the required downstream actions on a determination of less than effective: re-assessment of configuration audit designation for that supplier’s items, reporting into the safety data stream where the evidence is safety-relevant, and revalidation of any documented equivalent control that depends on that supplier’s process.&gt;</w:t>
      </w:r>
    </w:p>
    <w:p>
      <w:pPr>
        <w:pStyle w:val="Heading3"/>
        <w:spacing w:after="80" w:before="160"/>
      </w:pPr>
      <w:r>
        <w:t>3.2.3 Conditional Configuration Audit Obligations in Supplier Agreements</w:t>
      </w:r>
    </w:p>
    <w:p>
      <w:pPr>
        <w:spacing w:after="120"/>
      </w:pPr>
      <w:r>
        <w:rPr>
          <w:b/>
          <w:i/>
          <w:color w:val="0000CC"/>
        </w:rPr>
        <w:t>&lt;State that supplier statements of work for items where configuration audit designation is possible carry a standing conditional audit clause — obligations taking effect if and when the item is or becomes designated — with the audit data deliverables cited as triggered items, and that the supplier’s audit role (conduct, support, or data support) follows the classification of the work performed. Audit ceremony may be tailored at the supplier tier; audit substance may not.&gt;</w:t>
      </w:r>
    </w:p>
    <w:p>
      <w:pPr>
        <w:spacing w:after="120"/>
      </w:pPr>
      <w:r>
        <w:rPr>
          <w:color w:val="CC0000"/>
        </w:rPr>
        <w:t>i.e. Because awarding to a new source is itself a designation trigger, the conditional clause is included at award rather than negotiated after designation occurs.</w:t>
      </w:r>
    </w:p>
    <w:p>
      <w:pPr>
        <w:pStyle w:val="Heading2"/>
        <w:spacing w:after="100" w:before="200"/>
      </w:pPr>
      <w:r>
        <w:rPr>
          <w:rFonts w:ascii="Times New Roman" w:cs="Times New Roman" w:eastAsia="Times New Roman" w:hAnsi="Times New Roman"/>
          <w:b/>
          <w:bCs/>
          <w:sz w:val="24"/>
          <w:szCs w:val="24"/>
        </w:rPr>
        <w:t xml:space="preserve">3.3 Hardware – Software</w:t>
      </w:r>
    </w:p>
    <w:p>
      <w:pPr>
        <w:spacing w:after="120"/>
      </w:pPr>
      <w:r>
        <w:rPr>
          <w:rFonts w:ascii="Times New Roman" w:cs="Times New Roman" w:eastAsia="Times New Roman" w:hAnsi="Times New Roman"/>
          <w:i/>
          <w:iCs/>
          <w:color w:val="0000CC"/>
          <w:sz w:val="22"/>
          <w:szCs w:val="22"/>
        </w:rPr>
        <w:t xml:space="preserve">&lt;Define the relationship between hardware and software requirements as it applies within your organization&gt;</w:t>
      </w:r>
    </w:p>
    <w:p>
      <w:pPr>
        <w:pStyle w:val="Heading2"/>
        <w:spacing w:after="100" w:before="200"/>
      </w:pPr>
      <w:r>
        <w:rPr>
          <w:rFonts w:ascii="Times New Roman" w:cs="Times New Roman" w:eastAsia="Times New Roman" w:hAnsi="Times New Roman"/>
          <w:b/>
          <w:bCs/>
          <w:sz w:val="24"/>
          <w:szCs w:val="24"/>
        </w:rPr>
        <w:t xml:space="preserve">3.4 Acquisition – Operational</w:t>
      </w:r>
    </w:p>
    <w:p>
      <w:pPr>
        <w:spacing w:after="120"/>
      </w:pPr>
      <w:r>
        <w:rPr>
          <w:rFonts w:ascii="Times New Roman" w:cs="Times New Roman" w:eastAsia="Times New Roman" w:hAnsi="Times New Roman"/>
          <w:i/>
          <w:iCs/>
          <w:color w:val="0000CC"/>
          <w:sz w:val="22"/>
          <w:szCs w:val="22"/>
        </w:rPr>
        <w:t xml:space="preserve">&lt;Define the relationship between acquisition and operational CM as it relates to your system and to your life cycle role&gt;</w:t>
      </w:r>
    </w:p>
    <w:p>
      <w:pPr>
        <w:pStyle w:val="Heading2"/>
        <w:spacing w:after="100" w:before="200"/>
      </w:pPr>
      <w:r>
        <w:rPr>
          <w:rFonts w:ascii="Times New Roman" w:cs="Times New Roman" w:eastAsia="Times New Roman" w:hAnsi="Times New Roman"/>
          <w:b/>
          <w:bCs/>
          <w:sz w:val="24"/>
          <w:szCs w:val="24"/>
        </w:rPr>
        <w:t xml:space="preserve">3.5 Data – Document</w:t>
      </w:r>
    </w:p>
    <w:p>
      <w:pPr>
        <w:spacing w:after="120"/>
      </w:pPr>
      <w:r>
        <w:rPr>
          <w:rFonts w:ascii="Times New Roman" w:cs="Times New Roman" w:eastAsia="Times New Roman" w:hAnsi="Times New Roman"/>
          <w:i/>
          <w:iCs/>
          <w:color w:val="0000CC"/>
          <w:sz w:val="22"/>
          <w:szCs w:val="22"/>
        </w:rPr>
        <w:t xml:space="preserve">&lt;Define the relationship between data and document management as it applies within your organization&gt;</w:t>
      </w:r>
    </w:p>
    <w:p>
      <w:pPr>
        <w:pStyle w:val="Heading2"/>
        <w:spacing w:after="100" w:before="200"/>
      </w:pPr>
      <w:r>
        <w:rPr>
          <w:rFonts w:ascii="Times New Roman" w:cs="Times New Roman" w:eastAsia="Times New Roman" w:hAnsi="Times New Roman"/>
          <w:b/>
          <w:bCs/>
          <w:sz w:val="24"/>
          <w:szCs w:val="24"/>
        </w:rPr>
        <w:t xml:space="preserve">3.6 System of Systems (SOS) – Family of Systems (FOS)</w:t>
      </w:r>
    </w:p>
    <w:p>
      <w:pPr>
        <w:spacing w:after="120"/>
      </w:pPr>
      <w:r>
        <w:rPr>
          <w:rFonts w:ascii="Times New Roman" w:cs="Times New Roman" w:eastAsia="Times New Roman" w:hAnsi="Times New Roman"/>
          <w:i/>
          <w:iCs/>
          <w:color w:val="0000CC"/>
          <w:sz w:val="22"/>
          <w:szCs w:val="22"/>
        </w:rPr>
        <w:t xml:space="preserve">&lt;Define the relationship of SOS and FOS as it applies within your organization, including joint CCB and interface working group participation (F38)&gt;</w:t>
      </w:r>
    </w:p>
    <w:p>
      <w:r>
        <w:br w:type="page"/>
      </w:r>
    </w:p>
    <w:p>
      <w:pPr>
        <w:pStyle w:val="Heading1"/>
        <w:spacing w:after="120" w:before="240"/>
      </w:pPr>
      <w:r>
        <w:rPr>
          <w:rFonts w:ascii="Times New Roman" w:cs="Times New Roman" w:eastAsia="Times New Roman" w:hAnsi="Times New Roman"/>
          <w:b/>
          <w:bCs/>
          <w:sz w:val="28"/>
          <w:szCs w:val="28"/>
        </w:rPr>
        <w:t xml:space="preserve">4.0 Organizational Roles &amp; Responsibilities</w:t>
      </w:r>
    </w:p>
    <w:p>
      <w:pPr>
        <w:spacing w:after="120"/>
      </w:pPr>
      <w:r>
        <w:rPr>
          <w:rFonts w:ascii="Times New Roman" w:cs="Times New Roman" w:eastAsia="Times New Roman" w:hAnsi="Times New Roman"/>
          <w:i/>
          <w:iCs/>
          <w:color w:val="0000CC"/>
          <w:sz w:val="22"/>
          <w:szCs w:val="22"/>
        </w:rPr>
        <w:t xml:space="preserve">&lt;Insert Organizational Chart here — Figure 4-1 Configuration Management Roles Alignment&gt;</w:t>
      </w:r>
    </w:p>
    <w:p>
      <w:pPr>
        <w:pStyle w:val="Heading2"/>
        <w:spacing w:after="100" w:before="200"/>
      </w:pPr>
      <w:r>
        <w:rPr>
          <w:rFonts w:ascii="Times New Roman" w:cs="Times New Roman" w:eastAsia="Times New Roman" w:hAnsi="Times New Roman"/>
          <w:b/>
          <w:bCs/>
          <w:sz w:val="24"/>
          <w:szCs w:val="24"/>
        </w:rPr>
        <w:t xml:space="preserve">4.1 Process Participants</w:t>
      </w:r>
    </w:p>
    <w:p>
      <w:pPr>
        <w:spacing w:after="120"/>
      </w:pPr>
      <w:r>
        <w:rPr>
          <w:rFonts w:ascii="Times New Roman" w:cs="Times New Roman" w:eastAsia="Times New Roman" w:hAnsi="Times New Roman"/>
          <w:sz w:val="22"/>
          <w:szCs w:val="22"/>
        </w:rPr>
        <w:t xml:space="preserve">Participants execute the documented CM process steps. Assign ownership of each CM floor requirement (Section 7) to a participant role.</w:t>
      </w:r>
    </w:p>
    <w:p>
      <w:pPr>
        <w:spacing w:after="120"/>
      </w:pPr>
      <w:r>
        <w:rPr>
          <w:rFonts w:ascii="Times New Roman" w:cs="Times New Roman" w:eastAsia="Times New Roman" w:hAnsi="Times New Roman"/>
          <w:i/>
          <w:iCs/>
          <w:color w:val="0000CC"/>
          <w:sz w:val="22"/>
          <w:szCs w:val="22"/>
        </w:rPr>
        <w:t xml:space="preserve">&lt;Modify Table 4-1 roles and define responsibilities as they relate to CM activities within your organization&gt;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Participant Role</w:t>
            </w:r>
          </w:p>
        </w:tc>
        <w:tc>
          <w:tcPr>
            <w:tcW w:type="dxa" w:w="65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Participant Responsibility</w:t>
            </w:r>
          </w:p>
        </w:tc>
      </w:tr>
      <w:tr>
        <w:tc>
          <w:tcPr>
            <w:tcW w:type="dxa" w:w="28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&lt;Role title&gt;</w:t>
            </w:r>
          </w:p>
          <w:p>
            <w:r>
              <w:rPr>
                <w:rFonts w:ascii="Times New Roman" w:cs="Times New Roman" w:eastAsia="Times New Roman" w:hAnsi="Times New Roman"/>
                <w:color w:val="CC0000"/>
                <w:sz w:val="20"/>
                <w:szCs w:val="20"/>
              </w:rPr>
              <w:t xml:space="preserve">i.e. Configuration Manager (CMGR)</w:t>
            </w:r>
          </w:p>
        </w:tc>
        <w:tc>
          <w:tcPr>
            <w:tcW w:type="dxa" w:w="656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&lt;List CM responsibilities for this role, including any CM floor requirements (Section 7) this role owns or executes&gt;</w:t>
            </w:r>
          </w:p>
        </w:tc>
      </w:tr>
    </w:tbl>
    <w:p>
      <w:pPr>
        <w:pStyle w:val="Heading2"/>
        <w:spacing w:after="100" w:before="200"/>
      </w:pPr>
      <w:r>
        <w:rPr>
          <w:rFonts w:ascii="Times New Roman" w:cs="Times New Roman" w:eastAsia="Times New Roman" w:hAnsi="Times New Roman"/>
          <w:b/>
          <w:bCs/>
          <w:sz w:val="24"/>
          <w:szCs w:val="24"/>
        </w:rPr>
        <w:t xml:space="preserve">4.2 Process Stakeholders</w:t>
      </w:r>
    </w:p>
    <w:p>
      <w:pPr>
        <w:spacing w:after="120"/>
      </w:pPr>
      <w:r>
        <w:rPr>
          <w:rFonts w:ascii="Times New Roman" w:cs="Times New Roman" w:eastAsia="Times New Roman" w:hAnsi="Times New Roman"/>
          <w:sz w:val="22"/>
          <w:szCs w:val="22"/>
        </w:rPr>
        <w:t xml:space="preserve">Stakeholders have roles and responsibilities related to the documented CM process but do not execute the process steps.</w:t>
      </w:r>
    </w:p>
    <w:p>
      <w:pPr>
        <w:spacing w:after="120"/>
      </w:pPr>
      <w:r>
        <w:rPr>
          <w:rFonts w:ascii="Times New Roman" w:cs="Times New Roman" w:eastAsia="Times New Roman" w:hAnsi="Times New Roman"/>
          <w:i/>
          <w:iCs/>
          <w:color w:val="0000CC"/>
          <w:sz w:val="22"/>
          <w:szCs w:val="22"/>
        </w:rPr>
        <w:t xml:space="preserve">&lt;Modify Table 4-2 as applicable for your organization&gt;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Stakeholder Role</w:t>
            </w:r>
          </w:p>
        </w:tc>
        <w:tc>
          <w:tcPr>
            <w:tcW w:type="dxa" w:w="65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Stakeholder Responsibility</w:t>
            </w:r>
          </w:p>
        </w:tc>
      </w:tr>
      <w:tr>
        <w:tc>
          <w:tcPr>
            <w:tcW w:type="dxa" w:w="28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&lt;Role title&gt;</w:t>
            </w:r>
          </w:p>
          <w:p>
            <w:r>
              <w:rPr>
                <w:rFonts w:ascii="Times New Roman" w:cs="Times New Roman" w:eastAsia="Times New Roman" w:hAnsi="Times New Roman"/>
                <w:color w:val="CC0000"/>
                <w:sz w:val="20"/>
                <w:szCs w:val="20"/>
              </w:rPr>
              <w:t xml:space="preserve">i.e. CM Technical Process Owner (CM TPO)</w:t>
            </w:r>
          </w:p>
        </w:tc>
        <w:tc>
          <w:tcPr>
            <w:tcW w:type="dxa" w:w="656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&lt;List CM responsibilities for this role, including any CM floor requirements (Section 7) this role owns or executes&gt;</w:t>
            </w:r>
          </w:p>
        </w:tc>
      </w:tr>
    </w:tbl>
    <w:p>
      <w:r>
        <w:br w:type="page"/>
      </w:r>
    </w:p>
    <w:p>
      <w:pPr>
        <w:pStyle w:val="Heading1"/>
        <w:spacing w:after="120" w:before="240"/>
      </w:pPr>
      <w:r>
        <w:rPr>
          <w:rFonts w:ascii="Times New Roman" w:cs="Times New Roman" w:eastAsia="Times New Roman" w:hAnsi="Times New Roman"/>
          <w:b/>
          <w:bCs/>
          <w:sz w:val="28"/>
          <w:szCs w:val="28"/>
        </w:rPr>
        <w:t xml:space="preserve">5.0 Product Configuration Management</w:t>
      </w:r>
    </w:p>
    <w:p>
      <w:pPr>
        <w:spacing w:after="120"/>
      </w:pPr>
      <w:r>
        <w:rPr>
          <w:rFonts w:ascii="Times New Roman" w:cs="Times New Roman" w:eastAsia="Times New Roman" w:hAnsi="Times New Roman"/>
          <w:i/>
          <w:iCs/>
          <w:color w:val="0000CC"/>
          <w:sz w:val="22"/>
          <w:szCs w:val="22"/>
        </w:rPr>
        <w:t xml:space="preserve">&lt;The product CM tasks and deliverables below apply to the whole organization regardless of designation. Consult your organizational standard process flow and input/output tables for applicable tasks and deliverables. Summarize in the Task and Deliverable Cross Reference Chart (Appendix A reference).&gt;</w:t>
      </w:r>
    </w:p>
    <w:p>
      <w:pPr>
        <w:pStyle w:val="Heading2"/>
        <w:spacing w:after="100" w:before="200"/>
      </w:pPr>
      <w:r>
        <w:rPr>
          <w:rFonts w:ascii="Times New Roman" w:cs="Times New Roman" w:eastAsia="Times New Roman" w:hAnsi="Times New Roman"/>
          <w:b/>
          <w:bCs/>
          <w:sz w:val="24"/>
          <w:szCs w:val="24"/>
        </w:rPr>
        <w:t xml:space="preserve">5.1 Material Solution Analysis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Calculate CM personnel requirement</w:t>
      </w:r>
    </w:p>
    <w:p>
      <w:pPr>
        <w:spacing w:after="120"/>
      </w:pPr>
      <w:r>
        <w:rPr>
          <w:rFonts w:ascii="Times New Roman" w:cs="Times New Roman" w:eastAsia="Times New Roman" w:hAnsi="Times New Roman"/>
          <w:color w:val="CC0000"/>
          <w:sz w:val="22"/>
          <w:szCs w:val="22"/>
        </w:rPr>
        <w:t xml:space="preserve">i.e. Identify contractual deliverable requirements</w:t>
      </w:r>
    </w:p>
    <w:p>
      <w:pPr>
        <w:spacing w:after="120"/>
      </w:pPr>
      <w:r>
        <w:rPr>
          <w:rFonts w:ascii="Times New Roman" w:cs="Times New Roman" w:eastAsia="Times New Roman" w:hAnsi="Times New Roman"/>
          <w:color w:val="CC0000"/>
          <w:sz w:val="22"/>
          <w:szCs w:val="22"/>
        </w:rPr>
        <w:t xml:space="preserve">i.e. Create CM Training Plan</w:t>
      </w:r>
    </w:p>
    <w:p>
      <w:pPr>
        <w:pStyle w:val="Heading2"/>
        <w:spacing w:after="100" w:before="200"/>
      </w:pPr>
      <w:r>
        <w:rPr>
          <w:rFonts w:ascii="Times New Roman" w:cs="Times New Roman" w:eastAsia="Times New Roman" w:hAnsi="Times New Roman"/>
          <w:b/>
          <w:bCs/>
          <w:sz w:val="24"/>
          <w:szCs w:val="24"/>
        </w:rPr>
        <w:t xml:space="preserve">5.2 Material Solution Analysis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CM personnel budget</w:t>
      </w:r>
    </w:p>
    <w:p>
      <w:pPr>
        <w:spacing w:after="120"/>
      </w:pPr>
      <w:r>
        <w:rPr>
          <w:rFonts w:ascii="Times New Roman" w:cs="Times New Roman" w:eastAsia="Times New Roman" w:hAnsi="Times New Roman"/>
          <w:color w:val="CC0000"/>
          <w:sz w:val="22"/>
          <w:szCs w:val="22"/>
        </w:rPr>
        <w:t xml:space="preserve">i.e. Contract documentation (RFP, SOW, CDRL, DID)</w:t>
      </w:r>
    </w:p>
    <w:p>
      <w:pPr>
        <w:spacing w:after="120"/>
      </w:pPr>
      <w:r>
        <w:rPr>
          <w:rFonts w:ascii="Times New Roman" w:cs="Times New Roman" w:eastAsia="Times New Roman" w:hAnsi="Times New Roman"/>
          <w:color w:val="CC0000"/>
          <w:sz w:val="22"/>
          <w:szCs w:val="22"/>
        </w:rPr>
        <w:t xml:space="preserve">i.e. CM Training Plan</w:t>
      </w:r>
    </w:p>
    <w:p>
      <w:pPr>
        <w:pStyle w:val="Heading2"/>
        <w:spacing w:after="100" w:before="200"/>
      </w:pPr>
      <w:r>
        <w:rPr>
          <w:rFonts w:ascii="Times New Roman" w:cs="Times New Roman" w:eastAsia="Times New Roman" w:hAnsi="Times New Roman"/>
          <w:b/>
          <w:bCs/>
          <w:sz w:val="24"/>
          <w:szCs w:val="24"/>
        </w:rPr>
        <w:t xml:space="preserve">5.3 Technology &amp; Maturation Risk Reduction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Update functional baseline</w:t>
      </w:r>
    </w:p>
    <w:p>
      <w:pPr>
        <w:spacing w:after="120"/>
      </w:pPr>
      <w:r>
        <w:rPr>
          <w:rFonts w:ascii="Times New Roman" w:cs="Times New Roman" w:eastAsia="Times New Roman" w:hAnsi="Times New Roman"/>
          <w:color w:val="CC0000"/>
          <w:sz w:val="22"/>
          <w:szCs w:val="22"/>
        </w:rPr>
        <w:t xml:space="preserve">i.e. Capture all required information</w:t>
      </w:r>
    </w:p>
    <w:p>
      <w:pPr>
        <w:spacing w:after="120"/>
      </w:pPr>
      <w:r>
        <w:rPr>
          <w:rFonts w:ascii="Times New Roman" w:cs="Times New Roman" w:eastAsia="Times New Roman" w:hAnsi="Times New Roman"/>
          <w:color w:val="CC0000"/>
          <w:sz w:val="22"/>
          <w:szCs w:val="22"/>
        </w:rPr>
        <w:t xml:space="preserve">i.e. Distribute updated CMP</w:t>
      </w:r>
    </w:p>
    <w:p>
      <w:pPr>
        <w:pStyle w:val="Heading2"/>
        <w:spacing w:after="100" w:before="200"/>
      </w:pPr>
      <w:r>
        <w:rPr>
          <w:rFonts w:ascii="Times New Roman" w:cs="Times New Roman" w:eastAsia="Times New Roman" w:hAnsi="Times New Roman"/>
          <w:b/>
          <w:bCs/>
          <w:sz w:val="24"/>
          <w:szCs w:val="24"/>
        </w:rPr>
        <w:t xml:space="preserve">5.4 Technology &amp; Maturation Risk Reduction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Functional Baseline Report</w:t>
      </w:r>
    </w:p>
    <w:p>
      <w:pPr>
        <w:spacing w:after="120"/>
      </w:pPr>
      <w:r>
        <w:rPr>
          <w:rFonts w:ascii="Times New Roman" w:cs="Times New Roman" w:eastAsia="Times New Roman" w:hAnsi="Times New Roman"/>
          <w:color w:val="CC0000"/>
          <w:sz w:val="22"/>
          <w:szCs w:val="22"/>
        </w:rPr>
        <w:t xml:space="preserve">i.e. Configuration Status Accounting Report</w:t>
      </w:r>
    </w:p>
    <w:p>
      <w:pPr>
        <w:spacing w:after="120"/>
      </w:pPr>
      <w:r>
        <w:rPr>
          <w:rFonts w:ascii="Times New Roman" w:cs="Times New Roman" w:eastAsia="Times New Roman" w:hAnsi="Times New Roman"/>
          <w:color w:val="CC0000"/>
          <w:sz w:val="22"/>
          <w:szCs w:val="22"/>
        </w:rPr>
        <w:t xml:space="preserve">i.e. Acquisition documentation</w:t>
      </w:r>
    </w:p>
    <w:p>
      <w:pPr>
        <w:pStyle w:val="Heading2"/>
        <w:spacing w:after="100" w:before="200"/>
      </w:pPr>
      <w:r>
        <w:rPr>
          <w:rFonts w:ascii="Times New Roman" w:cs="Times New Roman" w:eastAsia="Times New Roman" w:hAnsi="Times New Roman"/>
          <w:b/>
          <w:bCs/>
          <w:sz w:val="24"/>
          <w:szCs w:val="24"/>
        </w:rPr>
        <w:t xml:space="preserve">5.5 Engineering &amp; Manufacturing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Update change request process</w:t>
      </w:r>
    </w:p>
    <w:p>
      <w:pPr>
        <w:spacing w:after="120"/>
      </w:pPr>
      <w:r>
        <w:rPr>
          <w:rFonts w:ascii="Times New Roman" w:cs="Times New Roman" w:eastAsia="Times New Roman" w:hAnsi="Times New Roman"/>
          <w:color w:val="CC0000"/>
          <w:sz w:val="22"/>
          <w:szCs w:val="22"/>
        </w:rPr>
        <w:t xml:space="preserve">i.e. Create allocated baseline</w:t>
      </w:r>
    </w:p>
    <w:p>
      <w:pPr>
        <w:spacing w:after="120"/>
      </w:pPr>
      <w:r>
        <w:rPr>
          <w:rFonts w:ascii="Times New Roman" w:cs="Times New Roman" w:eastAsia="Times New Roman" w:hAnsi="Times New Roman"/>
          <w:color w:val="CC0000"/>
          <w:sz w:val="22"/>
          <w:szCs w:val="22"/>
        </w:rPr>
        <w:t xml:space="preserve">i.e. Conduct Functional Configuration Audit (F42–F44)</w:t>
      </w:r>
    </w:p>
    <w:p>
      <w:pPr>
        <w:pStyle w:val="Heading2"/>
        <w:spacing w:after="100" w:before="200"/>
      </w:pPr>
      <w:r>
        <w:rPr>
          <w:rFonts w:ascii="Times New Roman" w:cs="Times New Roman" w:eastAsia="Times New Roman" w:hAnsi="Times New Roman"/>
          <w:b/>
          <w:bCs/>
          <w:sz w:val="24"/>
          <w:szCs w:val="24"/>
        </w:rPr>
        <w:t xml:space="preserve">5.6 Engineering &amp; Manufacturing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Change request process flow</w:t>
      </w:r>
    </w:p>
    <w:p>
      <w:pPr>
        <w:spacing w:after="120"/>
      </w:pPr>
      <w:r>
        <w:rPr>
          <w:rFonts w:ascii="Times New Roman" w:cs="Times New Roman" w:eastAsia="Times New Roman" w:hAnsi="Times New Roman"/>
          <w:color w:val="CC0000"/>
          <w:sz w:val="22"/>
          <w:szCs w:val="22"/>
        </w:rPr>
        <w:t xml:space="preserve">i.e. Allocated Baseline Report</w:t>
      </w:r>
    </w:p>
    <w:p>
      <w:pPr>
        <w:spacing w:after="120"/>
      </w:pPr>
      <w:r>
        <w:rPr>
          <w:rFonts w:ascii="Times New Roman" w:cs="Times New Roman" w:eastAsia="Times New Roman" w:hAnsi="Times New Roman"/>
          <w:color w:val="CC0000"/>
          <w:sz w:val="22"/>
          <w:szCs w:val="22"/>
        </w:rPr>
        <w:t xml:space="preserve">i.e. Functional Configuration Audit Report including documented non-compliances provided to the Acquirer (F43)</w:t>
      </w:r>
    </w:p>
    <w:p>
      <w:pPr>
        <w:pStyle w:val="Heading2"/>
        <w:spacing w:after="100" w:before="200"/>
      </w:pPr>
      <w:r>
        <w:rPr>
          <w:rFonts w:ascii="Times New Roman" w:cs="Times New Roman" w:eastAsia="Times New Roman" w:hAnsi="Times New Roman"/>
          <w:b/>
          <w:bCs/>
          <w:sz w:val="24"/>
          <w:szCs w:val="24"/>
        </w:rPr>
        <w:t xml:space="preserve">5.7 Production &amp; Development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Conduct Physical Configuration Audit (F29–F31)</w:t>
      </w:r>
    </w:p>
    <w:p>
      <w:pPr>
        <w:spacing w:after="120"/>
      </w:pPr>
      <w:r>
        <w:rPr>
          <w:rFonts w:ascii="Times New Roman" w:cs="Times New Roman" w:eastAsia="Times New Roman" w:hAnsi="Times New Roman"/>
          <w:color w:val="CC0000"/>
          <w:sz w:val="22"/>
          <w:szCs w:val="22"/>
        </w:rPr>
        <w:t xml:space="preserve">i.e. Identify differences between production CI and the development CI used for FCA (F34)</w:t>
      </w:r>
    </w:p>
    <w:p>
      <w:pPr>
        <w:spacing w:after="120"/>
      </w:pPr>
      <w:r>
        <w:rPr>
          <w:rFonts w:ascii="Times New Roman" w:cs="Times New Roman" w:eastAsia="Times New Roman" w:hAnsi="Times New Roman"/>
          <w:color w:val="CC0000"/>
          <w:sz w:val="22"/>
          <w:szCs w:val="22"/>
        </w:rPr>
        <w:t xml:space="preserve">i.e. Update product baseline</w:t>
      </w:r>
    </w:p>
    <w:p>
      <w:pPr>
        <w:spacing w:after="120"/>
      </w:pPr>
      <w:r>
        <w:rPr>
          <w:rFonts w:ascii="Times New Roman" w:cs="Times New Roman" w:eastAsia="Times New Roman" w:hAnsi="Times New Roman"/>
          <w:color w:val="CC0000"/>
          <w:sz w:val="22"/>
          <w:szCs w:val="22"/>
        </w:rPr>
        <w:t xml:space="preserve">i.e. Verify CMP implementation</w:t>
      </w:r>
    </w:p>
    <w:p>
      <w:pPr>
        <w:pStyle w:val="Heading2"/>
        <w:spacing w:after="100" w:before="200"/>
      </w:pPr>
      <w:r>
        <w:rPr>
          <w:rFonts w:ascii="Times New Roman" w:cs="Times New Roman" w:eastAsia="Times New Roman" w:hAnsi="Times New Roman"/>
          <w:b/>
          <w:bCs/>
          <w:sz w:val="24"/>
          <w:szCs w:val="24"/>
        </w:rPr>
        <w:t xml:space="preserve">5.8 Production &amp; Development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Physical Configuration Audit Report including documented non-compliances provided to the Acquirer (F31)</w:t>
      </w:r>
    </w:p>
    <w:p>
      <w:pPr>
        <w:spacing w:after="120"/>
      </w:pPr>
      <w:r>
        <w:rPr>
          <w:rFonts w:ascii="Times New Roman" w:cs="Times New Roman" w:eastAsia="Times New Roman" w:hAnsi="Times New Roman"/>
          <w:color w:val="CC0000"/>
          <w:sz w:val="22"/>
          <w:szCs w:val="22"/>
        </w:rPr>
        <w:t xml:space="preserve">i.e. Product Baseline Report</w:t>
      </w:r>
    </w:p>
    <w:p>
      <w:pPr>
        <w:spacing w:after="120"/>
      </w:pPr>
      <w:r>
        <w:rPr>
          <w:rFonts w:ascii="Times New Roman" w:cs="Times New Roman" w:eastAsia="Times New Roman" w:hAnsi="Times New Roman"/>
          <w:color w:val="CC0000"/>
          <w:sz w:val="22"/>
          <w:szCs w:val="22"/>
        </w:rPr>
        <w:t xml:space="preserve">i.e. Process Audit Report</w:t>
      </w:r>
    </w:p>
    <w:p>
      <w:pPr>
        <w:pStyle w:val="Heading2"/>
        <w:spacing w:after="100" w:before="200"/>
      </w:pPr>
      <w:r>
        <w:rPr>
          <w:rFonts w:ascii="Times New Roman" w:cs="Times New Roman" w:eastAsia="Times New Roman" w:hAnsi="Times New Roman"/>
          <w:b/>
          <w:bCs/>
          <w:sz w:val="24"/>
          <w:szCs w:val="24"/>
        </w:rPr>
        <w:t xml:space="preserve">5.9 Operations &amp; Support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Create as-installed baseline</w:t>
      </w:r>
    </w:p>
    <w:p>
      <w:pPr>
        <w:spacing w:after="120"/>
      </w:pPr>
      <w:r>
        <w:rPr>
          <w:rFonts w:ascii="Times New Roman" w:cs="Times New Roman" w:eastAsia="Times New Roman" w:hAnsi="Times New Roman"/>
          <w:color w:val="CC0000"/>
          <w:sz w:val="22"/>
          <w:szCs w:val="22"/>
        </w:rPr>
        <w:t xml:space="preserve">i.e. Document incorporation of retrofit changes to units identified for retrofit (F33)</w:t>
      </w:r>
    </w:p>
    <w:p>
      <w:pPr>
        <w:spacing w:after="120"/>
      </w:pPr>
      <w:r>
        <w:rPr>
          <w:rFonts w:ascii="Times New Roman" w:cs="Times New Roman" w:eastAsia="Times New Roman" w:hAnsi="Times New Roman"/>
          <w:color w:val="CC0000"/>
          <w:sz w:val="22"/>
          <w:szCs w:val="22"/>
        </w:rPr>
        <w:t xml:space="preserve">i.e. Capture CI disposal status</w:t>
      </w:r>
    </w:p>
    <w:p>
      <w:pPr>
        <w:spacing w:after="120"/>
      </w:pPr>
      <w:r>
        <w:rPr>
          <w:rFonts w:ascii="Times New Roman" w:cs="Times New Roman" w:eastAsia="Times New Roman" w:hAnsi="Times New Roman"/>
          <w:color w:val="CC0000"/>
          <w:sz w:val="22"/>
          <w:szCs w:val="22"/>
        </w:rPr>
        <w:t xml:space="preserve">i.e. Update the CMP</w:t>
      </w:r>
    </w:p>
    <w:p>
      <w:pPr>
        <w:pStyle w:val="Heading2"/>
        <w:spacing w:after="100" w:before="200"/>
      </w:pPr>
      <w:r>
        <w:rPr>
          <w:rFonts w:ascii="Times New Roman" w:cs="Times New Roman" w:eastAsia="Times New Roman" w:hAnsi="Times New Roman"/>
          <w:b/>
          <w:bCs/>
          <w:sz w:val="24"/>
          <w:szCs w:val="24"/>
        </w:rPr>
        <w:t xml:space="preserve">5.10 Operations &amp; Support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As-Installed Baseline Report</w:t>
      </w:r>
    </w:p>
    <w:p>
      <w:pPr>
        <w:spacing w:after="120"/>
      </w:pPr>
      <w:r>
        <w:rPr>
          <w:rFonts w:ascii="Times New Roman" w:cs="Times New Roman" w:eastAsia="Times New Roman" w:hAnsi="Times New Roman"/>
          <w:color w:val="CC0000"/>
          <w:sz w:val="22"/>
          <w:szCs w:val="22"/>
        </w:rPr>
        <w:t xml:space="preserve">i.e. Baseline report reflecting disposal status</w:t>
      </w:r>
    </w:p>
    <w:p>
      <w:pPr>
        <w:spacing w:after="120"/>
      </w:pPr>
      <w:r>
        <w:rPr>
          <w:rFonts w:ascii="Times New Roman" w:cs="Times New Roman" w:eastAsia="Times New Roman" w:hAnsi="Times New Roman"/>
          <w:color w:val="CC0000"/>
          <w:sz w:val="22"/>
          <w:szCs w:val="22"/>
        </w:rPr>
        <w:t xml:space="preserve">i.e. Updated CMP</w:t>
      </w:r>
    </w:p>
    <w:p>
      <w:r>
        <w:br w:type="page"/>
      </w:r>
    </w:p>
    <w:p>
      <w:pPr>
        <w:pStyle w:val="Heading1"/>
        <w:spacing w:after="120" w:before="240"/>
      </w:pPr>
      <w:r>
        <w:rPr>
          <w:rFonts w:ascii="Times New Roman" w:cs="Times New Roman" w:eastAsia="Times New Roman" w:hAnsi="Times New Roman"/>
          <w:b/>
          <w:bCs/>
          <w:sz w:val="28"/>
          <w:szCs w:val="28"/>
        </w:rPr>
        <w:t xml:space="preserve">6.0 Platform Configuration Management</w:t>
      </w:r>
    </w:p>
    <w:p>
      <w:pPr>
        <w:spacing w:after="120"/>
      </w:pPr>
      <w:r>
        <w:rPr>
          <w:rFonts w:ascii="Times New Roman" w:cs="Times New Roman" w:eastAsia="Times New Roman" w:hAnsi="Times New Roman"/>
          <w:i/>
          <w:iCs/>
          <w:color w:val="0000CC"/>
          <w:sz w:val="22"/>
          <w:szCs w:val="22"/>
        </w:rPr>
        <w:t xml:space="preserve">&lt;The platform CM tasks and deliverables below apply in addition to any external process that may be required. Delete this section if no platform role applies.&gt;</w:t>
      </w:r>
    </w:p>
    <w:p>
      <w:pPr>
        <w:pStyle w:val="Heading2"/>
        <w:spacing w:after="100" w:before="200"/>
      </w:pPr>
      <w:r>
        <w:rPr>
          <w:rFonts w:ascii="Times New Roman" w:cs="Times New Roman" w:eastAsia="Times New Roman" w:hAnsi="Times New Roman"/>
          <w:b/>
          <w:bCs/>
          <w:sz w:val="24"/>
          <w:szCs w:val="24"/>
        </w:rPr>
        <w:t xml:space="preserve">6.1 Configuration Data Transition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Collect planning and requirement documents</w:t>
      </w:r>
    </w:p>
    <w:p>
      <w:pPr>
        <w:spacing w:after="120"/>
      </w:pPr>
      <w:r>
        <w:rPr>
          <w:rFonts w:ascii="Times New Roman" w:cs="Times New Roman" w:eastAsia="Times New Roman" w:hAnsi="Times New Roman"/>
          <w:color w:val="CC0000"/>
          <w:sz w:val="22"/>
          <w:szCs w:val="22"/>
        </w:rPr>
        <w:t xml:space="preserve">i.e. Create advanced coordinated fielding plan</w:t>
      </w:r>
    </w:p>
    <w:p>
      <w:pPr>
        <w:spacing w:after="120"/>
      </w:pPr>
      <w:r>
        <w:rPr>
          <w:rFonts w:ascii="Times New Roman" w:cs="Times New Roman" w:eastAsia="Times New Roman" w:hAnsi="Times New Roman"/>
          <w:color w:val="CC0000"/>
          <w:sz w:val="22"/>
          <w:szCs w:val="22"/>
        </w:rPr>
        <w:t xml:space="preserve">i.e. Verify data and document management information</w:t>
      </w:r>
    </w:p>
    <w:p>
      <w:pPr>
        <w:pStyle w:val="Heading2"/>
        <w:spacing w:after="100" w:before="200"/>
      </w:pPr>
      <w:r>
        <w:rPr>
          <w:rFonts w:ascii="Times New Roman" w:cs="Times New Roman" w:eastAsia="Times New Roman" w:hAnsi="Times New Roman"/>
          <w:b/>
          <w:bCs/>
          <w:sz w:val="24"/>
          <w:szCs w:val="24"/>
        </w:rPr>
        <w:t xml:space="preserve">6.2 Configuration Data Transition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Planning and requirement document library</w:t>
      </w:r>
    </w:p>
    <w:p>
      <w:pPr>
        <w:spacing w:after="120"/>
      </w:pPr>
      <w:r>
        <w:rPr>
          <w:rFonts w:ascii="Times New Roman" w:cs="Times New Roman" w:eastAsia="Times New Roman" w:hAnsi="Times New Roman"/>
          <w:color w:val="CC0000"/>
          <w:sz w:val="22"/>
          <w:szCs w:val="22"/>
        </w:rPr>
        <w:t xml:space="preserve">i.e. Advanced coordinated fielding plan</w:t>
      </w:r>
    </w:p>
    <w:p>
      <w:pPr>
        <w:spacing w:after="120"/>
      </w:pPr>
      <w:r>
        <w:rPr>
          <w:rFonts w:ascii="Times New Roman" w:cs="Times New Roman" w:eastAsia="Times New Roman" w:hAnsi="Times New Roman"/>
          <w:color w:val="CC0000"/>
          <w:sz w:val="22"/>
          <w:szCs w:val="22"/>
        </w:rPr>
        <w:t xml:space="preserve">i.e. Data and document management information</w:t>
      </w:r>
    </w:p>
    <w:p>
      <w:pPr>
        <w:pStyle w:val="Heading2"/>
        <w:spacing w:after="100" w:before="200"/>
      </w:pPr>
      <w:r>
        <w:rPr>
          <w:rFonts w:ascii="Times New Roman" w:cs="Times New Roman" w:eastAsia="Times New Roman" w:hAnsi="Times New Roman"/>
          <w:b/>
          <w:bCs/>
          <w:sz w:val="24"/>
          <w:szCs w:val="24"/>
        </w:rPr>
        <w:t xml:space="preserve">6.3 Baseline Management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Create platform baseline</w:t>
      </w:r>
    </w:p>
    <w:p>
      <w:pPr>
        <w:spacing w:after="120"/>
      </w:pPr>
      <w:r>
        <w:rPr>
          <w:rFonts w:ascii="Times New Roman" w:cs="Times New Roman" w:eastAsia="Times New Roman" w:hAnsi="Times New Roman"/>
          <w:color w:val="CC0000"/>
          <w:sz w:val="22"/>
          <w:szCs w:val="22"/>
        </w:rPr>
        <w:t xml:space="preserve">i.e. Process change requests against platform baseline</w:t>
      </w:r>
    </w:p>
    <w:p>
      <w:pPr>
        <w:pStyle w:val="Heading2"/>
        <w:spacing w:after="100" w:before="200"/>
      </w:pPr>
      <w:r>
        <w:rPr>
          <w:rFonts w:ascii="Times New Roman" w:cs="Times New Roman" w:eastAsia="Times New Roman" w:hAnsi="Times New Roman"/>
          <w:b/>
          <w:bCs/>
          <w:sz w:val="24"/>
          <w:szCs w:val="24"/>
        </w:rPr>
        <w:t xml:space="preserve">6.4 Baseline Management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Platform Baseline Report</w:t>
      </w:r>
    </w:p>
    <w:p>
      <w:pPr>
        <w:spacing w:after="120"/>
      </w:pPr>
      <w:r>
        <w:rPr>
          <w:rFonts w:ascii="Times New Roman" w:cs="Times New Roman" w:eastAsia="Times New Roman" w:hAnsi="Times New Roman"/>
          <w:color w:val="CC0000"/>
          <w:sz w:val="22"/>
          <w:szCs w:val="22"/>
        </w:rPr>
        <w:t xml:space="preserve">i.e. Change request log</w:t>
      </w:r>
    </w:p>
    <w:p>
      <w:pPr>
        <w:pStyle w:val="Heading2"/>
        <w:spacing w:after="100" w:before="200"/>
      </w:pPr>
      <w:r>
        <w:rPr>
          <w:rFonts w:ascii="Times New Roman" w:cs="Times New Roman" w:eastAsia="Times New Roman" w:hAnsi="Times New Roman"/>
          <w:b/>
          <w:bCs/>
          <w:sz w:val="24"/>
          <w:szCs w:val="24"/>
        </w:rPr>
        <w:t xml:space="preserve">6.5 Release Management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Verify release package content</w:t>
      </w:r>
    </w:p>
    <w:p>
      <w:pPr>
        <w:spacing w:after="120"/>
      </w:pPr>
      <w:r>
        <w:rPr>
          <w:rFonts w:ascii="Times New Roman" w:cs="Times New Roman" w:eastAsia="Times New Roman" w:hAnsi="Times New Roman"/>
          <w:color w:val="CC0000"/>
          <w:sz w:val="22"/>
          <w:szCs w:val="22"/>
        </w:rPr>
        <w:t xml:space="preserve">i.e. Release approved baseline changes via the documented engineering release system (F13)</w:t>
      </w:r>
    </w:p>
    <w:p>
      <w:pPr>
        <w:pStyle w:val="Heading2"/>
        <w:spacing w:after="100" w:before="200"/>
      </w:pPr>
      <w:r>
        <w:rPr>
          <w:rFonts w:ascii="Times New Roman" w:cs="Times New Roman" w:eastAsia="Times New Roman" w:hAnsi="Times New Roman"/>
          <w:b/>
          <w:bCs/>
          <w:sz w:val="24"/>
          <w:szCs w:val="24"/>
        </w:rPr>
        <w:t xml:space="preserve">6.6 Release Management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Release records with before/after revision traceability (F23)</w:t>
      </w:r>
    </w:p>
    <w:p>
      <w:pPr>
        <w:pStyle w:val="Heading2"/>
        <w:spacing w:after="100" w:before="200"/>
      </w:pPr>
      <w:r>
        <w:rPr>
          <w:rFonts w:ascii="Times New Roman" w:cs="Times New Roman" w:eastAsia="Times New Roman" w:hAnsi="Times New Roman"/>
          <w:b/>
          <w:bCs/>
          <w:sz w:val="24"/>
          <w:szCs w:val="24"/>
        </w:rPr>
        <w:t xml:space="preserve">6.7 Installation Management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Track installation status</w:t>
      </w:r>
    </w:p>
    <w:p>
      <w:pPr>
        <w:spacing w:after="120"/>
      </w:pPr>
      <w:r>
        <w:rPr>
          <w:rFonts w:ascii="Times New Roman" w:cs="Times New Roman" w:eastAsia="Times New Roman" w:hAnsi="Times New Roman"/>
          <w:color w:val="CC0000"/>
          <w:sz w:val="22"/>
          <w:szCs w:val="22"/>
        </w:rPr>
        <w:t xml:space="preserve">i.e. Verify proper parts installed against approved configuration (F30)</w:t>
      </w:r>
    </w:p>
    <w:p>
      <w:pPr>
        <w:pStyle w:val="Heading2"/>
        <w:spacing w:after="100" w:before="200"/>
      </w:pPr>
      <w:r>
        <w:rPr>
          <w:rFonts w:ascii="Times New Roman" w:cs="Times New Roman" w:eastAsia="Times New Roman" w:hAnsi="Times New Roman"/>
          <w:b/>
          <w:bCs/>
          <w:sz w:val="24"/>
          <w:szCs w:val="24"/>
        </w:rPr>
        <w:t xml:space="preserve">6.8 Installation Management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Installation status records</w:t>
      </w:r>
    </w:p>
    <w:p>
      <w:pPr>
        <w:spacing w:after="120"/>
      </w:pPr>
      <w:r>
        <w:rPr>
          <w:rFonts w:ascii="Times New Roman" w:cs="Times New Roman" w:eastAsia="Times New Roman" w:hAnsi="Times New Roman"/>
          <w:color w:val="CC0000"/>
          <w:sz w:val="22"/>
          <w:szCs w:val="22"/>
        </w:rPr>
        <w:t xml:space="preserve">i.e. As-installed discrepancy report</w:t>
      </w:r>
    </w:p>
    <w:p>
      <w:pPr>
        <w:pStyle w:val="Heading2"/>
        <w:spacing w:after="100" w:before="200"/>
      </w:pPr>
      <w:r>
        <w:rPr>
          <w:rFonts w:ascii="Times New Roman" w:cs="Times New Roman" w:eastAsia="Times New Roman" w:hAnsi="Times New Roman"/>
          <w:b/>
          <w:bCs/>
          <w:sz w:val="24"/>
          <w:szCs w:val="24"/>
        </w:rPr>
        <w:t xml:space="preserve">6.9 Sustainment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Monitor platform baseline</w:t>
      </w:r>
    </w:p>
    <w:p>
      <w:pPr>
        <w:spacing w:after="120"/>
      </w:pPr>
      <w:r>
        <w:rPr>
          <w:rFonts w:ascii="Times New Roman" w:cs="Times New Roman" w:eastAsia="Times New Roman" w:hAnsi="Times New Roman"/>
          <w:color w:val="CC0000"/>
          <w:sz w:val="22"/>
          <w:szCs w:val="22"/>
        </w:rPr>
        <w:t xml:space="preserve">i.e. Participate in platform configuration audit</w:t>
      </w:r>
    </w:p>
    <w:p>
      <w:pPr>
        <w:spacing w:after="120"/>
      </w:pPr>
      <w:r>
        <w:rPr>
          <w:rFonts w:ascii="Times New Roman" w:cs="Times New Roman" w:eastAsia="Times New Roman" w:hAnsi="Times New Roman"/>
          <w:color w:val="CC0000"/>
          <w:sz w:val="22"/>
          <w:szCs w:val="22"/>
        </w:rPr>
        <w:t xml:space="preserve">i.e. Review platform CSA records</w:t>
      </w:r>
    </w:p>
    <w:p>
      <w:pPr>
        <w:pStyle w:val="Heading2"/>
        <w:spacing w:after="100" w:before="200"/>
      </w:pPr>
      <w:r>
        <w:rPr>
          <w:rFonts w:ascii="Times New Roman" w:cs="Times New Roman" w:eastAsia="Times New Roman" w:hAnsi="Times New Roman"/>
          <w:b/>
          <w:bCs/>
          <w:sz w:val="24"/>
          <w:szCs w:val="24"/>
        </w:rPr>
        <w:t xml:space="preserve">6.10 Sustainment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Platform baseline discrepancy report</w:t>
      </w:r>
    </w:p>
    <w:p>
      <w:pPr>
        <w:spacing w:after="120"/>
      </w:pPr>
      <w:r>
        <w:rPr>
          <w:rFonts w:ascii="Times New Roman" w:cs="Times New Roman" w:eastAsia="Times New Roman" w:hAnsi="Times New Roman"/>
          <w:color w:val="CC0000"/>
          <w:sz w:val="22"/>
          <w:szCs w:val="22"/>
        </w:rPr>
        <w:t xml:space="preserve">i.e. Platform configuration audit report</w:t>
      </w:r>
    </w:p>
    <w:p>
      <w:pPr>
        <w:spacing w:after="120"/>
      </w:pPr>
      <w:r>
        <w:rPr>
          <w:rFonts w:ascii="Times New Roman" w:cs="Times New Roman" w:eastAsia="Times New Roman" w:hAnsi="Times New Roman"/>
          <w:color w:val="CC0000"/>
          <w:sz w:val="22"/>
          <w:szCs w:val="22"/>
        </w:rPr>
        <w:t xml:space="preserve">i.e. Platform CSA records</w:t>
      </w:r>
    </w:p>
    <w:p>
      <w:pPr>
        <w:pStyle w:val="Heading2"/>
        <w:spacing w:after="100" w:before="200"/>
      </w:pPr>
      <w:r>
        <w:rPr>
          <w:rFonts w:ascii="Times New Roman" w:cs="Times New Roman" w:eastAsia="Times New Roman" w:hAnsi="Times New Roman"/>
          <w:b/>
          <w:bCs/>
          <w:sz w:val="24"/>
          <w:szCs w:val="24"/>
        </w:rPr>
        <w:t xml:space="preserve">6.11 Disposal CM Tasks</w:t>
      </w:r>
    </w:p>
    <w:p>
      <w:pPr>
        <w:spacing w:after="120"/>
      </w:pPr>
      <w:r>
        <w:rPr>
          <w:rFonts w:ascii="Times New Roman" w:cs="Times New Roman" w:eastAsia="Times New Roman" w:hAnsi="Times New Roman"/>
          <w:i/>
          <w:iCs/>
          <w:color w:val="0000CC"/>
          <w:sz w:val="22"/>
          <w:szCs w:val="22"/>
        </w:rPr>
        <w:t xml:space="preserve">&lt;List each CM task for this phase with a one-sentence description&gt;</w:t>
      </w:r>
    </w:p>
    <w:p>
      <w:pPr>
        <w:spacing w:after="120"/>
      </w:pPr>
      <w:r>
        <w:rPr>
          <w:rFonts w:ascii="Times New Roman" w:cs="Times New Roman" w:eastAsia="Times New Roman" w:hAnsi="Times New Roman"/>
          <w:color w:val="CC0000"/>
          <w:sz w:val="22"/>
          <w:szCs w:val="22"/>
        </w:rPr>
        <w:t xml:space="preserve">i.e. Create change request for end of life</w:t>
      </w:r>
    </w:p>
    <w:p>
      <w:pPr>
        <w:spacing w:after="120"/>
      </w:pPr>
      <w:r>
        <w:rPr>
          <w:rFonts w:ascii="Times New Roman" w:cs="Times New Roman" w:eastAsia="Times New Roman" w:hAnsi="Times New Roman"/>
          <w:color w:val="CC0000"/>
          <w:sz w:val="22"/>
          <w:szCs w:val="22"/>
        </w:rPr>
        <w:t xml:space="preserve">i.e. Update the platform baseline</w:t>
      </w:r>
    </w:p>
    <w:p>
      <w:pPr>
        <w:spacing w:after="120"/>
      </w:pPr>
      <w:r>
        <w:rPr>
          <w:rFonts w:ascii="Times New Roman" w:cs="Times New Roman" w:eastAsia="Times New Roman" w:hAnsi="Times New Roman"/>
          <w:color w:val="CC0000"/>
          <w:sz w:val="22"/>
          <w:szCs w:val="22"/>
        </w:rPr>
        <w:t xml:space="preserve">i.e. Update platform CSA records</w:t>
      </w:r>
    </w:p>
    <w:p>
      <w:pPr>
        <w:pStyle w:val="Heading2"/>
        <w:spacing w:after="100" w:before="200"/>
      </w:pPr>
      <w:r>
        <w:rPr>
          <w:rFonts w:ascii="Times New Roman" w:cs="Times New Roman" w:eastAsia="Times New Roman" w:hAnsi="Times New Roman"/>
          <w:b/>
          <w:bCs/>
          <w:sz w:val="24"/>
          <w:szCs w:val="24"/>
        </w:rPr>
        <w:t xml:space="preserve">6.12 Disposal CM Deliverables</w:t>
      </w:r>
    </w:p>
    <w:p>
      <w:pPr>
        <w:spacing w:after="120"/>
      </w:pPr>
      <w:r>
        <w:rPr>
          <w:rFonts w:ascii="Times New Roman" w:cs="Times New Roman" w:eastAsia="Times New Roman" w:hAnsi="Times New Roman"/>
          <w:i/>
          <w:iCs/>
          <w:color w:val="0000CC"/>
          <w:sz w:val="22"/>
          <w:szCs w:val="22"/>
        </w:rPr>
        <w:t xml:space="preserve">&lt;List each CM deliverable for this phase with a one-sentence description&gt;</w:t>
      </w:r>
    </w:p>
    <w:p>
      <w:pPr>
        <w:spacing w:after="120"/>
      </w:pPr>
      <w:r>
        <w:rPr>
          <w:rFonts w:ascii="Times New Roman" w:cs="Times New Roman" w:eastAsia="Times New Roman" w:hAnsi="Times New Roman"/>
          <w:color w:val="CC0000"/>
          <w:sz w:val="22"/>
          <w:szCs w:val="22"/>
        </w:rPr>
        <w:t xml:space="preserve">i.e. Alteration completion report</w:t>
      </w:r>
    </w:p>
    <w:p>
      <w:pPr>
        <w:spacing w:after="120"/>
      </w:pPr>
      <w:r>
        <w:rPr>
          <w:rFonts w:ascii="Times New Roman" w:cs="Times New Roman" w:eastAsia="Times New Roman" w:hAnsi="Times New Roman"/>
          <w:color w:val="CC0000"/>
          <w:sz w:val="22"/>
          <w:szCs w:val="22"/>
        </w:rPr>
        <w:t xml:space="preserve">i.e. Platform baseline report</w:t>
      </w:r>
    </w:p>
    <w:p>
      <w:pPr>
        <w:spacing w:after="120"/>
      </w:pPr>
      <w:r>
        <w:rPr>
          <w:rFonts w:ascii="Times New Roman" w:cs="Times New Roman" w:eastAsia="Times New Roman" w:hAnsi="Times New Roman"/>
          <w:color w:val="CC0000"/>
          <w:sz w:val="22"/>
          <w:szCs w:val="22"/>
        </w:rPr>
        <w:t xml:space="preserve">i.e. Platform CSA records</w:t>
      </w:r>
    </w:p>
    <w:p>
      <w:r>
        <w:br w:type="page"/>
      </w:r>
    </w:p>
    <w:p>
      <w:pPr>
        <w:pStyle w:val="Heading1"/>
        <w:spacing w:after="120" w:before="240"/>
      </w:pPr>
      <w:r>
        <w:rPr>
          <w:rFonts w:ascii="Times New Roman" w:cs="Times New Roman" w:eastAsia="Times New Roman" w:hAnsi="Times New Roman"/>
          <w:b/>
          <w:bCs/>
          <w:sz w:val="28"/>
          <w:szCs w:val="28"/>
        </w:rPr>
        <w:t xml:space="preserve">7.0 CM Floor Requirements Implementation</w:t>
      </w:r>
    </w:p>
    <w:p>
      <w:pPr>
        <w:spacing w:after="120"/>
      </w:pPr>
      <w:r>
        <w:rPr>
          <w:rFonts w:ascii="Times New Roman" w:cs="Times New Roman" w:eastAsia="Times New Roman" w:hAnsi="Times New Roman"/>
          <w:sz w:val="22"/>
          <w:szCs w:val="22"/>
        </w:rPr>
        <w:t xml:space="preserve">This section implements the CM floor: the discrete EIA-649-1A (Rev. A) "shall" statements obligated through the SMS pathway. These requirements are performed on all safety-significant product lines regardless of contract flow-down, or are replaced by documented equivalent controls approved by &lt;authority&gt;. Requirement text below is paraphrased for reference by EIA-649-1A clause; the governing text is the standard itself (EIA-649-1A, SAE, issued Nov 2014, revised Aug 2020). Inclusion categories: Clean, Judgment, Conditional (see Section 1.4 and Appendix Q).</w:t>
      </w:r>
    </w:p>
    <w:p>
      <w:pPr>
        <w:spacing w:after="120"/>
      </w:pPr>
      <w:r>
        <w:rPr>
          <w:rFonts w:ascii="Times New Roman" w:cs="Times New Roman" w:eastAsia="Times New Roman" w:hAnsi="Times New Roman"/>
          <w:i/>
          <w:iCs/>
          <w:color w:val="0000CC"/>
          <w:sz w:val="22"/>
          <w:szCs w:val="22"/>
        </w:rPr>
        <w:t xml:space="preserve">&lt;For every row: complete the Implementation column with the process, tool, and responsible role that satisfies the clause, or cite the approved documented equivalent control. Where the inclusion category is Judgment or Conditional, record the judgment or triggering condition. Do not delete rows; a floor requirement that does not apply must state why and cite the approval.&gt;</w:t>
      </w:r>
    </w:p>
    <w:p>
      <w:pPr>
        <w:pStyle w:val="Heading2"/>
        <w:spacing w:after="100" w:before="200"/>
      </w:pPr>
      <w:r>
        <w:rPr>
          <w:rFonts w:ascii="Times New Roman" w:cs="Times New Roman" w:eastAsia="Times New Roman" w:hAnsi="Times New Roman"/>
          <w:b/>
          <w:bCs/>
          <w:sz w:val="24"/>
          <w:szCs w:val="24"/>
        </w:rPr>
        <w:t xml:space="preserve">7.1 Cluster 1: Hazard Identification &amp; Critical-Item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3.2.1(2)(b)</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Identify as a CI any item whose failure could cause serious injury, loss of life, or loss of primary system capability</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2.3 Configuration Identification</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3.3.1.2(1)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Classify every engineering change as Major (Class I) or Minor (Class II)</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3.3.1.2(2)(e)(6)(a)</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Treat changes affecting safety as Major (Class I)</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Support a joint Acquirer/Supplier Configuration Control Board</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 3.2 Acquirer–Supplier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3.3.1.8.1(1)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Obtain Acquirer concurrence on Minor (Class II) classification</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bl>
    <w:p>
      <w:pPr>
        <w:spacing w:after="12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sz w:val="24"/>
          <w:szCs w:val="24"/>
        </w:rPr>
        <w:t xml:space="preserve">7.2 Cluster 2: Change Discipline &amp;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Apply configuration control to each CI, its components, and its documentation</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evaluate, disposition, record in CSA, and report changes and variances</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 2.5 CSA</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3.3(2)(e)</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Incorporate approved changes into all product configuration information and implement them</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3.3(2)(f)</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Verify approved changes were incorporated</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 2.6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Use an ECP to document baseline changes and submit to the change approval authority</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3.3.1.1(1)(a)</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Define the need for each change</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3.3.1.1(1)(e)</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Incorporate the approved ECP into the configuration documentation</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3.3.1.1(1)(f)</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Implement and update documentation via a documented engineering release system</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 2.7 Data &amp; Document Management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3.3.1.1(1)(g)</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Record all changes in the CSA system</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Configuration Status Accounting</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3.3.1.1(1)(h)</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Verify the approved change was implemented correctly</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 2.6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3.3.1.4(1)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Support each ECP with data to evaluate the change and its full impacts</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3.3.1.4(3)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Include a summary of testing validating new concepts or technology</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Obtain Acquirer approval for any non-conforming item via a Request for Variance</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Submit an ECP when a variance is determined permanently acceptable (recurring-to-permanent)</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Prepare an ECP, NOR, and supporting technical data for the change</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3.3.4(1)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Submit a NOR for each document affected by an ECP</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3.3.4(2)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Provide all information needed to disposition each NOR</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3.2.3.3(1)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Create a new revision of approved documentation after change approval, with before/after traceability</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2.4 Configuration Control; 2.7 Data &amp; Document Management</w:t>
            </w:r>
          </w:p>
        </w:tc>
      </w:tr>
    </w:tbl>
    <w:p>
      <w:pPr>
        <w:spacing w:after="12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sz w:val="24"/>
          <w:szCs w:val="24"/>
        </w:rPr>
        <w:t xml:space="preserve">7.3 Cluster 3: As-Designed to As-Built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Maintain CSA legitimacy by storing valid data</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Configuration Status Accounting</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Capture, store, and maintain product configuration information</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Configuration Status Accounting</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3.4.1(3)(a)</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currently approved configuration information by each CI's identification number</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Configuration Status Accounting</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Store and manage all product configuration information</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CSA; 2.7 Data &amp; Document Management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3.4.1(4)(c)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Secure, safeguard, and retrieve recorded configuration information</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CSA; 2.7 Data &amp; Document Management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Conduct the PCA to verify product configuration documentation is consistent with the validated CI</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Confirm the CI against the PPSL and verify proper parts are installed</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3.5.3(4)</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each PCA non-compliance and provide it to the Acquirer</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3.4.1(3)(b)</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all historical configuration information with traceability from contract award to present</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Configuration Status Accounting</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3.4.1(6)</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the incorporation of all retrofit changes to units identified for retrofit</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Configuration Status Accounting</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3.5.3.1(1)(b)</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Identify differences between the production CI and the development CI used for FCA</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bl>
    <w:p>
      <w:pPr>
        <w:spacing w:after="12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sz w:val="24"/>
          <w:szCs w:val="24"/>
        </w:rPr>
        <w:t xml:space="preserve">7.4 Cluster 4: Supply Chain, Interfaces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3.2.5.1(1)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Identify internal and external interface requirements</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2.3 Configuration Identification</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3.2.5.1(2)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Incorporate interface information into the FCD/ACD/PCD</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2.3 Configuration Identification</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3.2.5.1(3)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Maintain configuration control of baselined interface requirements</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2.3 Configuration Identification; 2.4 Configuration Control</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3.2.5.2(1)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Provide a representative to the Acquirer's ICWG where one exists</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3.2 Acquirer–Supplier; 3.6 SOS–FOS</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3.4.1(3)(j)</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Record and report sub-tier supplier data with traceability to the next higher assembly</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2.5 CSA; 3.2 Acquirer–Supplier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Require sub-suppliers to comply with or suitably tailor the same CM requirements imposed on the Supplier</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3.2 Acquirer–Supplier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Support Acquirer audits of Supplier and sub-supplier CM</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3.2 Acquirer–Supplier; 2.6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3.5.2(2)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Conduct the FCA to verify the CI meets performance requirements per approved FCD/ACD</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3.5.2(3)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each FCA non-compliance and provide it to the Acquirer</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3.5.2.1(1)(c)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Provide a requirements-to-test traceability matrix (each requirement maps to a test step)</w:t>
            </w:r>
          </w:p>
        </w:tc>
        <w:tc>
          <w:tcPr>
            <w:tcW w:type="dxa" w:w="3600"/>
            <w:tcMar>
              <w:top w:type="dxa" w:w="60"/>
              <w:left w:type="dxa" w:w="80"/>
              <w:bottom w:type="dxa" w:w="60"/>
              <w:right w:type="dxa" w:w="80"/>
            </w:tcMar>
          </w:tcPr>
          <w:p>
            <w:r>
              <w:rPr>
                <w:rFonts w:ascii="Times New Roman" w:cs="Times New Roman" w:eastAsia="Times New Roman" w:hAnsi="Times New Roman"/>
                <w:i/>
                <w:iCs/>
                <w:color w:val="0000CC"/>
                <w:sz w:val="20"/>
                <w:szCs w:val="20"/>
              </w:rPr>
              <w:t xml:space="preserve">&lt;Describe the process, tool, and responsible role that satisfies this clause, or cite the documented equivalent control.&gt;</w:t>
            </w:r>
          </w:p>
          <w:p>
            <w:r>
              <w:rPr>
                <w:rFonts w:ascii="Times New Roman" w:cs="Times New Roman" w:eastAsia="Times New Roman" w:hAnsi="Times New Roman"/>
                <w:color w:val="CC0000"/>
                <w:sz w:val="20"/>
                <w:szCs w:val="20"/>
              </w:rPr>
              <w:t xml:space="preserve">i.e. Implemented per Section 2.6 Configuration Verification &amp; Audit</w:t>
            </w:r>
          </w:p>
        </w:tc>
      </w:tr>
    </w:tbl>
    <w:p>
      <w:pPr>
        <w:spacing w:after="120"/>
      </w:pPr>
      <w:r>
        <w:rPr>
          <w:rFonts w:ascii="Times New Roman" w:cs="Times New Roman" w:eastAsia="Times New Roman" w:hAnsi="Times New Roman"/>
          <w:sz w:val="22"/>
          <w:szCs w:val="22"/>
        </w:rPr>
        <w:t xml:space="preserve"/>
      </w:r>
    </w:p>
    <w:p>
      <w:r>
        <w:br w:type="page"/>
      </w:r>
    </w:p>
    <w:p>
      <w:pPr>
        <w:pStyle w:val="Heading1"/>
        <w:spacing w:after="120" w:before="240"/>
      </w:pPr>
      <w:r>
        <w:rPr>
          <w:rFonts w:ascii="Times New Roman" w:cs="Times New Roman" w:eastAsia="Times New Roman" w:hAnsi="Times New Roman"/>
          <w:b/>
          <w:bCs/>
          <w:sz w:val="28"/>
          <w:szCs w:val="28"/>
        </w:rPr>
        <w:t xml:space="preserve">8.0 Appendices</w:t>
      </w:r>
    </w:p>
    <w:p>
      <w:pPr>
        <w:spacing w:after="120"/>
      </w:pPr>
      <w:r>
        <w:rPr>
          <w:rFonts w:ascii="Times New Roman" w:cs="Times New Roman" w:eastAsia="Times New Roman" w:hAnsi="Times New Roman"/>
          <w:i/>
          <w:iCs/>
          <w:color w:val="0000CC"/>
          <w:sz w:val="22"/>
          <w:szCs w:val="22"/>
        </w:rPr>
        <w:t xml:space="preserve">&lt;Include each appendix listed; mark not-applicable appendices with rationale&gt;</w:t>
      </w:r>
    </w:p>
    <w:p>
      <w:pPr>
        <w:spacing w:after="120"/>
      </w:pPr>
      <w:r>
        <w:rPr>
          <w:rFonts w:ascii="Times New Roman" w:cs="Times New Roman" w:eastAsia="Times New Roman" w:hAnsi="Times New Roman"/>
          <w:sz w:val="22"/>
          <w:szCs w:val="22"/>
        </w:rPr>
        <w:t xml:space="preserve">Appendix A – Configuration Management Training Plan</w:t>
      </w:r>
    </w:p>
    <w:p>
      <w:pPr>
        <w:spacing w:after="120"/>
      </w:pPr>
      <w:r>
        <w:rPr>
          <w:rFonts w:ascii="Times New Roman" w:cs="Times New Roman" w:eastAsia="Times New Roman" w:hAnsi="Times New Roman"/>
          <w:sz w:val="22"/>
          <w:szCs w:val="22"/>
        </w:rPr>
        <w:t xml:space="preserve">Appendix B – Configuration Item Selection Criteria (must implement F01: safety-critical CI selection)</w:t>
      </w:r>
    </w:p>
    <w:p>
      <w:pPr>
        <w:spacing w:after="120"/>
      </w:pPr>
      <w:r>
        <w:rPr>
          <w:rFonts w:ascii="Times New Roman" w:cs="Times New Roman" w:eastAsia="Times New Roman" w:hAnsi="Times New Roman"/>
          <w:sz w:val="22"/>
          <w:szCs w:val="22"/>
        </w:rPr>
        <w:t xml:space="preserve">Appendix C – Technical Baseline Report Template</w:t>
      </w:r>
    </w:p>
    <w:p>
      <w:pPr>
        <w:spacing w:after="120"/>
      </w:pPr>
      <w:r>
        <w:rPr>
          <w:rFonts w:ascii="Times New Roman" w:cs="Times New Roman" w:eastAsia="Times New Roman" w:hAnsi="Times New Roman"/>
          <w:sz w:val="22"/>
          <w:szCs w:val="22"/>
        </w:rPr>
        <w:t xml:space="preserve">Appendix D – Technical Baseline Hierarchical Structure View</w:t>
      </w:r>
    </w:p>
    <w:p>
      <w:pPr>
        <w:spacing w:after="120"/>
      </w:pPr>
      <w:r>
        <w:rPr>
          <w:rFonts w:ascii="Times New Roman" w:cs="Times New Roman" w:eastAsia="Times New Roman" w:hAnsi="Times New Roman"/>
          <w:sz w:val="22"/>
          <w:szCs w:val="22"/>
        </w:rPr>
        <w:t xml:space="preserve">Appendix E – Configuration Control Board Charter (must implement F04: joint Acquirer/Supplier CCB support)</w:t>
      </w:r>
    </w:p>
    <w:p>
      <w:pPr>
        <w:spacing w:after="120"/>
      </w:pPr>
      <w:r>
        <w:rPr>
          <w:rFonts w:ascii="Times New Roman" w:cs="Times New Roman" w:eastAsia="Times New Roman" w:hAnsi="Times New Roman"/>
          <w:sz w:val="22"/>
          <w:szCs w:val="22"/>
        </w:rPr>
        <w:t xml:space="preserve">Appendix F – Change Request Standard Process</w:t>
      </w:r>
    </w:p>
    <w:p>
      <w:pPr>
        <w:spacing w:after="120"/>
      </w:pPr>
      <w:r>
        <w:rPr>
          <w:rFonts w:ascii="Times New Roman" w:cs="Times New Roman" w:eastAsia="Times New Roman" w:hAnsi="Times New Roman"/>
          <w:sz w:val="22"/>
          <w:szCs w:val="22"/>
        </w:rPr>
        <w:t xml:space="preserve">Appendix G – Change Request Template</w:t>
      </w:r>
    </w:p>
    <w:p>
      <w:pPr>
        <w:spacing w:after="120"/>
      </w:pPr>
      <w:r>
        <w:rPr>
          <w:rFonts w:ascii="Times New Roman" w:cs="Times New Roman" w:eastAsia="Times New Roman" w:hAnsi="Times New Roman"/>
          <w:sz w:val="22"/>
          <w:szCs w:val="22"/>
        </w:rPr>
        <w:t xml:space="preserve">Appendix H – Configuration Control Board Agenda Minutes Template</w:t>
      </w:r>
    </w:p>
    <w:p>
      <w:pPr>
        <w:spacing w:after="120"/>
      </w:pPr>
      <w:r>
        <w:rPr>
          <w:rFonts w:ascii="Times New Roman" w:cs="Times New Roman" w:eastAsia="Times New Roman" w:hAnsi="Times New Roman"/>
          <w:sz w:val="22"/>
          <w:szCs w:val="22"/>
        </w:rPr>
        <w:t xml:space="preserve">Appendix I – Functional Configuration Audit Standard Process (must implement F42–F44)</w:t>
      </w:r>
    </w:p>
    <w:p>
      <w:pPr>
        <w:spacing w:after="120"/>
      </w:pPr>
      <w:r>
        <w:rPr>
          <w:rFonts w:ascii="Times New Roman" w:cs="Times New Roman" w:eastAsia="Times New Roman" w:hAnsi="Times New Roman"/>
          <w:sz w:val="22"/>
          <w:szCs w:val="22"/>
        </w:rPr>
        <w:t xml:space="preserve">Appendix J – Functional Configuration Audit Checklist</w:t>
      </w:r>
    </w:p>
    <w:p>
      <w:pPr>
        <w:spacing w:after="120"/>
      </w:pPr>
      <w:r>
        <w:rPr>
          <w:rFonts w:ascii="Times New Roman" w:cs="Times New Roman" w:eastAsia="Times New Roman" w:hAnsi="Times New Roman"/>
          <w:sz w:val="22"/>
          <w:szCs w:val="22"/>
        </w:rPr>
        <w:t xml:space="preserve">Appendix K – Functional Configuration Audit Report Template</w:t>
      </w:r>
    </w:p>
    <w:p>
      <w:pPr>
        <w:spacing w:after="120"/>
      </w:pPr>
      <w:r>
        <w:rPr>
          <w:rFonts w:ascii="Times New Roman" w:cs="Times New Roman" w:eastAsia="Times New Roman" w:hAnsi="Times New Roman"/>
          <w:sz w:val="22"/>
          <w:szCs w:val="22"/>
        </w:rPr>
        <w:t xml:space="preserve">Appendix L – Physical Configuration Audit Standard Process (must implement F29–F31, F34)</w:t>
      </w:r>
    </w:p>
    <w:p>
      <w:pPr>
        <w:spacing w:after="120"/>
      </w:pPr>
      <w:r>
        <w:rPr>
          <w:rFonts w:ascii="Times New Roman" w:cs="Times New Roman" w:eastAsia="Times New Roman" w:hAnsi="Times New Roman"/>
          <w:sz w:val="22"/>
          <w:szCs w:val="22"/>
        </w:rPr>
        <w:t xml:space="preserve">Appendix M – Physical Configuration Audit Checklist</w:t>
      </w:r>
    </w:p>
    <w:p>
      <w:pPr>
        <w:spacing w:after="120"/>
      </w:pPr>
      <w:r>
        <w:rPr>
          <w:rFonts w:ascii="Times New Roman" w:cs="Times New Roman" w:eastAsia="Times New Roman" w:hAnsi="Times New Roman"/>
          <w:sz w:val="22"/>
          <w:szCs w:val="22"/>
        </w:rPr>
        <w:t xml:space="preserve">Appendix N – Physical Configuration Audit Report Template</w:t>
      </w:r>
    </w:p>
    <w:p>
      <w:pPr>
        <w:spacing w:after="120"/>
      </w:pPr>
      <w:r>
        <w:rPr>
          <w:rFonts w:ascii="Times New Roman" w:cs="Times New Roman" w:eastAsia="Times New Roman" w:hAnsi="Times New Roman"/>
          <w:sz w:val="22"/>
          <w:szCs w:val="22"/>
        </w:rPr>
        <w:t xml:space="preserve">Appendix O – Process Improvement Metrics</w:t>
      </w:r>
    </w:p>
    <w:p>
      <w:pPr>
        <w:spacing w:after="120"/>
      </w:pPr>
      <w:r>
        <w:rPr>
          <w:rFonts w:ascii="Times New Roman" w:cs="Times New Roman" w:eastAsia="Times New Roman" w:hAnsi="Times New Roman"/>
          <w:sz w:val="22"/>
          <w:szCs w:val="22"/>
        </w:rPr>
        <w:t xml:space="preserve">Appendix P – Data and Document Management Conventions</w:t>
      </w:r>
    </w:p>
    <w:p>
      <w:pPr>
        <w:spacing w:after="120"/>
      </w:pPr>
      <w:r>
        <w:rPr>
          <w:rFonts w:ascii="Times New Roman" w:cs="Times New Roman" w:eastAsia="Times New Roman" w:hAnsi="Times New Roman"/>
          <w:sz w:val="22"/>
          <w:szCs w:val="22"/>
        </w:rPr>
        <w:t xml:space="preserve">Appendix Q – CM Floor Requirement Compliance Matrix (this template, below)</w:t>
      </w:r>
    </w:p>
    <w:p>
      <w:pPr>
        <w:spacing w:after="120"/>
      </w:pPr>
      <w:r>
        <w:t>Appendix R – Sub-Supplier Work Type Classification Log (implements F40: recorded classification is the tailoring rationale)</w:t>
      </w:r>
    </w:p>
    <w:p>
      <w:pPr>
        <w:spacing w:after="120"/>
      </w:pPr>
      <w:r>
        <w:t>Appendix S – Sub-Supplier CM Effectiveness Records (deliverable receipts, findings and escapes, determinations, actions)</w:t>
      </w:r>
    </w:p>
    <w:p>
      <w:pPr>
        <w:spacing w:after="120"/>
      </w:pPr>
      <w:r>
        <w:t>Appendix T – CM Floor Disposition Record (structured and queryable; Appendix Q is its static traceability baseline)</w:t>
      </w:r>
    </w:p>
    <w:p>
      <w:r>
        <w:br w:type="page"/>
      </w:r>
    </w:p>
    <w:p>
      <w:pPr>
        <w:pStyle w:val="Heading1"/>
        <w:spacing w:after="120" w:before="240"/>
      </w:pPr>
      <w:r>
        <w:rPr>
          <w:rFonts w:ascii="Times New Roman" w:cs="Times New Roman" w:eastAsia="Times New Roman" w:hAnsi="Times New Roman"/>
          <w:b/>
          <w:bCs/>
          <w:sz w:val="28"/>
          <w:szCs w:val="28"/>
        </w:rPr>
        <w:t xml:space="preserve">9.0 References</w:t>
      </w:r>
    </w:p>
    <w:p>
      <w:pPr>
        <w:spacing w:after="120"/>
      </w:pPr>
      <w:r>
        <w:rPr>
          <w:rFonts w:ascii="Times New Roman" w:cs="Times New Roman" w:eastAsia="Times New Roman" w:hAnsi="Times New Roman"/>
          <w:i/>
          <w:iCs/>
          <w:color w:val="0000CC"/>
          <w:sz w:val="22"/>
          <w:szCs w:val="22"/>
        </w:rPr>
        <w:t xml:space="preserve">&lt;List the specifications, standards, instructions and other publications invoked by this CMP; the entries below are the minimum set&gt;</w:t>
      </w:r>
    </w:p>
    <w:p>
      <w:pPr>
        <w:spacing w:after="120"/>
      </w:pPr>
      <w:r>
        <w:rPr>
          <w:rFonts w:ascii="Times New Roman" w:cs="Times New Roman" w:eastAsia="Times New Roman" w:hAnsi="Times New Roman"/>
          <w:sz w:val="22"/>
          <w:szCs w:val="22"/>
        </w:rPr>
        <w:t xml:space="preserve">SAE EIA-649-1A – Configuration Management Requirements for Defense Contracts (governing text for all Section 7 floor requirements)</w:t>
      </w:r>
    </w:p>
    <w:p>
      <w:pPr>
        <w:spacing w:after="120"/>
      </w:pPr>
      <w:r>
        <w:rPr>
          <w:rFonts w:ascii="Times New Roman" w:cs="Times New Roman" w:eastAsia="Times New Roman" w:hAnsi="Times New Roman"/>
          <w:sz w:val="22"/>
          <w:szCs w:val="22"/>
        </w:rPr>
        <w:t xml:space="preserve">ANSI/EIA-649 (Series) – Configuration Management Standard</w:t>
      </w:r>
    </w:p>
    <w:p>
      <w:pPr>
        <w:spacing w:after="120"/>
      </w:pPr>
      <w:r>
        <w:rPr>
          <w:rFonts w:ascii="Times New Roman" w:cs="Times New Roman" w:eastAsia="Times New Roman" w:hAnsi="Times New Roman"/>
          <w:sz w:val="22"/>
          <w:szCs w:val="22"/>
        </w:rPr>
        <w:t xml:space="preserve">GEIA-HB-649 (Series) – Configuration Management Implementation Guidance</w:t>
      </w:r>
    </w:p>
    <w:p>
      <w:pPr>
        <w:spacing w:after="120"/>
      </w:pPr>
      <w:r>
        <w:rPr>
          <w:rFonts w:ascii="Times New Roman" w:cs="Times New Roman" w:eastAsia="Times New Roman" w:hAnsi="Times New Roman"/>
          <w:sz w:val="22"/>
          <w:szCs w:val="22"/>
        </w:rPr>
        <w:t xml:space="preserve">SM-0001 (Issue C) – Safety Management System Standard (hazard linkage in Appendix Q)</w:t>
      </w:r>
    </w:p>
    <w:p>
      <w:pPr>
        <w:spacing w:after="120"/>
      </w:pPr>
      <w:r>
        <w:rPr>
          <w:rFonts w:ascii="Times New Roman" w:cs="Times New Roman" w:eastAsia="Times New Roman" w:hAnsi="Times New Roman"/>
          <w:sz w:val="22"/>
          <w:szCs w:val="22"/>
        </w:rPr>
        <w:t xml:space="preserve">ANSI/EIA-836 (Series) – Configuration Management Data Exchange and Interoperability</w:t>
      </w:r>
    </w:p>
    <w:p>
      <w:pPr>
        <w:spacing w:after="120"/>
      </w:pPr>
      <w:r>
        <w:rPr>
          <w:rFonts w:ascii="Times New Roman" w:cs="Times New Roman" w:eastAsia="Times New Roman" w:hAnsi="Times New Roman"/>
          <w:sz w:val="22"/>
          <w:szCs w:val="22"/>
        </w:rPr>
        <w:t xml:space="preserve">ANSI/GEIA-859 (Series) – Data Management</w:t>
      </w:r>
    </w:p>
    <w:p>
      <w:pPr>
        <w:spacing w:after="120"/>
      </w:pPr>
      <w:r>
        <w:rPr>
          <w:rFonts w:ascii="Times New Roman" w:cs="Times New Roman" w:eastAsia="Times New Roman" w:hAnsi="Times New Roman"/>
          <w:sz w:val="22"/>
          <w:szCs w:val="22"/>
        </w:rPr>
        <w:t xml:space="preserve">IEEE 828 (Series) – IEEE Standard for Software Configuration Management Plans</w:t>
      </w:r>
    </w:p>
    <w:p>
      <w:pPr>
        <w:spacing w:after="120"/>
      </w:pPr>
      <w:r>
        <w:rPr>
          <w:rFonts w:ascii="Times New Roman" w:cs="Times New Roman" w:eastAsia="Times New Roman" w:hAnsi="Times New Roman"/>
          <w:sz w:val="22"/>
          <w:szCs w:val="22"/>
        </w:rPr>
        <w:t xml:space="preserve">MIL-STD-881 (Series) – Work Breakdown Structures</w:t>
      </w:r>
    </w:p>
    <w:p>
      <w:pPr>
        <w:spacing w:after="120"/>
      </w:pPr>
      <w:r>
        <w:rPr>
          <w:b/>
          <w:i/>
          <w:color w:val="0000CC"/>
        </w:rPr>
        <w:t>&lt;Add the organizational CM process documents invoked by this CMP: CM planning and management; CI identification; configuration change management; configuration status accounting; configuration audit (FCA/PCA); and sub-supplier CM requirements flowdown and effectiveness.&gt;</w:t>
      </w:r>
    </w:p>
    <w:p>
      <w:pPr>
        <w:spacing w:after="120"/>
      </w:pPr>
      <w:r>
        <w:rPr>
          <w:b/>
          <w:i/>
          <w:color w:val="0000CC"/>
        </w:rPr>
        <w:t>&lt;Where a CM function is not yet covered by its own process document, state the interim mechanism and the planned date in Section 2 for that function.&gt;</w:t>
      </w:r>
    </w:p>
    <w:p>
      <w:r>
        <w:br w:type="page"/>
      </w:r>
    </w:p>
    <w:p>
      <w:pPr>
        <w:pStyle w:val="Heading1"/>
        <w:spacing w:after="120" w:before="240"/>
      </w:pPr>
      <w:r>
        <w:rPr>
          <w:rFonts w:ascii="Times New Roman" w:cs="Times New Roman" w:eastAsia="Times New Roman" w:hAnsi="Times New Roman"/>
          <w:b/>
          <w:bCs/>
          <w:sz w:val="28"/>
          <w:szCs w:val="28"/>
        </w:rPr>
        <w:t xml:space="preserve">10.0 Glossary</w:t>
      </w:r>
    </w:p>
    <w:p>
      <w:pPr>
        <w:spacing w:after="120"/>
      </w:pPr>
      <w:r>
        <w:rPr>
          <w:rFonts w:ascii="Times New Roman" w:cs="Times New Roman" w:eastAsia="Times New Roman" w:hAnsi="Times New Roman"/>
          <w:i/>
          <w:iCs/>
          <w:color w:val="0000CC"/>
          <w:sz w:val="22"/>
          <w:szCs w:val="22"/>
        </w:rPr>
        <w:t xml:space="preserve">&lt;Define acronyms and terms used in this CMP. Minimum set: ACD, CCB, CI, CMP, CSA, ECP, FCA, FCD, ICWG, NOR, PCA, PCD, PPSL, RFV&gt;</w:t>
      </w:r>
    </w:p>
    <w:p>
      <w:r>
        <w:br w:type="page"/>
      </w:r>
    </w:p>
    <w:p>
      <w:pPr>
        <w:pStyle w:val="Heading1"/>
        <w:spacing w:after="120" w:before="240"/>
      </w:pPr>
      <w:r>
        <w:rPr>
          <w:rFonts w:ascii="Times New Roman" w:cs="Times New Roman" w:eastAsia="Times New Roman" w:hAnsi="Times New Roman"/>
          <w:b/>
          <w:bCs/>
          <w:sz w:val="28"/>
          <w:szCs w:val="28"/>
        </w:rPr>
        <w:t xml:space="preserve">Appendix Q – CM Floor Requirement Compliance Matrix</w:t>
      </w:r>
    </w:p>
    <w:p>
      <w:pPr>
        <w:spacing w:after="120"/>
      </w:pPr>
      <w:r>
        <w:rPr>
          <w:rFonts w:ascii="Times New Roman" w:cs="Times New Roman" w:eastAsia="Times New Roman" w:hAnsi="Times New Roman"/>
          <w:sz w:val="22"/>
          <w:szCs w:val="22"/>
        </w:rPr>
        <w:t xml:space="preserve">Source: CM Floor Register — EIA-649-1 requirements obligated through the SMS pathway. Requirement text is paraphrased; the governing text is EIA-649-1A. Maintain this matrix under configuration control; each row must trace to the Section 7 implementation statement.</w:t>
      </w:r>
    </w:p>
    <w:p>
      <w:pPr>
        <w:spacing w:after="120"/>
      </w:pPr>
      <w:r>
        <w:t>This matrix is the traceability baseline: it fixes each floor requirement to its clause, barrier, hazard, inclusion category, and implementing CMP section. It is not the disposition record. The disposition of each floor requirement on this program — performed, equivalent control, or risk-accepted — with its evidence reference, health check, next-due date, and sign-off is maintained as structured records per Appendix T and is the evidence from which floor coverage is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250"/>
        <w:gridCol w:w="2900"/>
        <w:gridCol w:w="900"/>
        <w:gridCol w:w="1550"/>
        <w:gridCol w:w="950"/>
        <w:gridCol w:w="1190"/>
      </w:tblGrid>
      <w:tr>
        <w:trPr>
          <w:tblHeader/>
        </w:trPr>
        <w:tc>
          <w:tcPr>
            <w:tcW w:type="dxa" w:w="62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25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29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w:t>
            </w:r>
          </w:p>
        </w:tc>
        <w:tc>
          <w:tcPr>
            <w:tcW w:type="dxa" w:w="9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Barrier(s)</w:t>
            </w:r>
          </w:p>
        </w:tc>
        <w:tc>
          <w:tcPr>
            <w:tcW w:type="dxa" w:w="155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SM-0001 hazard controlled</w:t>
            </w:r>
          </w:p>
        </w:tc>
        <w:tc>
          <w:tcPr>
            <w:tcW w:type="dxa" w:w="95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Inclusion</w:t>
            </w:r>
          </w:p>
        </w:tc>
        <w:tc>
          <w:tcPr>
            <w:tcW w:type="dxa" w:w="119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CMP Section(s)</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3.2.1(2)(b)</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Identify as a CI any item whose failure could cause serious injury, loss of life, or loss of primary system capability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Hazard identification</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3.3.1.2(1)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Classify every engineering change as Major (Class I) or Minor (Class II)</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3.3.1.2(2)(e)(6)(a)</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Treat changes affecting safety as Major (Class I)</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Support a joint Acquirer/Supplier Configuration Control Board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3.2 Acquirer–Supplier</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3.3.1.8.1(1)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Obtain Acquirer concurrence on Minor (Class II) classification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Apply configuration control to each CI, its components, and its documentation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evaluate, disposition, record in CSA, and report changes and variances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2.5 CSA</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3.3(2)(e)</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Incorporate approved changes into all product configuration information and implement them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3.3(2)(f)</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Verify approved changes were incorporated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2.6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Use an ECP to document baseline changes and submit to the change approval authority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 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3.3.1.1(1)(a)</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Define the need for each change</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3.3.1.1(1)(e)</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Incorporate the approved ECP into the configuration documentation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3.3.1.1(1)(f)</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Implement and update documentation via a documented engineering release system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3.3.1.1(1)(g)</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Record all changes in the CSA system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3.3.1.1(1)(h)</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Verify the approved change was implemented correctly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2.6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3.3.1.4(1)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Support each ECP with data to evaluate the change and its full impacts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B4</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§6.2.3 Management of change</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3.3.1.4(3)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Include a summary of testing validating new concepts or technology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B4</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§6.2.3 Management of change</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Obtain Acquirer approval for any non-conforming item via a Request for Variance</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§6.3.3 Continuous improvement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Submit an ECP when a variance is determined permanently acceptable (recurring-to-permanent)</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§6.3.3 Continuous improvement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 (core)</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Prepare an ECP, NOR, and supporting technical data for the change</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3.3.4(1)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Submit a NOR for each document affected by an ECP</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3.3.4(2)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Provide all information needed to disposition each NOR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3.2.3.3(1)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Create a new revision of approved documentation after change approval, with before/after traceability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B7</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Maintain CSA legitimacy by storing valid data</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Capture, store, and maintain product configuration information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3.4.1(3)(a)</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currently approved configuration information by each CI's identification number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 B11</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 §6.3.2</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Store and manage all product configuration information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CSA;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3.4.1(4)(c)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Secure, safeguard, and retrieve recorded configuration information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CSA;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Conduct the PCA to verify product configuration documentation is consistent with the validated CI</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B9</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Non-conformance / FOD</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Confirm the CI against the PPSL and verify proper parts are installed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B9</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Non-conformance / FOD</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3.5.3(4)</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each PCA non-compliance and provide it to the Acquirer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B9</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Non-conformance / FOD</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3.4.1(3)(b)</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all historical configuration information with traceability from contract award to present</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B10</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Continued airworthiness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3.4.1(6)</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the incorporation of all retrofit changes to units identified for retrofit</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B11</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§6.3.2 MoC effectiveness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3.5.3.1(1)(b)</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Identify differences between the production CI and the development CI used for FCA</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Quality escapes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3.2.5.1(1)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Identify internal and external interface requirements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3.2.5.1(2)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Incorporate interface information into the FCD/ACD/PCD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3.2.5.1(3)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Maintain configuration control of baselined interface requirements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 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3.2.5.2(1)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Provide a representative to the Acquirer's ICWG where one exists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Conditional</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3.2 Acquirer–Supplier; 3.6 SOS–FOS</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3.4.1(3)(j)</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Record and report sub-tier supplier data with traceability to the next higher assembly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B14</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Subcontractor disclosures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CSA; 3.2 Acquirer–Supplier</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Require sub-suppliers to comply with or suitably tailor the same CM requirements imposed on the Supplier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 §7 Supply-chain</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3.2 Acquirer–Supplier</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Support Acquirer audits of Supplier and sub-supplier CM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 Interfaces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3.2 Acquirer–Supplier; 2.6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3.5.2(2)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Conduct the FCA to verify the CI meets performance requirements per approved FCD/ACD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Validate risk controls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3.5.2(3)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each FCA non-compliance and provide it to the Acquirer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Validate risk controls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3.5.2.1(1)(c)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Provide a requirements-to-test traceability matrix (each requirement maps to a test step)</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Validate risk controls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p>
    <w:pPr>
      <w:jc w:val="center"/>
    </w:pPr>
    <w:r>
      <w:rPr>
        <w:rFonts w:ascii="Times New Roman" w:cs="Times New Roman" w:eastAsia="Times New Roman" w:hAnsi="Times New Roman"/>
        <w:i/>
        <w:iCs/>
        <w:color w:val="0000CC"/>
        <w:sz w:val="16"/>
        <w:szCs w:val="16"/>
      </w:rPr>
      <w:t xml:space="preserve">&lt;Insert distribution / destruction statement&gt;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2026-07-15T11:22:56.702Z</dcterms:created>
  <dcterms:modified xsi:type="dcterms:W3CDTF">2026-07-15T11:22:56.713Z</dcterms:modified>
</cp:coreProperties>
</file>

<file path=docProps/custom.xml><?xml version="1.0" encoding="utf-8"?>
<Properties xmlns="http://schemas.openxmlformats.org/officeDocument/2006/custom-properties" xmlns:vt="http://schemas.openxmlformats.org/officeDocument/2006/docPropsVTypes"/>
</file>