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F3864"/>
          <w:sz w:val="24"/>
          <w:szCs w:val="24"/>
        </w:rPr>
        <w:t xml:space="preserve">CONFIGURATION MANAGEMENT PROCESS</w:t>
      </w:r>
    </w:p>
    <w:p>
      <w:pPr>
        <w:spacing w:after="200"/>
        <w:jc w:val="center"/>
      </w:pPr>
      <w:r>
        <w:rPr>
          <w:rFonts w:ascii="Calibri" w:cs="Calibri" w:eastAsia="Calibri" w:hAnsi="Calibri"/>
          <w:b/>
          <w:bCs/>
          <w:sz w:val="48"/>
          <w:szCs w:val="48"/>
        </w:rPr>
        <w:t xml:space="preserve">Configuration Management Planning and Management</w:t>
      </w:r>
    </w:p>
    <w:p>
      <w:pPr>
        <w:spacing w:after="1200"/>
        <w:jc w:val="center"/>
      </w:pPr>
      <w:r>
        <w:rPr>
          <w:rFonts w:ascii="Calibri" w:cs="Calibri" w:eastAsia="Calibri" w:hAnsi="Calibri"/>
          <w:i/>
          <w:iCs/>
          <w:sz w:val="28"/>
          <w:szCs w:val="28"/>
        </w:rPr>
        <w:t xml:space="preserve">In Alignment with EIA-649-1A and GEIA-HB-649A</w:t>
      </w:r>
    </w:p>
    <w:p>
      <w:pPr>
        <w:spacing w:after="100"/>
        <w:jc w:val="center"/>
      </w:pPr>
      <w:r>
        <w:rPr>
          <w:rFonts w:ascii="Calibri" w:cs="Calibri" w:eastAsia="Calibri" w:hAnsi="Calibri"/>
          <w:sz w:val="22"/>
          <w:szCs w:val="22"/>
        </w:rPr>
        <w:t>Document No.: [insert]</w:t>
      </w:r>
    </w:p>
    <w:p>
      <w:pPr>
        <w:spacing w:after="100"/>
        <w:jc w:val="center"/>
      </w:pPr>
      <w:r>
        <w:rPr>
          <w:rFonts w:ascii="Calibri" w:cs="Calibri" w:eastAsia="Calibri" w:hAnsi="Calibri"/>
          <w:sz w:val="22"/>
          <w:szCs w:val="22"/>
        </w:rPr>
        <w:t xml:space="preserve">Revision: [Initial]        Date: [Date]</w:t>
      </w:r>
    </w:p>
    <w:p>
      <w:pPr>
        <w:spacing w:after="100"/>
        <w:jc w:val="center"/>
      </w:pPr>
      <w:r>
        <w:rPr>
          <w:rFonts w:ascii="Calibri" w:cs="Calibri" w:eastAsia="Calibri" w:hAnsi="Calibri"/>
          <w:sz w:val="22"/>
          <w:szCs w:val="22"/>
        </w:rPr>
        <w:t xml:space="preserve">Prepared by: Configuration Management        Approved by: [Approver]</w:t>
      </w:r>
    </w:p>
    <w:p>
      <w:r>
        <w:br w:type="page"/>
      </w:r>
    </w:p>
    <w:p>
      <w:pPr>
        <w:pStyle w:val="Heading1"/>
        <w:spacing w:after="16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Purpose, Scope, and Applicability</w:t>
      </w:r>
    </w:p>
    <w:p>
      <w:pPr>
        <w:pStyle w:val="Heading2"/>
        <w:spacing w:after="120" w:before="260"/>
      </w:pPr>
      <w:r>
        <w:rPr>
          <w:rFonts w:ascii="Calibri" w:cs="Calibri" w:eastAsia="Calibri" w:hAnsi="Calibri"/>
        </w:rPr>
        <w:t xml:space="preserve">1.1 Purpose</w:t>
      </w:r>
    </w:p>
    <w:p>
      <w:pPr>
        <w:spacing w:after="120" w:line="276"/>
      </w:pPr>
      <w:r>
        <w:rPr>
          <w:rFonts w:ascii="Calibri" w:cs="Calibri" w:eastAsia="Calibri" w:hAnsi="Calibri"/>
          <w:sz w:val="22"/>
          <w:szCs w:val="22"/>
        </w:rPr>
        <w:t xml:space="preserve">This document instructs the Configuration Management (CM) team on how to perform CM planning and management — the function that establishes, resources, documents, trains, measures, and continuously improves the CM program — in alignment with EIA-649-1A §3.1 (Principles CMP-1 through CMP-9) and GEIA-HB-649A Section 6.</w:t>
      </w:r>
    </w:p>
    <w:p>
      <w:pPr>
        <w:pStyle w:val="Heading2"/>
        <w:spacing w:after="120" w:before="260"/>
      </w:pPr>
      <w:r>
        <w:rPr>
          <w:rFonts w:ascii="Calibri" w:cs="Calibri" w:eastAsia="Calibri" w:hAnsi="Calibri"/>
        </w:rPr>
        <w:t xml:space="preserve">1.2 Scope</w:t>
      </w:r>
    </w:p>
    <w:p>
      <w:pPr>
        <w:spacing w:after="120" w:line="276"/>
      </w:pPr>
      <w:r>
        <w:rPr>
          <w:rFonts w:ascii="Calibri" w:cs="Calibri" w:eastAsia="Calibri" w:hAnsi="Calibri"/>
          <w:sz w:val="22"/>
          <w:szCs w:val="22"/>
        </w:rPr>
        <w:t xml:space="preserve">This process covers: establishing the product context and tailoring basis; developing, obtaining approval of, and maintaining the program Configuration Management Plan (CMP); identifying resources and assigning responsibilities; documenting CM procedures; CM training; CM performance measurement; periodic assessment of CM effectiveness and compliance; supply chain CM flowdown and oversight; and CM information/data processes. It governs the planning framework within which the other four CM functions (identification, change management, status accounting, verification and audit) operate.</w:t>
      </w:r>
    </w:p>
    <w:p>
      <w:pPr>
        <w:pStyle w:val="Heading2"/>
        <w:spacing w:after="120" w:before="260"/>
      </w:pPr>
      <w:r>
        <w:rPr>
          <w:rFonts w:ascii="Calibri" w:cs="Calibri" w:eastAsia="Calibri" w:hAnsi="Calibri"/>
        </w:rPr>
        <w:t xml:space="preserve">1.3 Applicability</w:t>
      </w:r>
    </w:p>
    <w:p>
      <w:pPr>
        <w:spacing w:after="120" w:line="276"/>
      </w:pPr>
      <w:r>
        <w:rPr>
          <w:rFonts w:ascii="Calibri" w:cs="Calibri" w:eastAsia="Calibri" w:hAnsi="Calibri"/>
          <w:sz w:val="22"/>
          <w:szCs w:val="22"/>
        </w:rPr>
        <w:t xml:space="preserve">This process applies to all programs where the company acts as a prime contractor (Supplier) to a DoD Acquirer, and establishes the pattern for internal programs. Where a contract imposes differing requirements, the contract governs; deviations are documented in the program CMP. This process is tool-agnostic; program CMPs name the specific PLM, MBSE, and CSA tools used.</w:t>
      </w:r>
    </w:p>
    <w:p>
      <w:pPr>
        <w:spacing w:after="120" w:line="276"/>
      </w:pPr>
      <w:r>
        <w:rPr>
          <w:rFonts w:ascii="Calibri" w:cs="Calibri" w:eastAsia="Calibri" w:hAnsi="Calibri"/>
          <w:sz w:val="22"/>
          <w:szCs w:val="22"/>
        </w:rPr>
        <w:t xml:space="preserve">Two levels of CM planning apply: organizational (this document and its companion enterprise processes, applied to all programs) and programmatic (the program CMP, tailored from the organizational set for a specific program or product).</w:t>
      </w:r>
    </w:p>
    <w:p>
      <w:pPr>
        <w:pStyle w:val="Heading1"/>
        <w:spacing w:after="160" w:before="320"/>
      </w:pPr>
      <w:r>
        <w:rPr>
          <w:rFonts w:ascii="Calibri" w:cs="Calibri" w:eastAsia="Calibri" w:hAnsi="Calibri"/>
        </w:rPr>
        <w:t xml:space="preserve">2. References</w:t>
      </w:r>
    </w:p>
    <w:p>
      <w:pPr>
        <w:pStyle w:val="Heading2"/>
        <w:spacing w:after="120" w:before="260"/>
      </w:pPr>
      <w:r>
        <w:rPr>
          <w:rFonts w:ascii="Calibri" w:cs="Calibri" w:eastAsia="Calibri" w:hAnsi="Calibri"/>
        </w:rPr>
        <w:t xml:space="preserve">2.1 Governing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Document</w:t>
            </w:r>
          </w:p>
        </w:tc>
        <w:tc>
          <w:tcPr>
            <w:tcW w:type="dxa" w:w="69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Title</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EIA-649-1A</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Requirements for Defense Contracts (§3.1, Planning and Management)</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GEIA-HB-649A</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Standard Implementation Guide (Section 6; Appendix F CMP template)</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ANSI/EIA-649</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National Consensus Standard for Configuration Management</w:t>
            </w:r>
          </w:p>
        </w:tc>
      </w:tr>
      <w:tr>
        <w:tc>
          <w:tcPr>
            <w:tcW w:type="dxa" w:w="2400"/>
          </w:tcPr>
          <w:p>
            <w:r/>
            <w:r>
              <w:rPr>
                <w:rFonts w:ascii="Calibri" w:hAnsi="Calibri"/>
                <w:sz w:val="20"/>
              </w:rPr>
              <w:t>[insert]</w:t>
            </w:r>
          </w:p>
        </w:tc>
        <w:tc>
          <w:tcPr>
            <w:tcW w:type="dxa" w:w="6960"/>
          </w:tcPr>
          <w:p>
            <w:r/>
            <w:r>
              <w:rPr>
                <w:rFonts w:ascii="Calibri" w:hAnsi="Calibri"/>
                <w:sz w:val="20"/>
              </w:rPr>
              <w:t>Sub-supplier CM requirements flowdown and effectiveness process (companion process; performs supply chain flowdown and effectiveness determination)</w:t>
            </w:r>
          </w:p>
        </w:tc>
      </w:tr>
      <w:tr>
        <w:tc>
          <w:tcPr>
            <w:tcW w:type="dxa" w:w="2400"/>
          </w:tcPr>
          <w:p>
            <w:r/>
            <w:r>
              <w:rPr>
                <w:rFonts w:ascii="Calibri" w:hAnsi="Calibri"/>
                <w:sz w:val="20"/>
              </w:rPr>
              <w:t>[insert]</w:t>
            </w:r>
          </w:p>
        </w:tc>
        <w:tc>
          <w:tcPr>
            <w:tcW w:type="dxa" w:w="6960"/>
          </w:tcPr>
          <w:p>
            <w:r/>
            <w:r>
              <w:rPr>
                <w:rFonts w:ascii="Calibri" w:hAnsi="Calibri"/>
                <w:sz w:val="20"/>
              </w:rPr>
              <w:t>Sub-supplier CM flowdown decision guide (companion reasoning and classification cases)</w:t>
            </w:r>
          </w:p>
        </w:tc>
      </w:tr>
      <w:tr>
        <w:tc>
          <w:tcPr>
            <w:tcW w:type="dxa" w:w="2400"/>
          </w:tcPr>
          <w:p>
            <w:r/>
            <w:r>
              <w:rPr>
                <w:rFonts w:ascii="Calibri" w:hAnsi="Calibri"/>
                <w:sz w:val="20"/>
              </w:rPr>
              <w:t>[insert]</w:t>
            </w:r>
          </w:p>
        </w:tc>
        <w:tc>
          <w:tcPr>
            <w:tcW w:type="dxa" w:w="6960"/>
          </w:tcPr>
          <w:p>
            <w:r/>
            <w:r>
              <w:rPr>
                <w:rFonts w:ascii="Calibri" w:hAnsi="Calibri"/>
                <w:sz w:val="20"/>
              </w:rPr>
              <w:t>Sub-supplier flowdown matrix workbook (work types, requirement matrix, deliverable definitions, classification log)</w:t>
            </w:r>
          </w:p>
        </w:tc>
      </w:tr>
      <w:tr>
        <w:tc>
          <w:tcPr>
            <w:tcW w:type="dxa" w:w="2400"/>
          </w:tcPr>
          <w:p>
            <w:r/>
            <w:r>
              <w:rPr>
                <w:rFonts w:ascii="Calibri" w:hAnsi="Calibri"/>
                <w:sz w:val="20"/>
              </w:rPr>
              <w:t>[insert]</w:t>
            </w:r>
          </w:p>
        </w:tc>
        <w:tc>
          <w:tcPr>
            <w:tcW w:type="dxa" w:w="6960"/>
          </w:tcPr>
          <w:p>
            <w:r/>
            <w:r>
              <w:rPr>
                <w:rFonts w:ascii="Calibri" w:hAnsi="Calibri"/>
                <w:sz w:val="20"/>
              </w:rPr>
              <w:t>Sub-supplier CM effectiveness workbook (receipt log, findings log, evaluation record, actions log)</w:t>
            </w:r>
          </w:p>
        </w:tc>
      </w:tr>
      <w:tr>
        <w:tc>
          <w:tcPr>
            <w:tcW w:type="dxa" w:w="2400"/>
          </w:tcPr>
          <w:p>
            <w:r/>
            <w:r>
              <w:rPr>
                <w:rFonts w:ascii="Calibri" w:hAnsi="Calibri"/>
                <w:sz w:val="20"/>
              </w:rPr>
              <w:t>[insert]</w:t>
            </w:r>
          </w:p>
        </w:tc>
        <w:tc>
          <w:tcPr>
            <w:tcW w:type="dxa" w:w="6960"/>
          </w:tcPr>
          <w:p>
            <w:r/>
            <w:r>
              <w:rPr>
                <w:rFonts w:ascii="Calibri" w:hAnsi="Calibri"/>
                <w:sz w:val="20"/>
              </w:rPr>
              <w:t>Configuration status accounting process (companion process)</w:t>
            </w:r>
          </w:p>
        </w:tc>
      </w:tr>
      <w:tr>
        <w:tc>
          <w:tcPr>
            <w:tcW w:type="dxa" w:w="2400"/>
          </w:tcPr>
          <w:p>
            <w:r/>
            <w:r>
              <w:rPr>
                <w:rFonts w:ascii="Calibri" w:hAnsi="Calibri"/>
                <w:sz w:val="20"/>
              </w:rPr>
              <w:t>[insert]</w:t>
            </w:r>
          </w:p>
        </w:tc>
        <w:tc>
          <w:tcPr>
            <w:tcW w:type="dxa" w:w="6960"/>
          </w:tcPr>
          <w:p>
            <w:r/>
            <w:r>
              <w:rPr>
                <w:rFonts w:ascii="Calibri" w:hAnsi="Calibri"/>
                <w:sz w:val="20"/>
              </w:rPr>
              <w:t>CM floor coverage measure definition and reporting workbook</w:t>
            </w:r>
          </w:p>
        </w:tc>
      </w:tr>
    </w:tbl>
    <w:p>
      <w:pPr>
        <w:pStyle w:val="Heading2"/>
        <w:spacing w:after="120" w:before="260"/>
      </w:pPr>
      <w:r>
        <w:rPr>
          <w:rFonts w:ascii="Calibri" w:cs="Calibri" w:eastAsia="Calibri" w:hAnsi="Calibri"/>
        </w:rPr>
        <w:t xml:space="preserve">2.2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Document</w:t>
            </w:r>
          </w:p>
        </w:tc>
        <w:tc>
          <w:tcPr>
            <w:tcW w:type="dxa" w:w="69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Title / Relevance</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the CI identification process</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Identification Process (companion Level III process)</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the configuration audit process</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Audit Process, FCA/PCA (companion Level III process)</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SM-0001</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Safety Management System (SMS) Standard. CMP coordination interfaces include the SMS: hazard analyses feed CI identification and safety-critical change evaluation (see 5.2.2). Names the risk-acceptance authorities used by the CM floor gate (5.1.1).</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Floor Register</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discrete EIA-649-1A requirements obligated through the SMS pathway on all safety-significant product lines regardless of contract flow-down, with pre-anchored severities. Owned by the enterprise CM functional lead.</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Floor Operating Model</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operating mechanics of the floor: the tailoring gate, the three dispositions, the CM Floor Compliance Matrix, and the blameless transition. Implemented by 5.1.1 of this process.</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DI-SESS-80858</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Supplier’s Configuration Management Plan</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DI-MISC-80508</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Technical Report – Study/Services</w:t>
            </w:r>
          </w:p>
        </w:tc>
      </w:tr>
    </w:tbl>
    <w:p>
      <w:pPr>
        <w:spacing w:after="120" w:line="276"/>
        <w:rPr>
          <w:i/>
          <w:iCs/>
          <w:sz w:val="20"/>
          <w:szCs w:val="20"/>
        </w:rPr>
      </w:pPr>
      <w:r>
        <w:rPr>
          <w:rFonts w:ascii="Calibri" w:cs="Calibri" w:eastAsia="Calibri" w:hAnsi="Calibri"/>
          <w:i/>
          <w:iCs/>
          <w:sz w:val="20"/>
          <w:szCs w:val="20"/>
        </w:rPr>
        <w:t xml:space="preserve">DIDs apply only where cited on contract via CDRL. Verify current DID revisions in the ASSIST database before citing.</w:t>
      </w:r>
    </w:p>
    <w:p>
      <w:pPr>
        <w:pStyle w:val="Heading1"/>
        <w:spacing w:after="160" w:before="320"/>
      </w:pPr>
      <w:r>
        <w:rPr>
          <w:rFonts w:ascii="Calibri" w:cs="Calibri" w:eastAsia="Calibri" w:hAnsi="Calibri"/>
        </w:rPr>
        <w:t xml:space="preserve">3. Definitions and Acronyms</w:t>
      </w:r>
    </w:p>
    <w:p>
      <w:pPr>
        <w:pStyle w:val="Heading2"/>
        <w:spacing w:after="120" w:before="260"/>
      </w:pPr>
      <w:r>
        <w:rPr>
          <w:rFonts w:ascii="Calibri" w:cs="Calibri" w:eastAsia="Calibri" w:hAnsi="Calibri"/>
        </w:rPr>
        <w:t xml:space="preserve">3.1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Term</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Definition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Planning and Management</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CM function that plans, establishes, and manages a repeatable CM process across all five CM functions, documented in a CMP, with continuous improvement through all life cycle phases.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Plan (CMP)</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document describing the processes, methods, and procedures used to manage the functional and physical characteristics of assigned CIs for the life of the contract, including the CM performance of sub-tier suppliers. Submitted to the Acquirer for review and approval.</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Organizational Planning</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comprehensive set of standard CM practices and procedures applying to the entire organization, applied to the extent necessary to all programs.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Programmatic Planning</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practices and procedures tailored from the organizational set and applied to a specific program, project, or product.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Tailoring</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Adjusting the application of CM to be appropriate to the product’s requirements, complexity, and life cycle environment. For DIDs, tailoring means strictly the removal of inapplicable parts cited in CDRL Block 16.</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Performance Measurement</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Establishment and maintenance of metrics assessing the value and effectiveness of CM processes, used for continuous improvement and made available to the Acquirer.</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Floor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set of EIA-649-1A requirements, listed in the CM Floor Register, that prevent, mitigate, or serve as barriers to severe safety events. Floor items are performed on all safety-significant product lines regardless of contract flow-down, replaced by a validated documented equivalent control, or formally risk-accepted at the SM-0001 authority matching the pre-anchored severity. They are never tailored out silently.</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Floor Compliance Matrix</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per-program instantiation of the CM Floor Register: one row per floor item recording its disposition (Performed / Equivalent control / Risk-accepted), evidence or risk-acceptance reference, health check, and sign-off. The auditable record that every floor item was consciously dispositioned.</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Pre-Anchored Severity</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severity assigned to each floor item by the barrier safety case and recorded in the register. For floor items, severity is looked up, not re-rated at tailoring — removing the incentive to score a barrier’s absence low to avoid elevation.</w:t>
            </w:r>
          </w:p>
        </w:tc>
      </w:tr>
    </w:tbl>
    <w:p>
      <w:pPr>
        <w:pStyle w:val="Heading2"/>
        <w:spacing w:after="120" w:before="260"/>
      </w:pPr>
      <w:r>
        <w:rPr>
          <w:rFonts w:ascii="Calibri" w:cs="Calibri" w:eastAsia="Calibri" w:hAnsi="Calibri"/>
        </w:rPr>
        <w:t xml:space="preserve">3.2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Acronym</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Meaning</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CCB</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Control Board</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CDRL</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Contract Data Requirements List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CMP</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Plan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CSA</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Status Accounting</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DID</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Data Item Description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Integrated Master Schedule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OSP / SOP</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Organizational Standard Process / Standard Operating Procedure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PDM / PLM</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Product Data Management / Product Lifecycle Management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RFV / ECP</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Request for Variance / Engineering Change Proposal</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SMS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Safety Management System</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SOW</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Statement of Work</w:t>
            </w:r>
          </w:p>
        </w:tc>
      </w:tr>
    </w:tbl>
    <w:p>
      <w:pPr>
        <w:pStyle w:val="Heading1"/>
        <w:spacing w:after="160" w:before="320"/>
      </w:pPr>
      <w:r>
        <w:rPr>
          <w:rFonts w:ascii="Calibri" w:cs="Calibri" w:eastAsia="Calibri" w:hAnsi="Calibri"/>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Role</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Responsibilities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Manager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Owns this process and the program CMP. Performs CM planning, defines the CM organization, negotiates resources, submits the CMP for Acquirer approval, establishes metrics and reporting, schedules assessments, maintains the CMP through the life cycle.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Team</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Executes CM functions per the CMP and Level IV procedures. Collects performance data. Identifies process problems and improvement opportunities.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Program Management</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resources per the CMP. Approves the CM organization and level of effort. Resolves cross-functional CM interface issues.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Engineering / Logistics / Quality / Safety / Contracts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Execute CM-related responsibilities per the CMP; participate in CCBs; provide inputs to CM planning (design environment, supportability strategy, quality system interfaces, SMS interfaces per SM-0001, contract requirements and CDRLs).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Program CM Engineer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Runs the CM floor gate (5.1.1) at tailoring and on CM-plan revisions; populates and maintains the program CM Floor Compliance Matrix; performs and sustains floor items.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 Safety Assurance (independent)</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Independent of the program bearing the elevation. Validates pre-anchored severities; evaluates proposed equivalent controls against the hazard controlled; monitors barrier health and the spread of dispositions across programs.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Risk-Acceptance Authority</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Signs risk acceptances for omitted floor items at the level SM-0001 names for the pre-anchored severity: VP for severe, CEO for catastrophic.</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Enterprise CM Functional Lead</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Owns the CM Floor Register and operating model; runs the baseline sweep and blameless transition; owns the enterprise-standard measure definitions and the work type taxonomy and requirement matrix used for supply chain flowdown.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Sub-tier Suppliers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Comply with or suitably tailor the CM requirements flowed down; prepare sub-supplier CM plans where required; provide product data including part and serial numbers with traceability to next higher assemblies.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Acquirer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Tailors EIA-649-1A on contract; reviews and approves the Supplier CMP; may audit and verify Supplier and sub-supplier CM processes; receives CM performance data.</w:t>
            </w:r>
          </w:p>
        </w:tc>
      </w:tr>
    </w:tbl>
    <w:p>
      <w:pPr>
        <w:pStyle w:val="Heading1"/>
        <w:spacing w:after="160" w:before="320"/>
      </w:pPr>
      <w:r>
        <w:rPr>
          <w:rFonts w:ascii="Calibri" w:cs="Calibri" w:eastAsia="Calibri" w:hAnsi="Calibri"/>
        </w:rPr>
        <w:t xml:space="preserve">5. Process</w:t>
      </w:r>
    </w:p>
    <w:p>
      <w:pPr>
        <w:spacing w:after="120" w:line="276"/>
      </w:pPr>
      <w:r>
        <w:rPr>
          <w:rFonts w:ascii="Calibri" w:cs="Calibri" w:eastAsia="Calibri" w:hAnsi="Calibri"/>
          <w:sz w:val="22"/>
          <w:szCs w:val="22"/>
        </w:rPr>
        <w:t xml:space="preserve">CM implementation requires balanced and continuous application of all five CM functions throughout the product life cycle (Principle CM-1). The activities below establish and sustain that implementation.</w:t>
      </w:r>
    </w:p>
    <w:p>
      <w:pPr>
        <w:pStyle w:val="Heading2"/>
        <w:spacing w:after="120" w:before="260"/>
      </w:pPr>
      <w:r>
        <w:rPr>
          <w:rFonts w:ascii="Calibri" w:cs="Calibri" w:eastAsia="Calibri" w:hAnsi="Calibri"/>
        </w:rPr>
        <w:t xml:space="preserve">5.1 Establish Context and Tailoring Basis</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Contract and SOW; product requirements, life cycle environment, and complexity characterization; EIA-649-1A requirement set; CM Floor Register; SM-0001 risk-acceptance authority definitions.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Documented tailoring rationale (Annex A worksheet where required); CM Floor Compliance Matrix with a disposition, evidence or risk-acceptance reference, and health check per floor item.</w:t>
      </w:r>
    </w:p>
    <w:p>
      <w:pPr>
        <w:spacing w:after="120" w:line="276"/>
      </w:pPr>
      <w:r>
        <w:rPr>
          <w:rFonts w:ascii="Calibri" w:cs="Calibri" w:eastAsia="Calibri" w:hAnsi="Calibri"/>
          <w:sz w:val="22"/>
          <w:szCs w:val="22"/>
        </w:rPr>
        <w:t xml:space="preserve">Before drafting or tailoring the CMP, characterize the product and its environment (Principle CMP-1). Tailor CM application to be appropriate to the product’s requirements, complexity, and life cycle environment — sufficient control without over-burden. Consider at minimum:</w:t>
      </w:r>
    </w:p>
    <w:p>
      <w:pPr>
        <w:pStyle w:val="ListParagraph"/>
        <w:numPr>
          <w:ilvl w:val="0"/>
          <w:numId w:val="2"/>
        </w:numPr>
        <w:spacing w:after="80" w:line="276"/>
      </w:pPr>
      <w:r>
        <w:rPr>
          <w:rFonts w:ascii="Calibri" w:cs="Calibri" w:eastAsia="Calibri" w:hAnsi="Calibri"/>
          <w:sz w:val="22"/>
          <w:szCs w:val="22"/>
        </w:rPr>
        <w:t xml:space="preserve">Product requirements: performance, operations, maintenance/support, international and government regulatory, industry-specific, applicable legal and process standards.</w:t>
      </w:r>
    </w:p>
    <w:p>
      <w:pPr>
        <w:pStyle w:val="ListParagraph"/>
        <w:numPr>
          <w:ilvl w:val="0"/>
          <w:numId w:val="2"/>
        </w:numPr>
        <w:spacing w:after="80" w:line="276"/>
      </w:pPr>
      <w:r>
        <w:rPr>
          <w:rFonts w:ascii="Calibri" w:cs="Calibri" w:eastAsia="Calibri" w:hAnsi="Calibri"/>
          <w:sz w:val="22"/>
          <w:szCs w:val="22"/>
        </w:rPr>
        <w:t xml:space="preserve">Life cycle environment: phases on contract, expected product life, geographic markets, operational extremes, operating system/runtime and external dependencies (software), operation and repair facilities, production capacity/rate/volume.</w:t>
      </w:r>
    </w:p>
    <w:p>
      <w:pPr>
        <w:pStyle w:val="ListParagraph"/>
        <w:numPr>
          <w:ilvl w:val="0"/>
          <w:numId w:val="2"/>
        </w:numPr>
        <w:spacing w:after="80" w:line="276"/>
      </w:pPr>
      <w:r>
        <w:rPr>
          <w:rFonts w:ascii="Calibri" w:cs="Calibri" w:eastAsia="Calibri" w:hAnsi="Calibri"/>
          <w:sz w:val="22"/>
          <w:szCs w:val="22"/>
        </w:rPr>
        <w:t xml:space="preserve">Complexity: integration with other products, number of suppliers and required capabilities, number of parts and assemblies, lines of source code, number and complexity of interfaces, multiple programming languages.</w:t>
      </w:r>
    </w:p>
    <w:p>
      <w:pPr>
        <w:spacing w:after="120" w:line="276"/>
      </w:pPr>
      <w:r>
        <w:rPr>
          <w:rFonts w:ascii="Calibri" w:cs="Calibri" w:eastAsia="Calibri" w:hAnsi="Calibri"/>
          <w:sz w:val="22"/>
          <w:szCs w:val="22"/>
        </w:rPr>
        <w:t xml:space="preserve">Record the tailoring rationale. Contract tailoring of EIA-649-1A is captured using the Annex A tailoring worksheet convention where the contract requires it.</w:t>
      </w:r>
    </w:p>
    <w:p>
      <w:pPr>
        <w:pStyle w:val="Heading3"/>
        <w:spacing w:after="100" w:before="200"/>
      </w:pPr>
      <w:r>
        <w:rPr>
          <w:rFonts w:ascii="Calibri" w:cs="Calibri" w:eastAsia="Calibri" w:hAnsi="Calibri"/>
        </w:rPr>
        <w:t xml:space="preserve">5.1.1 CM Floor Gate</w:t>
      </w:r>
    </w:p>
    <w:p>
      <w:pPr>
        <w:spacing w:after="120" w:line="276"/>
      </w:pPr>
      <w:r>
        <w:rPr>
          <w:rFonts w:ascii="Calibri" w:cs="Calibri" w:eastAsia="Calibri" w:hAnsi="Calibri"/>
          <w:sz w:val="22"/>
          <w:szCs w:val="22"/>
        </w:rPr>
        <w:t xml:space="preserve">The CM floor enters at exactly this point — CM planning and SOW/contract tailoring, where the program decides which CM requirements it will perform — and re-runs at every CM-plan revision. For each EIA-649-1A requirement the program proposes not to perform:</w:t>
      </w:r>
    </w:p>
    <w:p>
      <w:pPr>
        <w:pStyle w:val="ListParagraph"/>
        <w:numPr>
          <w:ilvl w:val="0"/>
          <w:numId w:val="3"/>
        </w:numPr>
        <w:spacing w:after="80" w:line="276"/>
      </w:pPr>
      <w:r>
        <w:rPr>
          <w:rFonts w:ascii="Calibri" w:cs="Calibri" w:eastAsia="Calibri" w:hAnsi="Calibri"/>
          <w:sz w:val="22"/>
          <w:szCs w:val="22"/>
        </w:rPr>
        <w:t xml:space="preserve">Floor check. Is the requirement on the CM Floor Register? If no, normal tailoring applies and the program proceeds at its discretion. If yes, it cannot be dropped silently — continue.</w:t>
      </w:r>
    </w:p>
    <w:p>
      <w:pPr>
        <w:pStyle w:val="ListParagraph"/>
        <w:numPr>
          <w:ilvl w:val="0"/>
          <w:numId w:val="3"/>
        </w:numPr>
        <w:spacing w:after="80" w:line="276"/>
      </w:pPr>
      <w:r>
        <w:rPr>
          <w:rFonts w:ascii="Calibri" w:cs="Calibri" w:eastAsia="Calibri" w:hAnsi="Calibri"/>
          <w:sz w:val="22"/>
          <w:szCs w:val="22"/>
        </w:rPr>
        <w:t xml:space="preserve">Choose a door. (a) Perform: record “Performed” in the program CM Floor Compliance Matrix with the CM-plan reference. (b) Documented equivalent control: describe the alternative; independent CM/Safety Assurance validates whether it achieves the same hazard control — if yes, record “Equivalent control” with the evidence reference; if no, proceed to (c). (c) Risk acceptance: severity is taken from the register (pre-anchored, not re-rated); independent safety validates; the decision routes to the SM-0001 authority matching the severity (VP severe, CEO catastrophic) and is recorded with the risk-acceptance reference.</w:t>
      </w:r>
    </w:p>
    <w:p>
      <w:pPr>
        <w:pStyle w:val="ListParagraph"/>
        <w:numPr>
          <w:ilvl w:val="0"/>
          <w:numId w:val="3"/>
        </w:numPr>
        <w:spacing w:after="80" w:line="276"/>
      </w:pPr>
      <w:r>
        <w:rPr>
          <w:rFonts w:ascii="Calibri" w:cs="Calibri" w:eastAsia="Calibri" w:hAnsi="Calibri"/>
          <w:sz w:val="22"/>
          <w:szCs w:val="22"/>
        </w:rPr>
        <w:t xml:space="preserve">Set the health check. For performed and equivalent items, record how the barrier’s continued effectiveness will be monitored over the program life cycle. A floor barrier must be performed and kept effective, not just declared present; a degraded barrier is a finding, not a pass.</w:t>
      </w:r>
    </w:p>
    <w:p>
      <w:pPr>
        <w:spacing w:after="120" w:line="276"/>
      </w:pPr>
      <w:r>
        <w:rPr>
          <w:rFonts w:ascii="Calibri" w:cs="Calibri" w:eastAsia="Calibri" w:hAnsi="Calibri"/>
          <w:sz w:val="22"/>
          <w:szCs w:val="22"/>
        </w:rPr>
        <w:t xml:space="preserve">There is no fourth door. The three dispositions are exhaustive; silent omission is the failure mode the gate exists to close. Because risk acceptance is visible, routes upward, and cannot be lowballed, the expected default for most floor items is “perform.”</w:t>
      </w:r>
    </w:p>
    <w:p>
      <w:pPr>
        <w:spacing w:after="120" w:line="276"/>
      </w:pPr>
      <w:r>
        <w:t>Record form. The compliance matrix is maintained as structured, queryable records — one record per floor requirement carrying its disposition, evidence or risk-acceptance reference, health check method and schedule, last-performed and next-due dates, and sign-off. A matrix maintained only as a table inside a document cannot be queried, and the floor measures cannot be computed from it. Floor status is measured and reported per the performance measurement activity of this process.</w:t>
      </w:r>
    </w:p>
    <w:p>
      <w:pPr>
        <w:spacing w:after="120" w:line="276"/>
      </w:pPr>
      <w:r>
        <w:rPr>
          <w:rFonts w:ascii="Calibri" w:cs="Calibri" w:eastAsia="Calibri" w:hAnsi="Calibri"/>
          <w:sz w:val="22"/>
          <w:szCs w:val="22"/>
        </w:rPr>
        <w:t xml:space="preserve">Transition. The floor applies going forward (blameless transition): a baseline sweep assesses current programs against the register, recording each item as performed, equivalent, or gap; inherited gaps are remediated on a defined schedule with no fault attached; the gate applies to all new tailoring decisions and CM-plan revisions thereafter.</w:t>
      </w:r>
    </w:p>
    <w:p>
      <w:pPr>
        <w:pStyle w:val="Heading2"/>
        <w:spacing w:after="120" w:before="260"/>
      </w:pPr>
      <w:r>
        <w:rPr>
          <w:rFonts w:ascii="Calibri" w:cs="Calibri" w:eastAsia="Calibri" w:hAnsi="Calibri"/>
        </w:rPr>
        <w:t xml:space="preserve">5.2 Develop and Document the CMP</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Tailoring basis and floor dispositions (5.1); organizational standard CM processes (Level III documents); coordination interface definitions including the SMS per SM-0001; contract and CDRL requirements.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Acquirer-approved program CMP (DI-SESS-80858 where cited) documenting planning factors (a)–(k) and all five CM functions; documented coordination interfaces.</w:t>
      </w:r>
    </w:p>
    <w:p>
      <w:pPr>
        <w:pStyle w:val="Heading3"/>
        <w:spacing w:after="100" w:before="200"/>
      </w:pPr>
      <w:r>
        <w:rPr>
          <w:rFonts w:ascii="Calibri" w:cs="Calibri" w:eastAsia="Calibri" w:hAnsi="Calibri"/>
        </w:rPr>
        <w:t xml:space="preserve">5.2.1 Required Planning Factors</w:t>
      </w:r>
    </w:p>
    <w:p>
      <w:pPr>
        <w:spacing w:after="120" w:line="276"/>
      </w:pPr>
      <w:r>
        <w:rPr>
          <w:rFonts w:ascii="Calibri" w:cs="Calibri" w:eastAsia="Calibri" w:hAnsi="Calibri"/>
          <w:sz w:val="22"/>
          <w:szCs w:val="22"/>
        </w:rPr>
        <w:t xml:space="preserve">Perform CM planning to define the following (EIA-649-1A §3.1(1)); the CMP documents each:</w:t>
      </w:r>
    </w:p>
    <w:p>
      <w:pPr>
        <w:pStyle w:val="ListParagraph"/>
        <w:numPr>
          <w:ilvl w:val="0"/>
          <w:numId w:val="4"/>
        </w:numPr>
        <w:spacing w:after="80" w:line="276"/>
      </w:pPr>
      <w:r>
        <w:rPr>
          <w:rFonts w:ascii="Calibri" w:cs="Calibri" w:eastAsia="Calibri" w:hAnsi="Calibri"/>
          <w:sz w:val="22"/>
          <w:szCs w:val="22"/>
        </w:rPr>
        <w:t xml:space="preserve">Objectives of the CM program and of each applicable CM element.</w:t>
      </w:r>
    </w:p>
    <w:p>
      <w:pPr>
        <w:pStyle w:val="ListParagraph"/>
        <w:numPr>
          <w:ilvl w:val="0"/>
          <w:numId w:val="4"/>
        </w:numPr>
        <w:spacing w:after="80" w:line="276"/>
      </w:pPr>
      <w:r>
        <w:rPr>
          <w:rFonts w:ascii="Calibri" w:cs="Calibri" w:eastAsia="Calibri" w:hAnsi="Calibri"/>
          <w:sz w:val="22"/>
          <w:szCs w:val="22"/>
        </w:rPr>
        <w:t xml:space="preserve">Appropriate level of CM activity for each CM function throughout the product’s life cycle.</w:t>
      </w:r>
    </w:p>
    <w:p>
      <w:pPr>
        <w:pStyle w:val="ListParagraph"/>
        <w:numPr>
          <w:ilvl w:val="0"/>
          <w:numId w:val="4"/>
        </w:numPr>
        <w:spacing w:after="80" w:line="276"/>
      </w:pPr>
      <w:r>
        <w:rPr>
          <w:rFonts w:ascii="Calibri" w:cs="Calibri" w:eastAsia="Calibri" w:hAnsi="Calibri"/>
          <w:sz w:val="22"/>
          <w:szCs w:val="22"/>
        </w:rPr>
        <w:t xml:space="preserve">CM organization and organizational relationships.</w:t>
      </w:r>
    </w:p>
    <w:p>
      <w:pPr>
        <w:pStyle w:val="ListParagraph"/>
        <w:numPr>
          <w:ilvl w:val="0"/>
          <w:numId w:val="4"/>
        </w:numPr>
        <w:spacing w:after="80" w:line="276"/>
      </w:pPr>
      <w:r>
        <w:rPr>
          <w:rFonts w:ascii="Calibri" w:cs="Calibri" w:eastAsia="Calibri" w:hAnsi="Calibri"/>
          <w:sz w:val="22"/>
          <w:szCs w:val="22"/>
        </w:rPr>
        <w:t xml:space="preserve">Responsibilities and authority of CM professionals.</w:t>
      </w:r>
    </w:p>
    <w:p>
      <w:pPr>
        <w:pStyle w:val="ListParagraph"/>
        <w:numPr>
          <w:ilvl w:val="0"/>
          <w:numId w:val="4"/>
        </w:numPr>
        <w:spacing w:after="80" w:line="276"/>
      </w:pPr>
      <w:r>
        <w:rPr>
          <w:rFonts w:ascii="Calibri" w:cs="Calibri" w:eastAsia="Calibri" w:hAnsi="Calibri"/>
          <w:sz w:val="22"/>
          <w:szCs w:val="22"/>
        </w:rPr>
        <w:t xml:space="preserve">CM resources to be used: tools, techniques, training, and methodologies.</w:t>
      </w:r>
    </w:p>
    <w:p>
      <w:pPr>
        <w:pStyle w:val="ListParagraph"/>
        <w:numPr>
          <w:ilvl w:val="0"/>
          <w:numId w:val="4"/>
        </w:numPr>
        <w:spacing w:after="80" w:line="276"/>
      </w:pPr>
      <w:r>
        <w:rPr>
          <w:rFonts w:ascii="Calibri" w:cs="Calibri" w:eastAsia="Calibri" w:hAnsi="Calibri"/>
          <w:sz w:val="22"/>
          <w:szCs w:val="22"/>
        </w:rPr>
        <w:t xml:space="preserve">Coordination activities with internal and external agencies (Acquirer, other Suppliers, other Government agencies, foreign governments).</w:t>
      </w:r>
    </w:p>
    <w:p>
      <w:pPr>
        <w:pStyle w:val="ListParagraph"/>
        <w:numPr>
          <w:ilvl w:val="0"/>
          <w:numId w:val="4"/>
        </w:numPr>
        <w:spacing w:after="80" w:line="276"/>
      </w:pPr>
      <w:r>
        <w:rPr>
          <w:rFonts w:ascii="Calibri" w:cs="Calibri" w:eastAsia="Calibri" w:hAnsi="Calibri"/>
          <w:sz w:val="22"/>
          <w:szCs w:val="22"/>
        </w:rPr>
        <w:t xml:space="preserve">Functions, responsibility, and authority of CCBs.</w:t>
      </w:r>
    </w:p>
    <w:p>
      <w:pPr>
        <w:pStyle w:val="ListParagraph"/>
        <w:numPr>
          <w:ilvl w:val="0"/>
          <w:numId w:val="4"/>
        </w:numPr>
        <w:spacing w:after="80" w:line="276"/>
      </w:pPr>
      <w:r>
        <w:rPr>
          <w:rFonts w:ascii="Calibri" w:cs="Calibri" w:eastAsia="Calibri" w:hAnsi="Calibri"/>
          <w:sz w:val="22"/>
          <w:szCs w:val="22"/>
        </w:rPr>
        <w:t xml:space="preserve">A release process for product configuration documentation.</w:t>
      </w:r>
    </w:p>
    <w:p>
      <w:pPr>
        <w:pStyle w:val="ListParagraph"/>
        <w:numPr>
          <w:ilvl w:val="0"/>
          <w:numId w:val="4"/>
        </w:numPr>
        <w:spacing w:after="80" w:line="276"/>
      </w:pPr>
      <w:r>
        <w:rPr>
          <w:rFonts w:ascii="Calibri" w:cs="Calibri" w:eastAsia="Calibri" w:hAnsi="Calibri"/>
          <w:sz w:val="22"/>
          <w:szCs w:val="22"/>
        </w:rPr>
        <w:t xml:space="preserve">Methods used to determine the effectiveness of sub-supplier/sub-vendor CM processes, including actions when those processes are determined ineffective.</w:t>
      </w:r>
    </w:p>
    <w:p>
      <w:pPr>
        <w:pStyle w:val="ListParagraph"/>
        <w:numPr>
          <w:ilvl w:val="0"/>
          <w:numId w:val="4"/>
        </w:numPr>
        <w:spacing w:after="80" w:line="276"/>
      </w:pPr>
      <w:r>
        <w:rPr>
          <w:rFonts w:ascii="Calibri" w:cs="Calibri" w:eastAsia="Calibri" w:hAnsi="Calibri"/>
          <w:sz w:val="22"/>
          <w:szCs w:val="22"/>
        </w:rPr>
        <w:t xml:space="preserve">CSA activities for creating, editing, reviewing, approving, releasing, publishing, and distributing product configuration documentation and configuration change documentation.</w:t>
      </w:r>
    </w:p>
    <w:p>
      <w:pPr>
        <w:pStyle w:val="ListParagraph"/>
        <w:numPr>
          <w:ilvl w:val="0"/>
          <w:numId w:val="4"/>
        </w:numPr>
        <w:spacing w:after="80" w:line="276"/>
      </w:pPr>
      <w:r>
        <w:rPr>
          <w:rFonts w:ascii="Calibri" w:cs="Calibri" w:eastAsia="Calibri" w:hAnsi="Calibri"/>
          <w:sz w:val="22"/>
          <w:szCs w:val="22"/>
        </w:rPr>
        <w:t xml:space="preserve">Identification and labeling structure for CIs.</w:t>
      </w:r>
    </w:p>
    <w:p>
      <w:pPr>
        <w:spacing w:after="120" w:line="276"/>
      </w:pPr>
      <w:r>
        <w:rPr>
          <w:rFonts w:ascii="Calibri" w:cs="Calibri" w:eastAsia="Calibri" w:hAnsi="Calibri"/>
          <w:sz w:val="22"/>
          <w:szCs w:val="22"/>
        </w:rPr>
        <w:t xml:space="preserve">The CMP addresses all five CM functions (planning and management, identification, change management, status accounting, verification and audit) and required processes, procedures, tools, and training material, and is available for review at each acquisition milestone. The GEIA-HB-649A Appendix F template may be used as the CMP outline.</w:t>
      </w:r>
    </w:p>
    <w:p>
      <w:pPr>
        <w:pStyle w:val="Heading3"/>
        <w:spacing w:after="100" w:before="200"/>
      </w:pPr>
      <w:r>
        <w:rPr>
          <w:rFonts w:ascii="Calibri" w:cs="Calibri" w:eastAsia="Calibri" w:hAnsi="Calibri"/>
        </w:rPr>
        <w:t xml:space="preserve">5.2.2 Coordination Interfaces</w:t>
      </w:r>
    </w:p>
    <w:p>
      <w:pPr>
        <w:spacing w:after="120" w:line="276"/>
      </w:pPr>
      <w:r>
        <w:rPr>
          <w:rFonts w:ascii="Calibri" w:cs="Calibri" w:eastAsia="Calibri" w:hAnsi="Calibri"/>
          <w:sz w:val="22"/>
          <w:szCs w:val="22"/>
        </w:rPr>
        <w:t>Document coordination with: the Acquirer (submittals, concurrence points, CCB interfaces); sub-tier suppliers (5.8); and internal functions, including the SMS per SM-0001 — the CMP identifies how hazard analyses and safety-critical item designations flow into CI identification the CI identification process and how safety-critical changes receive System Safety review in change management.</w:t>
      </w:r>
    </w:p>
    <w:p>
      <w:pPr>
        <w:pStyle w:val="Heading3"/>
        <w:spacing w:after="100" w:before="200"/>
      </w:pPr>
      <w:r>
        <w:rPr>
          <w:rFonts w:ascii="Calibri" w:cs="Calibri" w:eastAsia="Calibri" w:hAnsi="Calibri"/>
        </w:rPr>
        <w:t xml:space="preserve">5.2.3 Submittal and Approval</w:t>
      </w:r>
    </w:p>
    <w:p>
      <w:pPr>
        <w:spacing w:after="120" w:line="276"/>
      </w:pPr>
      <w:r>
        <w:rPr>
          <w:rFonts w:ascii="Calibri" w:cs="Calibri" w:eastAsia="Calibri" w:hAnsi="Calibri"/>
          <w:sz w:val="22"/>
          <w:szCs w:val="22"/>
        </w:rPr>
        <w:t xml:space="preserve">Submit the CMP to the Acquirer for review and approval (DI-SESS-80858 where cited). The CMP covers the life of the contract and includes the CM performance of sub-tier suppliers. The CMP may be a standalone document or included in other program planning documents, provided all required content is present.</w:t>
      </w:r>
    </w:p>
    <w:p>
      <w:pPr>
        <w:pStyle w:val="Heading2"/>
        <w:spacing w:after="120" w:before="260"/>
      </w:pPr>
      <w:r>
        <w:rPr>
          <w:rFonts w:ascii="Calibri" w:cs="Calibri" w:eastAsia="Calibri" w:hAnsi="Calibri"/>
        </w:rPr>
        <w:t xml:space="preserve">5.3 Resources and Responsibilities</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CMP-defined skills and level of effort (5.2); program phase and schedule; tool environment.</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Resourced CM organization with assigned responsibilities, authority, and accountability; personnel, facility, information-system, and tool allocations; phase-driven resource reassessments.</w:t>
      </w:r>
    </w:p>
    <w:p>
      <w:pPr>
        <w:spacing w:after="120" w:line="276"/>
      </w:pPr>
      <w:r>
        <w:rPr>
          <w:rFonts w:ascii="Calibri" w:cs="Calibri" w:eastAsia="Calibri" w:hAnsi="Calibri"/>
          <w:sz w:val="22"/>
          <w:szCs w:val="22"/>
        </w:rPr>
        <w:t xml:space="preserve">Identify and apply resources and assign responsibilities to perform CM activities (Principle CMP-3). The CMP identifies the skills and level of effort required and clearly defines each CM role’s responsibilities, authority, and accountability. Roles may be consolidated in one individual (small/simple products) or distributed across many (large/complex products). Reassess resource levels at each life cycle phase and adjust plans. Resource categories:</w:t>
      </w:r>
    </w:p>
    <w:p>
      <w:pPr>
        <w:pStyle w:val="ListParagraph"/>
        <w:numPr>
          <w:ilvl w:val="0"/>
          <w:numId w:val="2"/>
        </w:numPr>
        <w:spacing w:after="80" w:line="276"/>
      </w:pPr>
      <w:r>
        <w:rPr>
          <w:rFonts w:ascii="Calibri" w:cs="Calibri" w:eastAsia="Calibri" w:hAnsi="Calibri"/>
          <w:sz w:val="22"/>
          <w:szCs w:val="22"/>
        </w:rPr>
        <w:t xml:space="preserve">Personnel: full-time/part-time counts or man-years by CM skill (e.g., library administration, document identifier control, change coordination, change board administration, CM database management, metrics review).</w:t>
      </w:r>
    </w:p>
    <w:p>
      <w:pPr>
        <w:pStyle w:val="ListParagraph"/>
        <w:numPr>
          <w:ilvl w:val="0"/>
          <w:numId w:val="2"/>
        </w:numPr>
        <w:spacing w:after="80" w:line="276"/>
      </w:pPr>
      <w:r>
        <w:rPr>
          <w:rFonts w:ascii="Calibri" w:cs="Calibri" w:eastAsia="Calibri" w:hAnsi="Calibri"/>
          <w:sz w:val="22"/>
          <w:szCs w:val="22"/>
        </w:rPr>
        <w:t xml:space="preserve">Facilities: office and meeting space, records storage, computing and communications equipment.</w:t>
      </w:r>
    </w:p>
    <w:p>
      <w:pPr>
        <w:pStyle w:val="ListParagraph"/>
        <w:numPr>
          <w:ilvl w:val="0"/>
          <w:numId w:val="2"/>
        </w:numPr>
        <w:spacing w:after="80" w:line="276"/>
      </w:pPr>
      <w:r>
        <w:rPr>
          <w:rFonts w:ascii="Calibri" w:cs="Calibri" w:eastAsia="Calibri" w:hAnsi="Calibri"/>
          <w:sz w:val="22"/>
          <w:szCs w:val="22"/>
        </w:rPr>
        <w:t xml:space="preserve">Information systems: file servers sized to the user base, online access, backup, secure remote storage.</w:t>
      </w:r>
    </w:p>
    <w:p>
      <w:pPr>
        <w:pStyle w:val="ListParagraph"/>
        <w:numPr>
          <w:ilvl w:val="0"/>
          <w:numId w:val="2"/>
        </w:numPr>
        <w:spacing w:after="80" w:line="276"/>
      </w:pPr>
      <w:r>
        <w:rPr>
          <w:rFonts w:ascii="Calibri" w:cs="Calibri" w:eastAsia="Calibri" w:hAnsi="Calibri"/>
          <w:sz w:val="22"/>
          <w:szCs w:val="22"/>
        </w:rPr>
        <w:t xml:space="preserve">CM tools: PDM/PLM applications and CSA tools. CM participates in tool selection or tailoring so the tool serves the data collection process rather than driving it.</w:t>
      </w:r>
    </w:p>
    <w:p>
      <w:pPr>
        <w:pStyle w:val="Heading2"/>
        <w:spacing w:after="120" w:before="260"/>
      </w:pPr>
      <w:r>
        <w:rPr>
          <w:rFonts w:ascii="Calibri" w:cs="Calibri" w:eastAsia="Calibri" w:hAnsi="Calibri"/>
        </w:rPr>
        <w:t xml:space="preserve">5.4 CM Procedures</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Level I policy; program CMP (5.2).</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Level III process documents (one or more per CM function) and Level IV work procedures, maintained mutually consistent.</w:t>
      </w:r>
    </w:p>
    <w:p>
      <w:pPr>
        <w:spacing w:after="120" w:line="276"/>
      </w:pPr>
      <w:r>
        <w:rPr>
          <w:rFonts w:ascii="Calibri" w:cs="Calibri" w:eastAsia="Calibri" w:hAnsi="Calibri"/>
          <w:sz w:val="22"/>
          <w:szCs w:val="22"/>
        </w:rPr>
        <w:t xml:space="preserve">Document how each CM function is implemented (Principle CMP-5) using the four-level hierarchy: Level I policy/directives; Level II the CMP defining tailored capabilities for each of the five functions; Level III process documents (at least one per CM function — this document and its companions); Level IV work procedures instructing practitioners in the specific steps of each process segment. Keep the levels consistent: a change at any level is evaluated for impact at the levels below.</w:t>
      </w:r>
    </w:p>
    <w:p>
      <w:pPr>
        <w:spacing w:after="120" w:line="276"/>
      </w:pPr>
      <w:r>
        <w:t>Supporting artifacts complement the hierarchy without replacing it: decision guides carrying reasoning, worked cases, and adjudicated examples; decision aids and interactive tools; registers, logs, and templates that carry required records; and training curricula. A supporting artifact aids execution of a process requirement and never substitutes for one — where a guide and its parent process differ, the process governs. Supporting artifacts are version-controlled with their parent process and re-validated whenever it changes.</w:t>
      </w:r>
    </w:p>
    <w:p>
      <w:pPr>
        <w:spacing w:after="120" w:line="276"/>
      </w:pPr>
      <w:r>
        <w:t>State process coverage honestly. Where a CM function is not yet covered by its own process document, the CMP identifies the interim mechanism by which that function’s requirements — including any safety-floor requirements within it — are performed and dispositioned, together with the planned date for the process document. A CMP that implies process coverage the organization does not have converts a capability gap into a documented nonconformance.</w:t>
      </w:r>
    </w:p>
    <w:p>
      <w:pPr>
        <w:pStyle w:val="Heading2"/>
        <w:spacing w:after="120" w:before="260"/>
      </w:pPr>
      <w:r>
        <w:rPr>
          <w:rFonts w:ascii="Calibri" w:cs="Calibri" w:eastAsia="Calibri" w:hAnsi="Calibri"/>
        </w:rPr>
        <w:t xml:space="preserve">5.5 CM Training</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Role assignments (5.3); procedure set (5.4); process and tool changes.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CM training plan; completed training records per individual; mentor assignments for new CM team members.</w:t>
      </w:r>
    </w:p>
    <w:p>
      <w:pPr>
        <w:spacing w:after="120" w:line="276"/>
      </w:pPr>
      <w:r>
        <w:rPr>
          <w:rFonts w:ascii="Calibri" w:cs="Calibri" w:eastAsia="Calibri" w:hAnsi="Calibri"/>
          <w:sz w:val="22"/>
          <w:szCs w:val="22"/>
        </w:rPr>
        <w:t xml:space="preserve">Provide CM training so individuals understand their responsibility, authority, accountability, and the procedures for performing CM (Principle CMP-6):</w:t>
      </w:r>
    </w:p>
    <w:p>
      <w:pPr>
        <w:pStyle w:val="ListParagraph"/>
        <w:numPr>
          <w:ilvl w:val="0"/>
          <w:numId w:val="2"/>
        </w:numPr>
        <w:spacing w:after="80" w:line="276"/>
      </w:pPr>
      <w:r>
        <w:rPr>
          <w:rFonts w:ascii="Calibri" w:cs="Calibri" w:eastAsia="Calibri" w:hAnsi="Calibri"/>
          <w:sz w:val="22"/>
          <w:szCs w:val="22"/>
        </w:rPr>
        <w:t xml:space="preserve">Train everyone with CM-related responsibilities, including suppliers as appropriate — not only the CM team.</w:t>
      </w:r>
    </w:p>
    <w:p>
      <w:pPr>
        <w:pStyle w:val="ListParagraph"/>
        <w:numPr>
          <w:ilvl w:val="0"/>
          <w:numId w:val="2"/>
        </w:numPr>
        <w:spacing w:after="80" w:line="276"/>
      </w:pPr>
      <w:r>
        <w:rPr>
          <w:rFonts w:ascii="Calibri" w:cs="Calibri" w:eastAsia="Calibri" w:hAnsi="Calibri"/>
          <w:sz w:val="22"/>
          <w:szCs w:val="22"/>
        </w:rPr>
        <w:t xml:space="preserve">Tailor depth to position, experience, and responsibility (e.g., overview for design/systems engineers; in-depth tool training for CSA database maintainers).</w:t>
      </w:r>
    </w:p>
    <w:p>
      <w:pPr>
        <w:pStyle w:val="ListParagraph"/>
        <w:numPr>
          <w:ilvl w:val="0"/>
          <w:numId w:val="2"/>
        </w:numPr>
        <w:spacing w:after="80" w:line="276"/>
      </w:pPr>
      <w:r>
        <w:rPr>
          <w:rFonts w:ascii="Calibri" w:cs="Calibri" w:eastAsia="Calibri" w:hAnsi="Calibri"/>
          <w:sz w:val="22"/>
          <w:szCs w:val="22"/>
        </w:rPr>
        <w:t xml:space="preserve">Address both assigned CM tasks and cross-training on interfaces with other functions.</w:t>
      </w:r>
    </w:p>
    <w:p>
      <w:pPr>
        <w:pStyle w:val="ListParagraph"/>
        <w:numPr>
          <w:ilvl w:val="0"/>
          <w:numId w:val="2"/>
        </w:numPr>
        <w:spacing w:after="80" w:line="276"/>
      </w:pPr>
      <w:r>
        <w:rPr>
          <w:rFonts w:ascii="Calibri" w:cs="Calibri" w:eastAsia="Calibri" w:hAnsi="Calibri"/>
          <w:sz w:val="22"/>
          <w:szCs w:val="22"/>
        </w:rPr>
        <w:t xml:space="preserve">Train continuously as processes change, skills evolve, and tools are introduced; assign an experienced mentor to each new CM team member.</w:t>
      </w:r>
    </w:p>
    <w:p>
      <w:pPr>
        <w:pStyle w:val="ListParagraph"/>
        <w:numPr>
          <w:ilvl w:val="0"/>
          <w:numId w:val="2"/>
        </w:numPr>
        <w:spacing w:after="80" w:line="276"/>
      </w:pPr>
      <w:r>
        <w:rPr>
          <w:rFonts w:ascii="Calibri" w:cs="Calibri" w:eastAsia="Calibri" w:hAnsi="Calibri"/>
          <w:sz w:val="22"/>
          <w:szCs w:val="22"/>
        </w:rPr>
        <w:t xml:space="preserve">Maintain a CM training plan and training records demonstrating that planned training occurred.</w:t>
      </w:r>
    </w:p>
    <w:p>
      <w:pPr>
        <w:pStyle w:val="Heading2"/>
        <w:spacing w:after="120" w:before="260"/>
      </w:pPr>
      <w:r>
        <w:rPr>
          <w:rFonts w:ascii="Calibri" w:cs="Calibri" w:eastAsia="Calibri" w:hAnsi="Calibri"/>
        </w:rPr>
        <w:t xml:space="preserve">5.6 CM Performance Measurement</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CM process data (change records, CSA, audit records); metric definitions in the CMP (Appendix B).</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Periodic CM performance reports made available to the Acquirer; trend analyses; corrective-action effectiveness verifications.</w:t>
      </w:r>
    </w:p>
    <w:p>
      <w:pPr>
        <w:spacing w:after="120" w:line="276"/>
      </w:pPr>
      <w:r>
        <w:rPr>
          <w:rFonts w:ascii="Calibri" w:cs="Calibri" w:eastAsia="Calibri" w:hAnsi="Calibri"/>
          <w:sz w:val="22"/>
          <w:szCs w:val="22"/>
        </w:rPr>
        <w:t xml:space="preserve">Establish and maintain CM performance and status measurements (Principle CMP-4). Include in the CMP a methodology for generating, measuring, and reporting CM performance data, and make the data available to the Acquirer (EIA-649-1A §3.1.1). Suggested metrics are listed in Appendix B; select and add metrics appropriate to the program. Evaluate corrective actions to verify problems are resolved, adverse trends reversed, changes correctly implemented, and no new problems introduced.</w:t>
      </w:r>
    </w:p>
    <w:p>
      <w:pPr>
        <w:spacing w:after="120" w:line="276"/>
      </w:pPr>
      <w:r>
        <w:t>Measures fall into three classes, reported together but not combined:</w:t>
      </w:r>
    </w:p>
    <w:p>
      <w:pPr>
        <w:spacing w:after="120" w:line="276"/>
      </w:pPr>
      <w:r>
        <w:t>Enterprise-standard measures. Defined once at the enterprise level, mandatory on every program, and therefore comparable across programs. Each definition states the organization whose activity is measured, the numerator and denominator, the system the data is drawn from, the reporting frequency, and the threshold. Enterprise measures are computed from CM’s own records so that no other organization’s behavior can move them.</w:t>
      </w:r>
    </w:p>
    <w:p>
      <w:pPr>
        <w:spacing w:after="120" w:line="276"/>
      </w:pPr>
      <w:r>
        <w:t>Program-selected measures. Additional measures a program adopts for its own risks; defined to the same standard and recorded in the CMP.</w:t>
      </w:r>
    </w:p>
    <w:p>
      <w:pPr>
        <w:spacing w:after="120" w:line="276"/>
      </w:pPr>
      <w:r>
        <w:t>Adoption measures. During establishment of a CM function, measures of coverage across the program portfolio and of backlog burn-down. These are designed to retire: a measure that saturates at full coverage has done its work, and one that never saturates indicates the function is not maturing.</w:t>
      </w:r>
    </w:p>
    <w:p>
      <w:pPr>
        <w:spacing w:after="120" w:line="276"/>
      </w:pPr>
      <w:r>
        <w:t>Safety-floor coverage is measured two ways, reported together and never combined: a severity-weighted coverage percentage for trend and cross-program comparison, and an unweighted count of undispositioned top-band floor requirements as the safety-exposure measure, whose target is zero. The count is never averaged into the percentage — a high percentage with a nonzero count is a failure, not a pass. The share of coverage achieved by risk acceptance rather than performance is reported separately so that coverage is never read as safety.</w:t>
      </w:r>
    </w:p>
    <w:p>
      <w:pPr>
        <w:spacing w:after="120" w:line="276"/>
      </w:pPr>
      <w:r>
        <w:t>Where a measure depends on a review or a signature, the CMP states what that signature attests — that the review occurred, or that the content is adequate — before the measure is first reported. Fixing the attestation scope once prevents later disputes over what a past signature meant.</w:t>
      </w:r>
    </w:p>
    <w:p>
      <w:pPr>
        <w:pStyle w:val="Heading2"/>
        <w:spacing w:after="120" w:before="260"/>
      </w:pPr>
      <w:r>
        <w:rPr>
          <w:rFonts w:ascii="Calibri" w:cs="Calibri" w:eastAsia="Calibri" w:hAnsi="Calibri"/>
        </w:rPr>
        <w:t xml:space="preserve">5.7 Periodic Assessment of Effectiveness and Compliance</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CMP and procedure set; performance data (5.6); prior assessment findings; Acquirer audit requests.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Assessment reports with findings; corrective actions and closure records; process improvement inputs to 5.10.</w:t>
      </w:r>
    </w:p>
    <w:p>
      <w:pPr>
        <w:spacing w:after="120" w:line="276"/>
      </w:pPr>
      <w:r>
        <w:rPr>
          <w:rFonts w:ascii="Calibri" w:cs="Calibri" w:eastAsia="Calibri" w:hAnsi="Calibri"/>
          <w:sz w:val="22"/>
          <w:szCs w:val="22"/>
        </w:rPr>
        <w:t xml:space="preserve">Periodically assess the effectiveness of CM procedures and tools and compliance with the CMP (Principle CMP-7). Assessments may be conducted with Acquirer oversight and agreed between the parties. Monitor CM health continuously so problems are identified before they impact the program; monitor supply chain compliance to the CMP throughout (5.8). Assessment findings feed corrective action and process improvement; record findings and closure. Support Acquirer requests to audit and verify Supplier and sub-supplier CM processes.</w:t>
      </w:r>
    </w:p>
    <w:p>
      <w:pPr>
        <w:pStyle w:val="Heading2"/>
        <w:spacing w:after="120" w:before="260"/>
      </w:pPr>
      <w:r>
        <w:rPr>
          <w:rFonts w:ascii="Calibri" w:cs="Calibri" w:eastAsia="Calibri" w:hAnsi="Calibri"/>
        </w:rPr>
        <w:t xml:space="preserve">5.8 Supply Chain CM</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Sub-tier supplier set; company CM requirement set and CM Floor Register; sub-supplier CM plans and data submittals.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Flowed-down CM requirements in supplier SOWs; sub-supplier CM effectiveness determinations and actions; sub-tier product data recorded with traceability to next higher assemblies.</w:t>
      </w:r>
    </w:p>
    <w:p>
      <w:pPr>
        <w:spacing w:after="120" w:line="276"/>
      </w:pPr>
      <w:r>
        <w:rPr>
          <w:rFonts w:ascii="Calibri" w:cs="Calibri" w:eastAsia="Calibri" w:hAnsi="Calibri"/>
          <w:sz w:val="22"/>
          <w:szCs w:val="22"/>
        </w:rPr>
        <w:t>Performing CM includes responsibility for the CM performance of the supply chain (Principle CMP-8). Determination, imposition, and effectiveness verification of CM requirements at supplier tiers are performed under the sub-supplier CM requirements flowdown and effectiveness process. The planning obligations that remain here are what the CMP shall document:</w:t>
      </w:r>
    </w:p>
    <w:p>
      <w:pPr>
        <w:pStyle w:val="ListParagraph"/>
        <w:numPr>
          <w:ilvl w:val="0"/>
          <w:numId w:val="2"/>
        </w:numPr>
        <w:spacing w:after="80" w:line="276"/>
      </w:pPr>
      <w:r>
        <w:rPr>
          <w:rFonts w:ascii="Calibri" w:cs="Calibri" w:eastAsia="Calibri" w:hAnsi="Calibri"/>
          <w:sz w:val="22"/>
          <w:szCs w:val="22"/>
        </w:rPr>
        <w:t>The flowdown method: how the applicable CM requirement set is determined for each procurement from the type of work the supplier performs, where the resulting classification is recorded, and who reviews and signs the supplier statement of work prior to release. The recorded classification is the documented tailoring rationale.</w:t>
      </w:r>
    </w:p>
    <w:p>
      <w:pPr>
        <w:pStyle w:val="ListParagraph"/>
        <w:numPr>
          <w:ilvl w:val="0"/>
          <w:numId w:val="2"/>
        </w:numPr>
        <w:spacing w:after="80" w:line="276"/>
      </w:pPr>
      <w:r>
        <w:rPr>
          <w:rFonts w:ascii="Calibri" w:cs="Calibri" w:eastAsia="Calibri" w:hAnsi="Calibri"/>
          <w:sz w:val="22"/>
          <w:szCs w:val="22"/>
        </w:rPr>
        <w:t>The methods used to determine sub-supplier CM process effectiveness and the actions taken when a process is determined ineffective — an explicit CMP planning factor. Include the determination cadence, the triggers that force an off-cycle determination, and the determining authority.</w:t>
      </w:r>
    </w:p>
    <w:p>
      <w:pPr>
        <w:pStyle w:val="ListParagraph"/>
        <w:numPr>
          <w:ilvl w:val="0"/>
          <w:numId w:val="2"/>
        </w:numPr>
        <w:spacing w:after="80" w:line="276"/>
      </w:pPr>
      <w:r>
        <w:rPr>
          <w:rFonts w:ascii="Calibri" w:cs="Calibri" w:eastAsia="Calibri" w:hAnsi="Calibri"/>
          <w:sz w:val="22"/>
          <w:szCs w:val="22"/>
        </w:rPr>
        <w:t>That sub-tier CM performance is included in the CMP and in performance reporting.</w:t>
      </w:r>
    </w:p>
    <w:p>
      <w:pPr>
        <w:pStyle w:val="ListParagraph"/>
        <w:numPr>
          <w:ilvl w:val="0"/>
          <w:numId w:val="2"/>
        </w:numPr>
        <w:spacing w:after="80" w:line="276"/>
      </w:pPr>
      <w:r>
        <w:rPr>
          <w:rFonts w:ascii="Calibri" w:cs="Calibri" w:eastAsia="Calibri" w:hAnsi="Calibri"/>
          <w:sz w:val="22"/>
          <w:szCs w:val="22"/>
        </w:rPr>
        <w:t>That product data inherited from sub-tier suppliers, including vendor part numbers and serial numbers, is recorded and reported with clear traceability to next higher assemblies.</w:t>
      </w:r>
    </w:p>
    <w:p>
      <w:pPr>
        <w:pStyle w:val="ListParagraph"/>
        <w:numPr>
          <w:ilvl w:val="0"/>
          <w:numId w:val="2"/>
        </w:numPr>
        <w:spacing w:after="80" w:line="276"/>
      </w:pPr>
      <w:r>
        <w:t>That safety-floor requirements flow to every tier: supplier-tier tailoring or omission of a floor requirement is dispositioned through the floor gate, never silently dropped, and the disposition is recorded.</w:t>
      </w:r>
    </w:p>
    <w:p>
      <w:pPr>
        <w:pStyle w:val="ListParagraph"/>
        <w:numPr>
          <w:ilvl w:val="0"/>
          <w:numId w:val="2"/>
        </w:numPr>
        <w:spacing w:after="80" w:line="276"/>
      </w:pPr>
      <w:r>
        <w:t>That supplier statements of work for items where configuration audit designation is possible carry a standing conditional audit clause, with the audit data deliverables cited as triggered items.</w:t>
      </w:r>
    </w:p>
    <w:p>
      <w:pPr>
        <w:pStyle w:val="Heading2"/>
        <w:spacing w:after="120" w:before="260"/>
      </w:pPr>
      <w:r>
        <w:rPr>
          <w:rFonts w:ascii="Calibri" w:cs="Calibri" w:eastAsia="Calibri" w:hAnsi="Calibri"/>
        </w:rPr>
        <w:t xml:space="preserve">5.9 CM Information and Data Processes</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Program data requirements and CDRLs; cyber security requirements for Acquirer interoperability; CSA system needs.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Data collection, processing, storage, and preservation processes; secured and retrievable configuration records; contract-completion digital delivery of CSA and baseline documentation per CDRL.</w:t>
      </w:r>
    </w:p>
    <w:p>
      <w:pPr>
        <w:spacing w:after="120" w:line="276"/>
      </w:pPr>
      <w:r>
        <w:rPr>
          <w:rFonts w:ascii="Calibri" w:cs="Calibri" w:eastAsia="Calibri" w:hAnsi="Calibri"/>
          <w:sz w:val="22"/>
          <w:szCs w:val="22"/>
        </w:rPr>
        <w:t xml:space="preserve">Information processes — collection and processing, status control, interoperability and exchange, and long-term preservation — are essential elements of CM planning (Principle CMP-9):</w:t>
      </w:r>
    </w:p>
    <w:p>
      <w:pPr>
        <w:pStyle w:val="ListParagraph"/>
        <w:numPr>
          <w:ilvl w:val="0"/>
          <w:numId w:val="2"/>
        </w:numPr>
        <w:spacing w:after="80" w:line="276"/>
      </w:pPr>
      <w:r>
        <w:rPr>
          <w:rFonts w:ascii="Calibri" w:cs="Calibri" w:eastAsia="Calibri" w:hAnsi="Calibri"/>
          <w:sz w:val="22"/>
          <w:szCs w:val="22"/>
        </w:rPr>
        <w:t xml:space="preserve">Plan data collection and storage from the earliest life cycle phases; capture product data when it is created and approved rather than recovering it later. Systematically retain both current and historical information.</w:t>
      </w:r>
    </w:p>
    <w:p>
      <w:pPr>
        <w:pStyle w:val="ListParagraph"/>
        <w:numPr>
          <w:ilvl w:val="0"/>
          <w:numId w:val="2"/>
        </w:numPr>
        <w:spacing w:after="80" w:line="276"/>
      </w:pPr>
      <w:r>
        <w:rPr>
          <w:rFonts w:ascii="Calibri" w:cs="Calibri" w:eastAsia="Calibri" w:hAnsi="Calibri"/>
          <w:sz w:val="22"/>
          <w:szCs w:val="22"/>
        </w:rPr>
        <w:t xml:space="preserve">Identify the processes and tools for processing collected data and generating product status reports; this planning is the basis for the CSA system.</w:t>
      </w:r>
    </w:p>
    <w:p>
      <w:pPr>
        <w:pStyle w:val="ListParagraph"/>
        <w:numPr>
          <w:ilvl w:val="0"/>
          <w:numId w:val="2"/>
        </w:numPr>
        <w:spacing w:after="80" w:line="276"/>
      </w:pPr>
      <w:r>
        <w:rPr>
          <w:rFonts w:ascii="Calibri" w:cs="Calibri" w:eastAsia="Calibri" w:hAnsi="Calibri"/>
          <w:sz w:val="22"/>
          <w:szCs w:val="22"/>
        </w:rPr>
        <w:t xml:space="preserve">Comply with cyber security requirements for interoperating with the Acquirer’s systems in an integrated digital environment.</w:t>
      </w:r>
    </w:p>
    <w:p>
      <w:pPr>
        <w:pStyle w:val="ListParagraph"/>
        <w:numPr>
          <w:ilvl w:val="0"/>
          <w:numId w:val="2"/>
        </w:numPr>
        <w:spacing w:after="80" w:line="276"/>
      </w:pPr>
      <w:r>
        <w:rPr>
          <w:rFonts w:ascii="Calibri" w:cs="Calibri" w:eastAsia="Calibri" w:hAnsi="Calibri"/>
          <w:sz w:val="22"/>
          <w:szCs w:val="22"/>
        </w:rPr>
        <w:t xml:space="preserve">Adequately secure, safeguard, and be able to retrieve recorded product configuration information after extended storage.</w:t>
      </w:r>
    </w:p>
    <w:p>
      <w:pPr>
        <w:pStyle w:val="ListParagraph"/>
        <w:numPr>
          <w:ilvl w:val="0"/>
          <w:numId w:val="2"/>
        </w:numPr>
        <w:spacing w:after="80" w:line="276"/>
      </w:pPr>
      <w:r>
        <w:t>Distinguish the system of record from analysis tooling. The system of record captures configuration information when it is created, keeps it current, stores and safeguards it, and makes it retrievable across the retention period and the full program history. Reconciliation, comparison, and verification tools operate on that information to compare, verify, and report; they do not satisfy the capture, currency, storage, retention, retrieval, or historical-traceability obligations. The CMP names both and states which system satisfies which obligation.</w:t>
      </w:r>
    </w:p>
    <w:p>
      <w:pPr>
        <w:pStyle w:val="ListParagraph"/>
        <w:numPr>
          <w:ilvl w:val="0"/>
          <w:numId w:val="2"/>
        </w:numPr>
        <w:spacing w:after="80" w:line="276"/>
      </w:pPr>
      <w:r>
        <w:rPr>
          <w:rFonts w:ascii="Calibri" w:cs="Calibri" w:eastAsia="Calibri" w:hAnsi="Calibri"/>
          <w:sz w:val="22"/>
          <w:szCs w:val="22"/>
        </w:rPr>
        <w:t xml:space="preserve">Plan the digital delivery to the Acquirer, at contract completion, of CSA information and configuration baseline documentation created, collected, and managed during the contract, in the form, format, and schedule of the CDRL.</w:t>
      </w:r>
    </w:p>
    <w:p>
      <w:pPr>
        <w:pStyle w:val="Heading2"/>
        <w:spacing w:after="120" w:before="260"/>
      </w:pPr>
      <w:r>
        <w:rPr>
          <w:rFonts w:ascii="Calibri" w:cs="Calibri" w:eastAsia="Calibri" w:hAnsi="Calibri"/>
        </w:rPr>
        <w:t xml:space="preserve">5.10 CMP Maintenance</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Change triggers: contract changes, product context changes (5.1), assessment findings (5.7), metric-driven process changes (5.6), tool changes, CM organization changes.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Revised, released, and distributed CMP current at each acquisition milestone; re-run CM floor gate dispositions (5.1.1) where tailoring changed.</w:t>
      </w:r>
    </w:p>
    <w:p>
      <w:pPr>
        <w:spacing w:after="120" w:line="276"/>
      </w:pPr>
      <w:r>
        <w:rPr>
          <w:rFonts w:ascii="Calibri" w:cs="Calibri" w:eastAsia="Calibri" w:hAnsi="Calibri"/>
          <w:sz w:val="22"/>
          <w:szCs w:val="22"/>
        </w:rPr>
        <w:t xml:space="preserve">Maintain the CMP as a controlled document under the release process it defines. Update it when the contract changes, the product context changes (5.1), assessments or metrics identify needed process changes, tools change, or the CM organization changes. Distribute updated CMPs to all affected functions upon release. Keep the CMP current for review at each acquisition milestone.</w:t>
      </w:r>
    </w:p>
    <w:p>
      <w:pPr>
        <w:pStyle w:val="Heading1"/>
        <w:spacing w:after="160" w:before="320"/>
      </w:pPr>
      <w:r>
        <w:rPr>
          <w:rFonts w:ascii="Calibri" w:cs="Calibri" w:eastAsia="Calibri" w:hAnsi="Calibri"/>
        </w:rPr>
        <w:t xml:space="preserve">6. Records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Record / Output</w:t>
            </w:r>
          </w:p>
        </w:tc>
        <w:tc>
          <w:tcPr>
            <w:tcW w:type="dxa" w:w="61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Content and Retention</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Program CMP</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Per 5.2, Acquirer-approved, revision-controlled, current at each milestone.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Tailoring Rationale / Worksheet</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Context assessment (5.1) and contract tailoring records (Annex A worksheet convention where required).</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Floor Compliance Matrix</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One record per floor requirement: disposition (Performed / Equivalent control / Risk-accepted), evidence or risk-acceptance reference, health check method and schedule, last-performed and next-due dates, sign-off. Maintained as structured, queryable records under configuration control; auditable for the program life.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Training Plan and Records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Planned training by role; completion records per individual.</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Performance Reports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Metric definitions, periodic data, trend analyses; made available to the Acquirer.</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Assessment Reports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Effectiveness/compliance assessment findings, corrective actions, and closure evidence.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Supply Chain CM Planning Records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The flowdown and effectiveness methods as documented in the CMP. Procurement-level classification records, supplier deliverable and findings logs, effectiveness determinations, and actions are records of the sub-supplier flowdown and effectiveness process and are retained there.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Contract-Completion Data Delivery</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Digital CSA and baseline documentation package per CDRL.</w:t>
            </w:r>
          </w:p>
        </w:tc>
      </w:tr>
      <w:tr>
        <w:tc>
          <w:tcPr>
            <w:tcW w:type="dxa" w:w="3200"/>
          </w:tcPr>
          <w:p>
            <w:r/>
            <w:r>
              <w:rPr>
                <w:rFonts w:ascii="Calibri" w:hAnsi="Calibri"/>
                <w:sz w:val="20"/>
              </w:rPr>
              <w:t>Floor Coverage Reporting</w:t>
            </w:r>
          </w:p>
        </w:tc>
        <w:tc>
          <w:tcPr>
            <w:tcW w:type="dxa" w:w="6160"/>
          </w:tcPr>
          <w:p>
            <w:r/>
            <w:r>
              <w:rPr>
                <w:rFonts w:ascii="Calibri" w:hAnsi="Calibri"/>
                <w:sz w:val="20"/>
              </w:rPr>
              <w:t>Severity-weighted coverage percentage, the count of undispositioned top-band floor requirements, and the risk-accepted share of coverage; reported on the CM performance reporting cycle.</w:t>
            </w:r>
          </w:p>
        </w:tc>
      </w:tr>
    </w:tbl>
    <w:p>
      <w:r>
        <w:br w:type="page"/>
      </w:r>
    </w:p>
    <w:p>
      <w:pPr>
        <w:pStyle w:val="Heading1"/>
        <w:spacing w:after="160" w:before="320"/>
      </w:pPr>
      <w:r>
        <w:rPr>
          <w:rFonts w:ascii="Calibri" w:cs="Calibri" w:eastAsia="Calibri" w:hAnsi="Calibri"/>
        </w:rPr>
        <w:t xml:space="preserve">Appendix A — CMP Content Checklist</w:t>
      </w:r>
    </w:p>
    <w:p>
      <w:pPr>
        <w:spacing w:after="120" w:line="276"/>
      </w:pPr>
      <w:r>
        <w:rPr>
          <w:rFonts w:ascii="Calibri" w:cs="Calibri" w:eastAsia="Calibri" w:hAnsi="Calibri"/>
          <w:sz w:val="22"/>
          <w:szCs w:val="22"/>
        </w:rPr>
        <w:t xml:space="preserve">Use when drafting or reviewing a program CMP. Program: ____________________  CMP No./Rev: ____________________  Reviewer/date: ____________________</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CMP content element</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program objectives and objectives of each applicable CM element</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Level of CM activity for each of the five CM functions across the life cycle phases on contract</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organization and organizational relationships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Responsibilities, authority, and accountability of CM roles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resources: tools, techniques, training, methodologies; personnel level of effort by skill; facilities; information systems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Coordination with internal and external agencies (Acquirer, other Suppliers, Government agencies, foreign governments); SMS interface per SM-0001</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CCB functions, responsibility, and authority</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Release process for product configuration documentation</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Methods to determine sub-supplier CM effectiveness and actions when ineffective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CSA activities: create, edit, review, approve, release, publish, distribute configuration and change documentation</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identification and labeling structure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 five CM functions addressed: planning and management, identification, change management, status accounting, verification and audit</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performance measurement methodology and reporting (metrics per Appendix B)</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Training approach and training plan reference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Assessment approach for CM effectiveness and CMP compliance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Information/data processes: collection, status control, interoperability and exchange, cyber security, long-term preservation, contract-completion data delivery</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Tailoring rationale consistent with product context (complexity, environment, requirements)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floor gate applied: every register item proposed for omission dispositioned (Performed / Equivalent / Risk-accepted); CM Floor Compliance Matrix complete with health checks and sign-offs; no silent omissions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Tool identification (PLM, MBSE, CSA) — the process documents remain tool-agnostic; the CMP names the tools</w:t>
            </w:r>
          </w:p>
        </w:tc>
      </w:tr>
      <w:tr>
        <w:tc>
          <w:tcPr>
            <w:tcW w:type="dxa" w:w="900"/>
          </w:tcPr>
          <w:p>
            <w:r/>
            <w:r>
              <w:rPr>
                <w:rFonts w:ascii="Calibri" w:hAnsi="Calibri"/>
                <w:sz w:val="20"/>
              </w:rPr>
            </w:r>
          </w:p>
        </w:tc>
        <w:tc>
          <w:tcPr>
            <w:tcW w:type="dxa" w:w="8260"/>
          </w:tcPr>
          <w:p>
            <w:r/>
            <w:r>
              <w:rPr>
                <w:rFonts w:ascii="Calibri" w:hAnsi="Calibri"/>
                <w:sz w:val="20"/>
              </w:rPr>
              <w:t>Performance measurement: enterprise-standard measures identified; program-selected measures defined with measured organization, numerator and denominator, data source, frequency, and threshold; attestation scope stated for any signature-dependent measure</w:t>
            </w:r>
          </w:p>
        </w:tc>
      </w:tr>
      <w:tr>
        <w:tc>
          <w:tcPr>
            <w:tcW w:type="dxa" w:w="900"/>
          </w:tcPr>
          <w:p>
            <w:r/>
            <w:r>
              <w:rPr>
                <w:rFonts w:ascii="Calibri" w:hAnsi="Calibri"/>
                <w:sz w:val="20"/>
              </w:rPr>
            </w:r>
          </w:p>
        </w:tc>
        <w:tc>
          <w:tcPr>
            <w:tcW w:type="dxa" w:w="8260"/>
          </w:tcPr>
          <w:p>
            <w:r/>
            <w:r>
              <w:rPr>
                <w:rFonts w:ascii="Calibri" w:hAnsi="Calibri"/>
                <w:sz w:val="20"/>
              </w:rPr>
              <w:t>Safety-floor coverage measurement defined: severity-weighted percentage and undispositioned top-band count reported together, with risk-accepted share reported separately</w:t>
            </w:r>
          </w:p>
        </w:tc>
      </w:tr>
      <w:tr>
        <w:tc>
          <w:tcPr>
            <w:tcW w:type="dxa" w:w="900"/>
          </w:tcPr>
          <w:p>
            <w:r/>
            <w:r>
              <w:rPr>
                <w:rFonts w:ascii="Calibri" w:hAnsi="Calibri"/>
                <w:sz w:val="20"/>
              </w:rPr>
            </w:r>
          </w:p>
        </w:tc>
        <w:tc>
          <w:tcPr>
            <w:tcW w:type="dxa" w:w="8260"/>
          </w:tcPr>
          <w:p>
            <w:r/>
            <w:r>
              <w:rPr>
                <w:rFonts w:ascii="Calibri" w:hAnsi="Calibri"/>
                <w:sz w:val="20"/>
              </w:rPr>
              <w:t>Floor disposition record maintained as structured, queryable data with health check method, schedule, and next-due dates</w:t>
            </w:r>
          </w:p>
        </w:tc>
      </w:tr>
      <w:tr>
        <w:tc>
          <w:tcPr>
            <w:tcW w:type="dxa" w:w="900"/>
          </w:tcPr>
          <w:p>
            <w:r/>
            <w:r>
              <w:rPr>
                <w:rFonts w:ascii="Calibri" w:hAnsi="Calibri"/>
                <w:sz w:val="20"/>
              </w:rPr>
            </w:r>
          </w:p>
        </w:tc>
        <w:tc>
          <w:tcPr>
            <w:tcW w:type="dxa" w:w="8260"/>
          </w:tcPr>
          <w:p>
            <w:r/>
            <w:r>
              <w:rPr>
                <w:rFonts w:ascii="Calibri" w:hAnsi="Calibri"/>
                <w:sz w:val="20"/>
              </w:rPr>
              <w:t>Supply chain: flowdown method and effectiveness determination method documented, including cadence, off-cycle triggers, determining authority, and actions when ineffective</w:t>
            </w:r>
          </w:p>
        </w:tc>
      </w:tr>
      <w:tr>
        <w:tc>
          <w:tcPr>
            <w:tcW w:type="dxa" w:w="900"/>
          </w:tcPr>
          <w:p>
            <w:r/>
            <w:r>
              <w:rPr>
                <w:rFonts w:ascii="Calibri" w:hAnsi="Calibri"/>
                <w:sz w:val="20"/>
              </w:rPr>
            </w:r>
          </w:p>
        </w:tc>
        <w:tc>
          <w:tcPr>
            <w:tcW w:type="dxa" w:w="8260"/>
          </w:tcPr>
          <w:p>
            <w:r/>
            <w:r>
              <w:rPr>
                <w:rFonts w:ascii="Calibri" w:hAnsi="Calibri"/>
                <w:sz w:val="20"/>
              </w:rPr>
              <w:t>Standing conditional audit clause required in supplier statements of work where audit designation is possible</w:t>
            </w:r>
          </w:p>
        </w:tc>
      </w:tr>
      <w:tr>
        <w:tc>
          <w:tcPr>
            <w:tcW w:type="dxa" w:w="900"/>
          </w:tcPr>
          <w:p>
            <w:r/>
            <w:r>
              <w:rPr>
                <w:rFonts w:ascii="Calibri" w:hAnsi="Calibri"/>
                <w:sz w:val="20"/>
              </w:rPr>
            </w:r>
          </w:p>
        </w:tc>
        <w:tc>
          <w:tcPr>
            <w:tcW w:type="dxa" w:w="8260"/>
          </w:tcPr>
          <w:p>
            <w:r/>
            <w:r>
              <w:rPr>
                <w:rFonts w:ascii="Calibri" w:hAnsi="Calibri"/>
                <w:sz w:val="20"/>
              </w:rPr>
              <w:t>System of record identified separately from analysis and reconciliation tooling, with the obligations each satisfies stated</w:t>
            </w:r>
          </w:p>
        </w:tc>
      </w:tr>
      <w:tr>
        <w:tc>
          <w:tcPr>
            <w:tcW w:type="dxa" w:w="900"/>
          </w:tcPr>
          <w:p>
            <w:r/>
            <w:r>
              <w:rPr>
                <w:rFonts w:ascii="Calibri" w:hAnsi="Calibri"/>
                <w:sz w:val="20"/>
              </w:rPr>
            </w:r>
          </w:p>
        </w:tc>
        <w:tc>
          <w:tcPr>
            <w:tcW w:type="dxa" w:w="8260"/>
          </w:tcPr>
          <w:p>
            <w:r/>
            <w:r>
              <w:rPr>
                <w:rFonts w:ascii="Calibri" w:hAnsi="Calibri"/>
                <w:sz w:val="20"/>
              </w:rPr>
              <w:t>Interim mechanism identified for any CM function not yet covered by its own process document, with the planned process date</w:t>
            </w:r>
          </w:p>
        </w:tc>
      </w:tr>
    </w:tbl>
    <w:p>
      <w:r>
        <w:br w:type="page"/>
      </w:r>
    </w:p>
    <w:p>
      <w:pPr>
        <w:pStyle w:val="Heading1"/>
        <w:spacing w:after="160" w:before="320"/>
      </w:pPr>
      <w:r>
        <w:rPr>
          <w:rFonts w:ascii="Calibri" w:cs="Calibri" w:eastAsia="Calibri" w:hAnsi="Calibri"/>
        </w:rPr>
        <w:t xml:space="preserve">Appendix B — Suggested CM Performance Metrics</w:t>
      </w:r>
    </w:p>
    <w:p>
      <w:pPr>
        <w:spacing w:after="120" w:line="276"/>
      </w:pPr>
      <w:r>
        <w:rPr>
          <w:rFonts w:ascii="Calibri" w:cs="Calibri" w:eastAsia="Calibri" w:hAnsi="Calibri"/>
          <w:sz w:val="22"/>
          <w:szCs w:val="22"/>
        </w:rPr>
        <w:t>The table below is the reference set from the standard. It is not the reporting set. The enterprise-standard measures, the safety-floor coverage measures, and any adoption measures in force are defined separately and are mandatory where applicable; the entries here are candidates for program-selected measures. Define each selected measure’s measured organization, numerator and denominator, data source, owner, frequency, and threshold in the CMP.</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600"/>
        <w:gridCol w:w="4560"/>
      </w:tblGrid>
      <w:tr>
        <w:trPr>
          <w:tblHeader/>
        </w:trPr>
        <w:tc>
          <w:tcPr>
            <w:tcW w:type="dxa" w:w="4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Metric</w:t>
            </w:r>
          </w:p>
        </w:tc>
        <w:tc>
          <w:tcPr>
            <w:tcW w:type="dxa" w:w="4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Typical use</w:t>
            </w:r>
          </w:p>
        </w:tc>
      </w:tr>
      <w:tr>
        <w:tc>
          <w:tcPr>
            <w:tcW w:type="dxa" w:w="4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Open changes and variances awaiting Acquirer disposition</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External queue visibility; submittal quality and Acquirer interface health</w:t>
            </w:r>
          </w:p>
        </w:tc>
      </w:tr>
      <w:tr>
        <w:tc>
          <w:tcPr>
            <w:tcW w:type="dxa" w:w="4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Closed Supplier changes and variances</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Throughput</w:t>
            </w:r>
          </w:p>
        </w:tc>
      </w:tr>
      <w:tr>
        <w:tc>
          <w:tcPr>
            <w:tcW w:type="dxa" w:w="4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Minor changes/variances (count)</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Change mix; classification consistency</w:t>
            </w:r>
          </w:p>
        </w:tc>
      </w:tr>
      <w:tr>
        <w:tc>
          <w:tcPr>
            <w:tcW w:type="dxa" w:w="4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Major changes/variances (count)</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Design stability; baseline maturity</w:t>
            </w:r>
          </w:p>
        </w:tc>
      </w:tr>
      <w:tr>
        <w:tc>
          <w:tcPr>
            <w:tcW w:type="dxa" w:w="4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Change processing cycle time</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Process efficiency end-to-end</w:t>
            </w:r>
          </w:p>
        </w:tc>
      </w:tr>
      <w:tr>
        <w:tc>
          <w:tcPr>
            <w:tcW w:type="dxa" w:w="4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Average days changes/variances remain open</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Aging; bottleneck identification</w:t>
            </w:r>
          </w:p>
        </w:tc>
      </w:tr>
      <w:tr>
        <w:tc>
          <w:tcPr>
            <w:tcW w:type="dxa" w:w="4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Requests for change/variance by category, nomenclature, or CI identifier</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Problem concentration by product area</w:t>
            </w:r>
          </w:p>
        </w:tc>
      </w:tr>
      <w:tr>
        <w:tc>
          <w:tcPr>
            <w:tcW w:type="dxa" w:w="4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Change request rejection rate and reasons</w:t>
            </w:r>
          </w:p>
        </w:tc>
        <w:tc>
          <w:tcPr>
            <w:tcW w:type="dxa" w:w="4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Submittal quality; requirement clarity; training needs</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Supplement with program-specific measures as needed (e.g., CSA record accuracy findings, audit action item aging, sub-supplier CM evaluation results).</w:t>
      </w:r>
    </w:p>
    <w:sectPr>
      <w:footerReference w:type="default" r:id="rId7"/>
      <w:headerReference w:type="default" r:id="rId9"/>
      <w:footerReference w:type="first" r:id="rId10"/>
      <w:footerReference w:type="even"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CM Planning and Management — [insert] — Page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lowerLetter"/>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2026-07-18T02:54:58.120Z</dcterms:created>
  <dcterms:modified xsi:type="dcterms:W3CDTF">2026-07-18T02:54:58.120Z</dcterms:modified>
</cp:coreProperties>
</file>

<file path=docProps/custom.xml><?xml version="1.0" encoding="utf-8"?>
<Properties xmlns="http://schemas.openxmlformats.org/officeDocument/2006/custom-properties" xmlns:vt="http://schemas.openxmlformats.org/officeDocument/2006/docPropsVTypes"/>
</file>