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E262E"/>
          <w:sz w:val="24"/>
          <w:szCs w:val="24"/>
        </w:rPr>
        <w:t xml:space="preserve">CONFIGURATION MANAGEMENT PROCESS</w:t>
      </w:r>
    </w:p>
    <w:p>
      <w:pPr>
        <w:spacing w:after="240" w:before="120"/>
        <w:jc w:val="center"/>
      </w:pPr>
      <w:r>
        <w:rPr>
          <w:rFonts w:ascii="Calibri" w:cs="Calibri" w:eastAsia="Calibri" w:hAnsi="Calibri"/>
          <w:b/>
          <w:bCs/>
          <w:color w:val="1E262E"/>
          <w:sz w:val="40"/>
          <w:szCs w:val="40"/>
        </w:rPr>
        <w:t xml:space="preserve">Configuration Item (CI) Identification Process</w:t>
      </w:r>
    </w:p>
    <w:p>
      <w:pPr>
        <w:spacing w:after="120" w:before="0"/>
        <w:jc w:val="center"/>
      </w:pPr>
      <w:r>
        <w:rPr>
          <w:rFonts w:ascii="Calibri" w:cs="Calibri" w:eastAsia="Calibri" w:hAnsi="Calibri"/>
          <w:i/>
          <w:iCs/>
          <w:color w:val="1E262E"/>
          <w:sz w:val="22"/>
          <w:szCs w:val="22"/>
        </w:rPr>
        <w:t xml:space="preserve">In Alignment with EIA-649-1A and GEIA-HB-649A</w:t>
      </w:r>
    </w:p>
    <w:p>
      <w:pPr>
        <w:spacing w:after="120" w:before="0"/>
        <w:jc w:val="center"/>
      </w:pPr>
      <w:r>
        <w:rPr>
          <w:rFonts w:ascii="Calibri" w:cs="Calibri" w:eastAsia="Calibri" w:hAnsi="Calibri"/>
          <w:color w:val="1E262E"/>
          <w:sz w:val="22"/>
          <w:szCs w:val="22"/>
        </w:rPr>
        <w:t xml:space="preserve">Document No.: [assigned]</w:t>
      </w:r>
    </w:p>
    <w:p>
      <w:pPr>
        <w:spacing w:after="120" w:before="0"/>
        <w:jc w:val="center"/>
      </w:pPr>
      <w:r>
        <w:rPr>
          <w:rFonts w:ascii="Calibri" w:cs="Calibri" w:eastAsia="Calibri" w:hAnsi="Calibri"/>
          <w:b/>
          <w:bCs/>
          <w:color w:val="1E262E"/>
          <w:sz w:val="22"/>
          <w:szCs w:val="22"/>
        </w:rPr>
        <w:t xml:space="preserve">Revision: I (DRAFT) Date: [Date]</w:t>
      </w:r>
    </w:p>
    <w:p>
      <w:pPr>
        <w:spacing w:after="120" w:before="0"/>
        <w:jc w:val="center"/>
      </w:pPr>
      <w:r>
        <w:rPr>
          <w:rFonts w:ascii="Calibri" w:cs="Calibri" w:eastAsia="Calibri" w:hAnsi="Calibri"/>
          <w:color w:val="1E262E"/>
          <w:sz w:val="22"/>
          <w:szCs w:val="22"/>
        </w:rPr>
        <w:t xml:space="preserve">Prepared by: Configuration Management Approved by: [Approver]</w:t>
      </w:r>
    </w:p>
    <w:p>
      <w:pPr>
        <w:spacing w:after="120" w:before="480"/>
      </w:pPr>
      <w:r>
        <w:rPr>
          <w:rFonts w:ascii="Calibri" w:cs="Calibri" w:eastAsia="Calibri" w:hAnsi="Calibri"/>
          <w:b/>
          <w:bCs/>
          <w:color w:val="1E262E"/>
          <w:sz w:val="28"/>
          <w:szCs w:val="28"/>
        </w:rPr>
        <w:t xml:space="preserve">Table of Contents</w:t>
      </w:r>
    </w:p>
    <w:p>
      <w:pPr>
        <w:spacing w:after="120"/>
      </w:pPr>
      <w:r>
        <w:rPr>
          <w:rFonts w:ascii="Calibri" w:cs="Calibri" w:eastAsia="Calibri" w:hAnsi="Calibri"/>
          <w:i/>
          <w:iCs/>
          <w:color w:val="5C6D78"/>
          <w:sz w:val="18"/>
          <w:szCs w:val="18"/>
        </w:rPr>
        <w:t xml:space="preserve">Word builds the table of contents when the document opens. If it is blank, right-click here and choose Update Field.</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keepNext/>
        <w:pageBreakBefore/>
      </w:pPr>
      <w:r>
        <w:rPr>
          <w:rFonts w:ascii="Calibri" w:cs="Calibri" w:eastAsia="Calibri" w:hAnsi="Calibri"/>
        </w:rPr>
        <w:t xml:space="preserve">1. Purpose, Scope, and Applicability</w:t>
      </w:r>
    </w:p>
    <w:p>
      <w:pPr>
        <w:pStyle w:val="Heading2"/>
        <w:keepNext/>
      </w:pPr>
      <w:r>
        <w:rPr>
          <w:rFonts w:ascii="Calibri" w:cs="Calibri" w:eastAsia="Calibri" w:hAnsi="Calibri"/>
        </w:rPr>
        <w:t xml:space="preserve">1.1 Purpose</w:t>
      </w:r>
    </w:p>
    <w:p>
      <w:pPr>
        <w:spacing w:after="120" w:line="264"/>
      </w:pPr>
      <w:r>
        <w:rPr>
          <w:rFonts w:ascii="Calibri" w:cs="Calibri" w:eastAsia="Calibri" w:hAnsi="Calibri"/>
        </w:rPr>
        <w:t xml:space="preserve">This document instructs the Configuration Management (CM) team on how to perform the selection and identification of Configuration Items (CIs). It aligns with EIA-649-1A, Configuration Management Requirements for Defense Contracts, and GEIA-HB-649A, Configuration Management Standard Implementation Guide.</w:t>
      </w:r>
    </w:p>
    <w:p>
      <w:pPr>
        <w:pStyle w:val="Heading2"/>
        <w:keepNext/>
      </w:pPr>
      <w:r>
        <w:rPr>
          <w:rFonts w:ascii="Calibri" w:cs="Calibri" w:eastAsia="Calibri" w:hAnsi="Calibri"/>
        </w:rPr>
        <w:t xml:space="preserve">1.2 Scope</w:t>
      </w:r>
    </w:p>
    <w:p>
      <w:pPr>
        <w:spacing w:after="120" w:line="264"/>
      </w:pPr>
      <w:r>
        <w:rPr>
          <w:rFonts w:ascii="Calibri" w:cs="Calibri" w:eastAsia="Calibri" w:hAnsi="Calibri"/>
        </w:rPr>
        <w:t xml:space="preserve">This process covers the full configuration identification function: candidate CI identification, application of CI selection criteria, establishment of the CI structure and hierarchy, interface identification, Acquirer review and concurrence, assignment of identifiers, determination of configuration documentation, establishment of configuration baselines, and ongoing maintenance of the configuration identification.</w:t>
      </w:r>
    </w:p>
    <w:p>
      <w:pPr>
        <w:spacing w:after="120" w:line="264"/>
      </w:pPr>
      <w:r>
        <w:rPr>
          <w:rFonts w:ascii="Calibri" w:cs="Calibri" w:eastAsia="Calibri" w:hAnsi="Calibri"/>
        </w:rPr>
        <w:t xml:space="preserve">It applies to hardware, software, firmware, and associated configuration documentation.</w:t>
      </w:r>
    </w:p>
    <w:p>
      <w:pPr>
        <w:pStyle w:val="Heading2"/>
        <w:keepNext/>
      </w:pPr>
      <w:r>
        <w:rPr>
          <w:rFonts w:ascii="Calibri" w:cs="Calibri" w:eastAsia="Calibri" w:hAnsi="Calibri"/>
        </w:rPr>
        <w:t xml:space="preserve">1.3 Applicability</w:t>
      </w:r>
    </w:p>
    <w:p>
      <w:pPr>
        <w:spacing w:after="120" w:line="264"/>
      </w:pPr>
      <w:r>
        <w:rPr>
          <w:rFonts w:ascii="Calibri" w:cs="Calibri" w:eastAsia="Calibri" w:hAnsi="Calibri"/>
        </w:rPr>
        <w:t xml:space="preserve">This process applies to all programs where the company acts as a prime contractor (Supplier) to a Department of Defense (DoD) Acquirer. Where a contract imposes requirements that differ from this process, the contract governs; deviations are documented in the program Configuration Management Plan (CMP).</w:t>
      </w:r>
    </w:p>
    <w:p>
      <w:pPr>
        <w:spacing w:after="120" w:line="264"/>
      </w:pPr>
      <w:r>
        <w:rPr>
          <w:rFonts w:ascii="Calibri" w:cs="Calibri" w:eastAsia="Calibri" w:hAnsi="Calibri"/>
        </w:rPr>
        <w:t xml:space="preserve">This process is tool-agnostic. It defines what must be accomplished; program CMPs define the specific tools (PLM, MBSE, CSA systems) used to accomplish it.</w:t>
      </w:r>
    </w:p>
    <w:p>
      <w:pPr>
        <w:pStyle w:val="Heading1"/>
        <w:keepNext/>
      </w:pPr>
      <w:r>
        <w:rPr>
          <w:rFonts w:ascii="Calibri" w:cs="Calibri" w:eastAsia="Calibri" w:hAnsi="Calibri"/>
        </w:rPr>
        <w:t xml:space="preserve">2. References</w:t>
      </w:r>
    </w:p>
    <w:p>
      <w:pPr>
        <w:pStyle w:val="Heading2"/>
        <w:keepNext/>
      </w:pPr>
      <w:r>
        <w:rPr>
          <w:rFonts w:ascii="Calibri" w:cs="Calibri" w:eastAsia="Calibri" w:hAnsi="Calibri"/>
        </w:rPr>
        <w:t xml:space="preserve">2.1 Governing Documents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200"/>
        <w:gridCol w:w="7160"/>
      </w:tblGrid>
      <w:tr>
        <w:trPr>
          <w:cantSplit/>
          <w:tblHeader/>
        </w:trPr>
        <w:tc>
          <w:tcPr>
            <w:tcW w:type="dxa" w:w="22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Document</w:t>
            </w:r>
          </w:p>
        </w:tc>
        <w:tc>
          <w:tcPr>
            <w:tcW w:type="dxa" w:w="71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Title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EIA-649-1A</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Management Requirements for Defense Contracts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GEIA-HB-649A</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Management Standard Implementation Guide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ANSI/EIA-649</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National Consensus Standard for Configuration Management (parent principles standard)</w:t>
            </w:r>
          </w:p>
        </w:tc>
      </w:tr>
    </w:tbl>
    <w:p>
      <w:pPr>
        <w:spacing w:after="120" w:before="0"/>
      </w:pPr>
    </w:p>
    <w:p>
      <w:pPr>
        <w:pStyle w:val="Heading2"/>
        <w:keepNext/>
      </w:pPr>
      <w:r>
        <w:rPr>
          <w:rFonts w:ascii="Calibri" w:cs="Calibri" w:eastAsia="Calibri" w:hAnsi="Calibri"/>
        </w:rPr>
        <w:t xml:space="preserve">2.2 Related Documents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700"/>
        <w:gridCol w:w="6660"/>
      </w:tblGrid>
      <w:tr>
        <w:trPr>
          <w:cantSplit/>
          <w:tblHeader/>
        </w:trPr>
        <w:tc>
          <w:tcPr>
            <w:tcW w:type="dxa" w:w="27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Document</w:t>
            </w:r>
          </w:p>
        </w:tc>
        <w:tc>
          <w:tcPr>
            <w:tcW w:type="dxa" w:w="66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Title / Relevance</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SM-0001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 Management System (SMS) Standard. Hazard analyses and safety-critical item identifications produced under the SMS are inputs to CI candidate identification and to the selection criteria screen.</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Register of Safety-Mandatory CM Requirements</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EIA-649-1A requirements obligated through the safety management system on all safety-significant product lines regardless of contract flow-down. Requirements from that register performed by this process: identify as a CI any item whose failure could cause serious injury, loss of life, or loss of primary system capability; identify internal and external interface requirements; incorporate interface information into the configuration documentation; maintain configuration control of baselined interface requirements; and provide a representative to the Acquirer’s interface control working group where one exists.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Safety-Mandatory Requirement Operating Model</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How safety-mandatory requirements are dispositioned. A requirement is performed, replaced with an independently validated equivalent control, or formally risk-accepted. The route is the safety disposition gate defined in the CM planning and management process.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[assigned]</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audit process (FCA and PCA). Companion process. Audits the CIs and baselines identified under this process, and runs the audit designation assessment.</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[assigned]</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Sub-supplier CM flowdown process. Companion process. Single normative source for the supplier work types and their audit roles. Defines the source control drawing and the vendor item control drawing. Holds the classification log, which records each procured item’s work type, CI control tier, and designation authorship case.</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MIL-STD-130</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Identification Marking of U.S. Military Property (Item Unique Identification, IUID)</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DoDI 8320.04, November 29, 2024</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DoD Serially Managed Items of Tangible Personal Property and Item Unique Identification 2.0 Standards. Paragraph 3.2.b(2) identifies critical safety items as DoD serially managed, which is what brings item unique identification to them. Reissues and cancels the 2015 standards instruction.</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DFARS 211.274-2 and 252.211-7003</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Policy for item unique identification, and the Item Unique Identification and Valuation clause. The contractor obligation arrives through the clause in the contract.</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DFARS 209.270</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Aviation and ship critical safety items. Establishes the designation, source approval, and qualification requirements.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MIL-STD-882E</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Department of Defense Standard Practice, System Safety. Defines the safety-critical item and safety-critical function terms carried in the definitions section. Its safety-critical item term is independent of the critical safety item term in the critical safety item statutes.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DoDM 4140.01 Volume 11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DoD Supply Chain Materiel Management Procedures: Inventory Accountability and Special Management and Handling. Carries the DoD aviation critical safety item procedures.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MIL-STD-1530D w/Change 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Aircraft Structural Integrity Program (ASIP). Source of the fracture critical part and fracture critical traceable part categories in the criticality designations appendix.</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MIL-HDBK-1783B w/Change 2</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Engine Structural Integrity Program (ENSIP). Guidance only, and it cannot be cited as a requirement. It supersedes the cancelled engine structural integrity standard, which is why the fracture critical component designation usually rests on contract language.</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AS9100D</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Quality Management Systems, Requirements for Aviation, Space and Defense Organizations. Identification and traceability requirements. Quality system traceability reaches the next higher assembly; the cascade to the end item in the identifier assignment section is company direction rather than a requirement of this standard.</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45.15(c)</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Marking of critical parts. Requires a unique serial number, or equivalent, on a part carrying a replacement time, inspection interval, or related procedure in the airworthiness limitations section. The practical trigger for most civil serialization.</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43.10</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Disposition of life-limited aircraft parts. Defines the life-limited part and its life status.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25.571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Damage tolerance and fatigue evaluation of structure. Source of the two principal structural element evaluation paths.</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27.602 and 29.602</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Rotorcraft critical parts. Defines the part by the critical characteristics that must be controlled.</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25.613 and AC 25.613-1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Material strength properties and material design values. Basis for the premium selection material designation, where a specimen of each individual item is tested before use, and for the alternative approved material design values recording driver. The two are different obligations under the same rule.</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14 CFR 25.621 and AC 25.621-1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Casting factors. Basis for the casting inspection and casting factor recording driver.</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ATA iSpec 2200 / S1000D</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Industry decomposition and data schemes referenced for MBSE-aligned CI structuring (see candidate identification and the MBSE alignment appendix)</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DI-SESS-81254</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Request for Nomenclature</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DI-SESS-81248</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Control Document (ICD)</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DI-SESS-82007</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Item Documentation Recommendation</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DI-SESS-81121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Baseline Description Document</w:t>
            </w:r>
          </w:p>
        </w:tc>
      </w:tr>
      <w:tr>
        <w:trPr>
          <w:cantSplit/>
          <w:tblHeader w:val="false"/>
        </w:trPr>
        <w:tc>
          <w:tcPr>
            <w:tcW w:type="dxa" w:w="27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DI-SESS-81011</w:t>
            </w:r>
          </w:p>
        </w:tc>
        <w:tc>
          <w:tcPr>
            <w:tcW w:type="dxa" w:w="66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Drawing/Model Number Assignment Report</w:t>
            </w:r>
          </w:p>
        </w:tc>
      </w:tr>
    </w:tbl>
    <w:p>
      <w:pPr>
        <w:spacing w:after="120" w:before="0"/>
      </w:pPr>
    </w:p>
    <w:p>
      <w:pPr>
        <w:spacing w:after="120" w:line="264"/>
      </w:pPr>
      <w:r>
        <w:rPr>
          <w:rFonts w:ascii="Calibri" w:cs="Calibri" w:eastAsia="Calibri" w:hAnsi="Calibri"/>
          <w:i/>
          <w:iCs/>
        </w:rPr>
        <w:t xml:space="preserve">Referenced by plain name. Every document above is referred to in the body of this process by the plain name in the Title column, not by its number. Record the corresponding company document number once, in the Document column, and every reference in this process then resolves. Parts of this process are referred to the same way, by what they are rather than by where they sit. Data Item Descriptions (DIDs) apply only where cited on contract via CDRL.</w:t>
      </w:r>
    </w:p>
    <w:p>
      <w:pPr>
        <w:pStyle w:val="Heading1"/>
        <w:keepNext/>
      </w:pPr>
      <w:r>
        <w:rPr>
          <w:rFonts w:ascii="Calibri" w:cs="Calibri" w:eastAsia="Calibri" w:hAnsi="Calibri"/>
        </w:rPr>
        <w:t xml:space="preserve">3. Definitions and Acronyms</w:t>
      </w:r>
    </w:p>
    <w:p>
      <w:pPr>
        <w:pStyle w:val="Heading2"/>
        <w:keepNext/>
      </w:pPr>
      <w:r>
        <w:rPr>
          <w:rFonts w:ascii="Calibri" w:cs="Calibri" w:eastAsia="Calibri" w:hAnsi="Calibri"/>
        </w:rPr>
        <w:t xml:space="preserve">3.1 Definitions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300"/>
        <w:gridCol w:w="7060"/>
      </w:tblGrid>
      <w:tr>
        <w:trPr>
          <w:cantSplit/>
          <w:tblHeader/>
        </w:trPr>
        <w:tc>
          <w:tcPr>
            <w:tcW w:type="dxa" w:w="23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Term</w:t>
            </w:r>
          </w:p>
        </w:tc>
        <w:tc>
          <w:tcPr>
            <w:tcW w:type="dxa" w:w="70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Definition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Item (CI)</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Identification</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CM function that selects CIs, organizes the system into a hierarchical structure, determines the configuration documentation required for the system and its components, issues identifiers, releases CIs and their documentation, and establishes configuration baselines.</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Documentation</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Technical documentation whose primary purpose is to identify and define a product’s performance, functional, and physical attributes (e.g., specifications, drawings, models). Comprises functional, allocated, and product configuration documentation.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Baseline</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 agreed-to definition of the attributes of a product at a point in time, identifying a known configuration to which changes are addressed. Baseline types are functional (FBL), allocated (ABL), and product (PBL).</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Part or Identifying Number (PIN)</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identifier that, combined with the design activity CAGE code, uniquely identifies an item and its configuration. The PIN changes when a modification creates a non-interchangeable condition.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Product Unit Identifier</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serial, lot, or batch number that distinguishes one unit (or group of units) of a product from another. Unit identifiers are never revised or re-used once assigned, even when the PIN changes.</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Product Structure</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hierarchical organization of a product and its components used to organize product configuration information over the lifecycle.</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Source</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 artifact in which Systems Engineering identifies and defines interfaces, and which the program CMP names as an interface source. Interface sources include interface control documents, interface requirements specifications, interface design descriptions, the interface sections of specifications, source control drawings, vendor item control drawings, and drawings, and, where MBSE is used, interface elements between model elements at the CI-designation level. One interface source may define interfaces between several pairs of items. One interface may be defined in several interface sources.</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Safety-Critical Item (SCI)</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hardware or software item that has been determined through analysis to potentially contribute to a hazard with Catastrophic or Critical mishap potential, or that may be implemented to mitigate a hazard with Catastrophic or Critical mishap potential. The term is defined in the system safety standard.</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Safety-Critical Function (SCF)</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function whose failure or malfunction could result in a catastrophic or critical mishap. The term is defined in the system safety standard. </w:t>
            </w:r>
            <w:r>
              <w:rPr>
                <w:rFonts w:ascii="Calibri" w:cs="Calibri" w:eastAsia="Calibri" w:hAnsi="Calibri"/>
                <w:b/>
                <w:bCs/>
                <w:sz w:val="18"/>
                <w:szCs w:val="18"/>
              </w:rPr>
              <w:t xml:space="preserve">[VERIFY THE VERBATIM WORDING AGAINST THE CURRENT ISSUE OF THE SYSTEM SAFETY STANDARD BEFORE RELEASE.]</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Product Definition Data (PDD)</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design data that defines an item’s physical and functional attributes: drawings, models, and associated lists such as parts lists. PDD is part of the product configuration documentation. It is narrower than product definition information, which also includes the product’s requirements and process information.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Control Tier</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record of who baselines and controls a CI’s specification. The three tiers are Acquirer-spec controlled, Company-spec controlled, and GFE.</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Acquirer-Spec Controlled CI</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CI with its own specification, which the Acquirer baselines and controls. The Acquirer takes control when it approves the baseline the specification belongs to: the FBL for the system specification, the ABL for item specifications.</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Company-Spec Controlled CI</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CI below an Acquirer-spec controlled CI. The company baselines and controls its specification, where it has one. A change with Class I effect reaches the Acquirer through the parent CI’s baselines.</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Government Furnished Equipment (GFE) CI</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Government furnished equipment installed in the product structure and entered in the CI hierarchy. The Government holds its definition.</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Source Control Drawing (SCD)</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drawing that provides an engineering description, qualification requirements, and acceptance criteria for a vendor-developed or commercial item procurable from a specialized segment of industry that provides the performance, installation, and interchangeability characteristics required for a critical application, and that identifies the approved sources. The company controls form, fit, function, interface, and qualification. The vendor holds the detailed design.</w:t>
            </w:r>
            <w:r>
              <w:rPr>
                <w:rFonts w:ascii="Calibri" w:cs="Calibri" w:eastAsia="Calibri" w:hAnsi="Calibri"/>
                <w:b/>
                <w:bCs/>
                <w:sz w:val="18"/>
                <w:szCs w:val="18"/>
              </w:rPr>
              <w:t xml:space="preserve"> [VERIFY THE ADDED CRITICAL APPLICATION WORDING AGAINST THE CURRENT ISSUE OF ASME Y14.24 BEFORE RELEASE.]</w:t>
            </w:r>
          </w:p>
        </w:tc>
      </w:tr>
      <w:tr>
        <w:trPr>
          <w:cantSplit/>
          <w:tblHeader w:val="false"/>
        </w:trPr>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Vendor Item Control Drawing (VICD)</w:t>
            </w:r>
          </w:p>
        </w:tc>
        <w:tc>
          <w:tcPr>
            <w:tcW w:type="dxa" w:w="70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drawing that provides an engineering description and acceptance criteria sufficient to identify and select a vendor-developed or commercial item, and that identifies the vendor and the vendor item identification. It controls selection. It does not control the item, and the company holds no design authority over it.</w:t>
            </w:r>
          </w:p>
        </w:tc>
      </w:tr>
    </w:tbl>
    <w:p>
      <w:pPr>
        <w:spacing w:after="120" w:before="0"/>
      </w:pPr>
    </w:p>
    <w:p>
      <w:pPr>
        <w:spacing w:after="120" w:line="264"/>
      </w:pPr>
      <w:r>
        <w:rPr>
          <w:rFonts w:ascii="Calibri" w:cs="Calibri" w:eastAsia="Calibri" w:hAnsi="Calibri"/>
          <w:b/>
          <w:bCs/>
          <w:i/>
          <w:iCs/>
        </w:rPr>
        <w:t xml:space="preserve">The safety-critical item is not the critical safety item.</w:t>
      </w:r>
      <w:r>
        <w:rPr>
          <w:rFonts w:ascii="Calibri" w:cs="Calibri" w:eastAsia="Calibri" w:hAnsi="Calibri"/>
          <w:i/>
          <w:iCs/>
        </w:rPr>
        <w:t xml:space="preserve"> The system safety standard states that its own safety-critical item term is independent of the critical safety item term in the governing public laws. The two terms carry different authority, a different object, and a different obligation. See the criticality designations appendix.</w:t>
      </w:r>
    </w:p>
    <w:p>
      <w:pPr>
        <w:pStyle w:val="Heading2"/>
        <w:keepNext/>
      </w:pPr>
      <w:r>
        <w:rPr>
          <w:rFonts w:ascii="Calibri" w:cs="Calibri" w:eastAsia="Calibri" w:hAnsi="Calibri"/>
        </w:rPr>
        <w:t xml:space="preserve">3.2 Acronyms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900"/>
        <w:gridCol w:w="7460"/>
      </w:tblGrid>
      <w:tr>
        <w:trPr>
          <w:cantSplit/>
          <w:tblHeader/>
        </w:trPr>
        <w:tc>
          <w:tcPr>
            <w:tcW w:type="dxa" w:w="1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Acronym</w:t>
            </w:r>
          </w:p>
        </w:tc>
        <w:tc>
          <w:tcPr>
            <w:tcW w:type="dxa" w:w="74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Meaning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ABL / FBL / PBL</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Allocated / Functional / Product Baseline</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CAGE</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Commercial and Government Entity (code)</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CDRL</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Contract Data Requirements List</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CI / CSCI</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Item / Computer Software Configuration Item</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CMP</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Management Plan</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CSI</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Critical Safety Item</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CSA</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Status Accounting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DID</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Data Item Description</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FMEA / FMECA</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Failure Modes and Effects Analysis / Failure Modes, Effects, and Criticality Analysis</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GFE</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Government Furnished Equipment</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ICD</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Control Document</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ICWG</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Control Working Group</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IUID / UII</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Item Unique Identification / Unique Item Identifier</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MBSE</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Model-Based Systems Engineering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PDD</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Product Definition Data</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PIN</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Part or Identifying Number</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PLM</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Product Lifecycle Management</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SCD</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Source Control Drawing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SCI / SCF</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Safety-Critical Item / Safety-Critical Function</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SMS</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 Management System</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SNS</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Standard Numbering System (S1000D)</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SSOW</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Supplier Statement of Work</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SysML / UAF</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Systems Modeling Language / Unified Architecture Framework</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VICD</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Vendor Item Control Drawing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WBS</w:t>
            </w:r>
          </w:p>
        </w:tc>
        <w:tc>
          <w:tcPr>
            <w:tcW w:type="dxa" w:w="74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Work Breakdown Structure</w:t>
            </w:r>
          </w:p>
        </w:tc>
      </w:tr>
    </w:tbl>
    <w:p>
      <w:pPr>
        <w:spacing w:after="120" w:before="0"/>
      </w:pPr>
    </w:p>
    <w:p>
      <w:pPr>
        <w:pStyle w:val="Heading1"/>
        <w:keepNext/>
      </w:pPr>
      <w:r>
        <w:rPr>
          <w:rFonts w:ascii="Calibri" w:cs="Calibri" w:eastAsia="Calibri" w:hAnsi="Calibri"/>
        </w:rPr>
        <w:t xml:space="preserve">4. Roles and Responsibilities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200"/>
        <w:gridCol w:w="7160"/>
      </w:tblGrid>
      <w:tr>
        <w:trPr>
          <w:cantSplit/>
          <w:tblHeader/>
        </w:trPr>
        <w:tc>
          <w:tcPr>
            <w:tcW w:type="dxa" w:w="22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Role</w:t>
            </w:r>
          </w:p>
        </w:tc>
        <w:tc>
          <w:tcPr>
            <w:tcW w:type="dxa" w:w="71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Responsibilities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Configuration Management (CM)</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Owns this process. Nominates the candidate CIs by reading the source material, applies the selection criteria screen, and makes the selection determination. Creates and owns the CI structure and hierarchy. Maps identified interfaces to the CI structure, maintains the interface register, and verifies interface coverage. Maintains the CI index and the selection rationale records, assigns and controls identifiers per program conventions, determines and releases the configuration documentation, establishes and records the baselines, and coordinates Acquirer concurrence submittals. Monitors the re-evaluation triggers and re-runs identification. CM does not re-perform another function’s domain analysis. CM reads that analysis, applies the criteria to it, and asks where the basis is unclear.</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Systems Engineering</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Maintains the system architecture, product structure, and MBSE decomposition, and answers CM’s questions on decomposition and function. Confirms the CI structure does not misrepresent the decomposition. Concurs on the end-use function gate and where the determination rests on specification or interface considerations. Performs interface requirement identification, which is mandatory for safety, and defines the identified interfaces in the interface sources. Dispositions interface coverage exceptions. Allocates requirements to CIs. Notifies CM of design and architecture change.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Design Engineering</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Produces configuration documentation (specifications, drawings, models) and answers CM’s questions on design considerations that bear on the screen. Assigns PINs per design activity conventions.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Logistics / Product Support</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Answers on provisioning, technical manuals, support and test equipment, and maintenance planning, and identifies the items that carry those obligations. Concurs on the logistics elements criterion. Confirms CI selection supports the supportability strategy. Notifies CM of supportability strategy change.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System Safety</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Maintains the hazard analyses and the safety-critical item identifications, and answers on safety consequence. Concurs on the rationale where criterion (b) was answered yes and the item is not designated as a CI. Confirms hazard risk controls are captured in the baselined documentation. Notifies CM of hazard analysis revision.</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RM&amp;SH</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Maintains the failure modes and criticality analyses and answers on failure consequence, single point and common mode failures, and life limits. Concurs where the determination rests on failure modes and effects or criticality analysis, single point or common mode failure identification, or a maintainability or health-monitoring driven limit. Supplies the reliability and maintainability basis for life limits and inspection intervals. Notifies CM where a criticality analysis or life limit changes.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Human Factors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Answers where operation or maintenance carries human error consequence. Advises where the consequence pathway runs through operator or maintainer action. Identifies human system interfaces. Each one is defined in the interface source for the interface it sits on, or in the specification of the CI the person operates or maintains.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Supplier Requirements Engineering</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Confirms the level at which each item is procured, which sets where the customer-facing CI sits for supplier-designed items. Confirms which supplier holds an interface under contract. Flows the safety-critical, life-limited, and special-handling designations and the marking requirements to suppliers, and confirms which of the three authorship cases applies. Notifies CM of source and sub-tier supplier change.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Equipment Managers and Responsible Engineers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Answer on what is procured and at what level. Supply the engineering basis and configuration documentation from their suppliers for their items. Confirm the CI structure matches how their equipment is specified and changed. Confirm the documentation set is sufficient to define and reprocure their items.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Program Management</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Approves the proposed CI list for submittal. Resolves cost/schedule trades in CI selection level.</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Acquirer</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Reviews every proposed CI and provides selection concurrence. Holds final CI designation authority. May designate items as CIs directly.</w:t>
            </w:r>
          </w:p>
        </w:tc>
      </w:tr>
    </w:tbl>
    <w:p>
      <w:pPr>
        <w:spacing w:after="120" w:before="0"/>
      </w:pPr>
    </w:p>
    <w:p>
      <w:pPr>
        <w:spacing w:after="120" w:line="264"/>
      </w:pPr>
      <w:r>
        <w:rPr>
          <w:rFonts w:ascii="Calibri" w:cs="Calibri" w:eastAsia="Calibri" w:hAnsi="Calibri"/>
          <w:i/>
          <w:iCs/>
        </w:rPr>
        <w:t xml:space="preserve">How to read this table. CM nominates, screens, decides, and owns the CI structure. The other functions maintain their own analyses and answer CM’s questions about them. Several of them concur that the technical basis is sound. Concurrence is not selection. The “who does what” paragraph at the head of each activity in Section 5 states the same division for that activity. Where this table and a “who does what” paragraph disagree, the paragraph governs and this table is corrected.</w:t>
      </w:r>
    </w:p>
    <w:p>
      <w:pPr>
        <w:pStyle w:val="Heading1"/>
        <w:keepNext/>
      </w:pPr>
      <w:r>
        <w:rPr>
          <w:rFonts w:ascii="Calibri" w:cs="Calibri" w:eastAsia="Calibri" w:hAnsi="Calibri"/>
        </w:rPr>
        <w:t xml:space="preserve">5. Process</w:t>
      </w:r>
    </w:p>
    <w:p>
      <w:pPr>
        <w:spacing w:after="120" w:line="264"/>
      </w:pPr>
      <w:r>
        <w:rPr>
          <w:rFonts w:ascii="Calibri" w:cs="Calibri" w:eastAsia="Calibri" w:hAnsi="Calibri"/>
        </w:rPr>
        <w:t xml:space="preserve">The configuration identification process consists of the activities below. The process is iterative: CI selection begins early (typically before or at the system functional/requirements reviews) and is revisited as the design matures and at each baseline establishment.</w:t>
      </w:r>
    </w:p>
    <w:p>
      <w:pPr>
        <w:pStyle w:val="Heading2"/>
        <w:keepNext/>
      </w:pPr>
      <w:r>
        <w:rPr>
          <w:rFonts w:ascii="Calibri" w:cs="Calibri" w:eastAsia="Calibri" w:hAnsi="Calibri"/>
        </w:rPr>
        <w:t xml:space="preserve">5.1 Overall Process Inputs</w:t>
      </w:r>
    </w:p>
    <w:p>
      <w:pPr>
        <w:spacing w:after="120" w:line="264"/>
      </w:pPr>
      <w:r>
        <w:rPr>
          <w:rFonts w:ascii="Calibri" w:cs="Calibri" w:eastAsia="Calibri" w:hAnsi="Calibri"/>
        </w:rPr>
        <w:t xml:space="preserve">The following are inputs to the process as a whole. Each subsequent section additionally identifies its specific inputs and outputs; an output of one section is typically an input to the next.</w:t>
      </w:r>
    </w:p>
    <w:p>
      <w:pPr>
        <w:pStyle w:val="ListParagraph"/>
        <w:numPr>
          <w:ilvl w:val="0"/>
          <w:numId w:val="2"/>
        </w:numPr>
        <w:spacing w:after="80" w:line="264"/>
      </w:pPr>
      <w:r>
        <w:rPr>
          <w:rFonts w:ascii="Calibri" w:cs="Calibri" w:eastAsia="Calibri" w:hAnsi="Calibri"/>
        </w:rPr>
        <w:t xml:space="preserve">System architecture and product structure, including the MBSE model where one exists</w:t>
      </w:r>
    </w:p>
    <w:p>
      <w:pPr>
        <w:pStyle w:val="ListParagraph"/>
        <w:numPr>
          <w:ilvl w:val="0"/>
          <w:numId w:val="2"/>
        </w:numPr>
        <w:spacing w:after="80" w:line="264"/>
      </w:pPr>
      <w:r>
        <w:rPr>
          <w:rFonts w:ascii="Calibri" w:cs="Calibri" w:eastAsia="Calibri" w:hAnsi="Calibri"/>
        </w:rPr>
        <w:t xml:space="preserve">Program Work Breakdown Structure (WBS) and contract line items</w:t>
      </w:r>
    </w:p>
    <w:p>
      <w:pPr>
        <w:pStyle w:val="ListParagraph"/>
        <w:numPr>
          <w:ilvl w:val="0"/>
          <w:numId w:val="2"/>
        </w:numPr>
        <w:spacing w:after="80" w:line="264"/>
      </w:pPr>
      <w:r>
        <w:rPr>
          <w:rFonts w:ascii="Calibri" w:cs="Calibri" w:eastAsia="Calibri" w:hAnsi="Calibri"/>
        </w:rPr>
        <w:t xml:space="preserve">System, item, and interface specifications; interface definitions</w:t>
      </w:r>
    </w:p>
    <w:p>
      <w:pPr>
        <w:pStyle w:val="ListParagraph"/>
        <w:numPr>
          <w:ilvl w:val="0"/>
          <w:numId w:val="2"/>
        </w:numPr>
        <w:spacing w:after="80" w:line="264"/>
      </w:pPr>
      <w:r>
        <w:rPr>
          <w:rFonts w:ascii="Calibri" w:cs="Calibri" w:eastAsia="Calibri" w:hAnsi="Calibri"/>
        </w:rPr>
        <w:t xml:space="preserve">Contract requirements, SOW, and CDRLs (including any Acquirer-directed CI designations)</w:t>
      </w:r>
    </w:p>
    <w:p>
      <w:pPr>
        <w:pStyle w:val="ListParagraph"/>
        <w:numPr>
          <w:ilvl w:val="0"/>
          <w:numId w:val="2"/>
        </w:numPr>
        <w:spacing w:after="80" w:line="264"/>
      </w:pPr>
      <w:r>
        <w:rPr>
          <w:rFonts w:ascii="Calibri" w:cs="Calibri" w:eastAsia="Calibri" w:hAnsi="Calibri"/>
        </w:rPr>
        <w:t xml:space="preserve">SCI sources: the FMEA and FMECA, the SMS hazard log, and the system safety hazard analysis reports; critical safety item designations</w:t>
      </w:r>
    </w:p>
    <w:p>
      <w:pPr>
        <w:pStyle w:val="ListParagraph"/>
        <w:numPr>
          <w:ilvl w:val="0"/>
          <w:numId w:val="2"/>
        </w:numPr>
        <w:spacing w:after="80" w:line="264"/>
      </w:pPr>
      <w:r>
        <w:rPr>
          <w:rFonts w:ascii="Calibri" w:cs="Calibri" w:eastAsia="Calibri" w:hAnsi="Calibri"/>
        </w:rPr>
        <w:t xml:space="preserve">Supportability/logistics planning products (provisioning strategy, maintenance concept)</w:t>
      </w:r>
    </w:p>
    <w:p>
      <w:pPr>
        <w:pStyle w:val="ListParagraph"/>
        <w:numPr>
          <w:ilvl w:val="0"/>
          <w:numId w:val="2"/>
        </w:numPr>
        <w:spacing w:after="80" w:line="264"/>
      </w:pPr>
      <w:r>
        <w:rPr>
          <w:rFonts w:ascii="Calibri" w:cs="Calibri" w:eastAsia="Calibri" w:hAnsi="Calibri"/>
        </w:rPr>
        <w:t xml:space="preserve">Program CMP</w:t>
      </w:r>
    </w:p>
    <w:p>
      <w:pPr>
        <w:pStyle w:val="Heading2"/>
        <w:keepNext/>
      </w:pPr>
      <w:r>
        <w:rPr>
          <w:rFonts w:ascii="Calibri" w:cs="Calibri" w:eastAsia="Calibri" w:hAnsi="Calibri"/>
        </w:rPr>
        <w:t xml:space="preserve">5.2 Candidate CI Identification</w:t>
      </w:r>
    </w:p>
    <w:p>
      <w:pPr>
        <w:spacing w:after="120" w:line="264"/>
      </w:pPr>
      <w:r>
        <w:rPr>
          <w:rFonts w:ascii="Calibri" w:cs="Calibri" w:eastAsia="Calibri" w:hAnsi="Calibri"/>
          <w:b/>
          <w:bCs/>
        </w:rPr>
        <w:t xml:space="preserve">Inputs: </w:t>
      </w:r>
      <w:r>
        <w:rPr>
          <w:rFonts w:ascii="Calibri" w:cs="Calibri" w:eastAsia="Calibri" w:hAnsi="Calibri"/>
        </w:rPr>
        <w:t xml:space="preserve">Product structure/WBS; system architecture and MBSE model; contract, SOW, and CDRLs including Acquirer-directed designations; SCI sources (FMEA and FMECA, SMS hazard log, system safety hazard analysis reports); critical safety item designations; supportability planning products.</w:t>
      </w:r>
    </w:p>
    <w:p>
      <w:pPr>
        <w:spacing w:after="120" w:line="264"/>
      </w:pPr>
      <w:r>
        <w:rPr>
          <w:rFonts w:ascii="Calibri" w:cs="Calibri" w:eastAsia="Calibri" w:hAnsi="Calibri"/>
          <w:b/>
          <w:bCs/>
        </w:rPr>
        <w:t xml:space="preserve">Outputs: </w:t>
      </w:r>
      <w:r>
        <w:rPr>
          <w:rFonts w:ascii="Calibri" w:cs="Calibri" w:eastAsia="Calibri" w:hAnsi="Calibri"/>
        </w:rPr>
        <w:t xml:space="preserve">Candidate CI list; decomposition basis for the CI structure (MBSE scheme per the alignment requirement, or engineering product structure).</w:t>
      </w:r>
    </w:p>
    <w:p>
      <w:pPr>
        <w:spacing w:after="120" w:line="264"/>
      </w:pPr>
      <w:r>
        <w:rPr>
          <w:rFonts w:ascii="Calibri" w:cs="Calibri" w:eastAsia="Calibri" w:hAnsi="Calibri"/>
          <w:b/>
          <w:bCs/>
        </w:rPr>
        <w:t xml:space="preserve">Who does what. CM nominates the candidates.</w:t>
      </w:r>
      <w:r>
        <w:rPr>
          <w:rFonts w:ascii="Calibri" w:cs="Calibri" w:eastAsia="Calibri" w:hAnsi="Calibri"/>
        </w:rPr>
        <w:t xml:space="preserve"> A CM engineer builds the candidate set by reading the source material, not by waiting to be handed a list. CM works through the system and item specifications, the MBSE architecture and its decomposition, the hazard analyses and safety-critical item lists, the failure modes and criticality analyses, the provisioning and support plans, and the procurement statements of work. CM asks the questions each source raises and records the answers. The supporting functions maintain and explain their own products. </w:t>
      </w:r>
      <w:r>
        <w:rPr>
          <w:rFonts w:ascii="Calibri" w:cs="Calibri" w:eastAsia="Calibri" w:hAnsi="Calibri"/>
          <w:b/>
          <w:bCs/>
        </w:rPr>
        <w:t xml:space="preserve">Systems Engineering</w:t>
      </w:r>
      <w:r>
        <w:rPr>
          <w:rFonts w:ascii="Calibri" w:cs="Calibri" w:eastAsia="Calibri" w:hAnsi="Calibri"/>
        </w:rPr>
        <w:t xml:space="preserve"> maintains the architecture and answers on decomposition and function. </w:t>
      </w:r>
      <w:r>
        <w:rPr>
          <w:rFonts w:ascii="Calibri" w:cs="Calibri" w:eastAsia="Calibri" w:hAnsi="Calibri"/>
          <w:b/>
          <w:bCs/>
        </w:rPr>
        <w:t xml:space="preserve">System Safety</w:t>
      </w:r>
      <w:r>
        <w:rPr>
          <w:rFonts w:ascii="Calibri" w:cs="Calibri" w:eastAsia="Calibri" w:hAnsi="Calibri"/>
        </w:rPr>
        <w:t xml:space="preserve"> and </w:t>
      </w:r>
      <w:r>
        <w:rPr>
          <w:rFonts w:ascii="Calibri" w:cs="Calibri" w:eastAsia="Calibri" w:hAnsi="Calibri"/>
          <w:b/>
          <w:bCs/>
        </w:rPr>
        <w:t xml:space="preserve">SMS</w:t>
      </w:r>
      <w:r>
        <w:rPr>
          <w:rFonts w:ascii="Calibri" w:cs="Calibri" w:eastAsia="Calibri" w:hAnsi="Calibri"/>
        </w:rPr>
        <w:t xml:space="preserve"> maintain the hazard analyses and answer on safety consequence. </w:t>
      </w:r>
      <w:r>
        <w:rPr>
          <w:rFonts w:ascii="Calibri" w:cs="Calibri" w:eastAsia="Calibri" w:hAnsi="Calibri"/>
          <w:b/>
          <w:bCs/>
        </w:rPr>
        <w:t xml:space="preserve">RM</w:t>
      </w:r>
      <w:r>
        <w:rPr>
          <w:rFonts w:ascii="Calibri" w:cs="Calibri" w:eastAsia="Calibri" w:hAnsi="Calibri"/>
        </w:rPr>
        <w:t xml:space="preserve">&amp;</w:t>
      </w:r>
      <w:r>
        <w:rPr>
          <w:rFonts w:ascii="Calibri" w:cs="Calibri" w:eastAsia="Calibri" w:hAnsi="Calibri"/>
          <w:b/>
          <w:bCs/>
        </w:rPr>
        <w:t xml:space="preserve">SH</w:t>
      </w:r>
      <w:r>
        <w:rPr>
          <w:rFonts w:ascii="Calibri" w:cs="Calibri" w:eastAsia="Calibri" w:hAnsi="Calibri"/>
        </w:rPr>
        <w:t xml:space="preserve"> maintains the failure modes and criticality analyses and answers on failure consequence, single point failures, and life limits. </w:t>
      </w:r>
      <w:r>
        <w:rPr>
          <w:rFonts w:ascii="Calibri" w:cs="Calibri" w:eastAsia="Calibri" w:hAnsi="Calibri"/>
          <w:b/>
          <w:bCs/>
        </w:rPr>
        <w:t xml:space="preserve">Human Factors</w:t>
      </w:r>
      <w:r>
        <w:rPr>
          <w:rFonts w:ascii="Calibri" w:cs="Calibri" w:eastAsia="Calibri" w:hAnsi="Calibri"/>
        </w:rPr>
        <w:t xml:space="preserve"> answers where operation or maintenance carries human error consequence. </w:t>
      </w:r>
      <w:r>
        <w:rPr>
          <w:rFonts w:ascii="Calibri" w:cs="Calibri" w:eastAsia="Calibri" w:hAnsi="Calibri"/>
          <w:b/>
          <w:bCs/>
        </w:rPr>
        <w:t xml:space="preserve">Logistics</w:t>
      </w:r>
      <w:r>
        <w:rPr>
          <w:rFonts w:ascii="Calibri" w:cs="Calibri" w:eastAsia="Calibri" w:hAnsi="Calibri"/>
        </w:rPr>
        <w:t xml:space="preserve"> answers on provisioning, technical manuals, and support equipment. </w:t>
      </w:r>
      <w:r>
        <w:rPr>
          <w:rFonts w:ascii="Calibri" w:cs="Calibri" w:eastAsia="Calibri" w:hAnsi="Calibri"/>
          <w:b/>
          <w:bCs/>
        </w:rPr>
        <w:t xml:space="preserve">Supplier Requirements Engineering, Equipment Managers, and Responsible Engineers</w:t>
      </w:r>
      <w:r>
        <w:rPr>
          <w:rFonts w:ascii="Calibri" w:cs="Calibri" w:eastAsia="Calibri" w:hAnsi="Calibri"/>
        </w:rPr>
        <w:t xml:space="preserve"> answer on what is procured and at what level. Those functions supply the data. </w:t>
      </w:r>
      <w:r>
        <w:rPr>
          <w:rFonts w:ascii="Calibri" w:cs="Calibri" w:eastAsia="Calibri" w:hAnsi="Calibri"/>
          <w:b/>
          <w:bCs/>
        </w:rPr>
        <w:t xml:space="preserve">CM decides what enters the candidate set.</w:t>
      </w:r>
    </w:p>
    <w:p>
      <w:pPr>
        <w:spacing w:after="120" w:line="264"/>
      </w:pPr>
      <w:r>
        <w:rPr>
          <w:rFonts w:ascii="Calibri" w:cs="Calibri" w:eastAsia="Calibri" w:hAnsi="Calibri"/>
        </w:rPr>
        <w:t xml:space="preserve">Identify candidate CIs by top-down decomposition of the system engineering architecture. Either the Acquirer or the company may make initial top-level recommendations, but the company is responsible for the comprehensive recommendation.</w:t>
      </w:r>
    </w:p>
    <w:p>
      <w:pPr>
        <w:spacing w:after="120" w:line="264"/>
      </w:pPr>
      <w:r>
        <w:rPr>
          <w:rFonts w:ascii="Calibri" w:cs="Calibri" w:eastAsia="Calibri" w:hAnsi="Calibri"/>
        </w:rPr>
        <w:t xml:space="preserve">The top tier of candidates normally corresponds to contract line items. Lower-level candidates are nominated via the selection criteria screen.</w:t>
      </w:r>
    </w:p>
    <w:p>
      <w:pPr>
        <w:spacing w:after="120" w:line="264"/>
      </w:pPr>
      <w:r>
        <w:rPr>
          <w:rFonts w:ascii="Calibri" w:cs="Calibri" w:eastAsia="Calibri" w:hAnsi="Calibri"/>
        </w:rPr>
        <w:t xml:space="preserve">Items named by an SCI source, and items carrying a Table C-1 designation, are included in the candidate set and screened against the selection criteria.</w:t>
      </w:r>
    </w:p>
    <w:p>
      <w:pPr>
        <w:pStyle w:val="Heading3"/>
        <w:keepNext/>
      </w:pPr>
      <w:r>
        <w:rPr>
          <w:rFonts w:ascii="Calibri" w:cs="Calibri" w:eastAsia="Calibri" w:hAnsi="Calibri"/>
        </w:rPr>
        <w:t xml:space="preserve">5.2.1 MBSE Alignment Requirement</w:t>
      </w:r>
    </w:p>
    <w:p>
      <w:pPr>
        <w:spacing w:after="120" w:line="264"/>
      </w:pPr>
      <w:r>
        <w:rPr>
          <w:rFonts w:ascii="Calibri" w:cs="Calibri" w:eastAsia="Calibri" w:hAnsi="Calibri"/>
        </w:rPr>
        <w:t xml:space="preserve">Where MBSE is used on the program, the CI structure (CI parent-child relationships) mirrors the decomposition method of the MBSE architecture. The preferred decomposition schemes are the ATA chapter scheme or the S1000D SNS, implemented using SysML or UAF conventions. Where the program MBSE model uses a different decomposition scheme, the CI structure mirrors that scheme. The CI hierarchy departs from the architecture model only where Systems Engineering accepts the departure. CM records the reason as a model alignment exception in the CI index. See the MBSE-to-CI structure alignment guidance of this process.</w:t>
      </w:r>
    </w:p>
    <w:p>
      <w:pPr>
        <w:spacing w:after="120" w:line="264"/>
      </w:pPr>
      <w:r>
        <w:rPr>
          <w:rFonts w:ascii="Calibri" w:cs="Calibri" w:eastAsia="Calibri" w:hAnsi="Calibri"/>
        </w:rPr>
        <w:t xml:space="preserve">Where no MBSE model exists, the CI structure may follow specification decomposition methods or certification decomposition methods. It does not follow the engineering bill of material. The bill of material is organized for building the product, and building it is not the only thing the CI structure has to serve.</w:t>
      </w:r>
    </w:p>
    <w:p>
      <w:pPr>
        <w:pStyle w:val="Heading2"/>
        <w:keepNext/>
      </w:pPr>
      <w:r>
        <w:rPr>
          <w:rFonts w:ascii="Calibri" w:cs="Calibri" w:eastAsia="Calibri" w:hAnsi="Calibri"/>
        </w:rPr>
        <w:t xml:space="preserve">5.3 Application of CI Selection Criteria</w:t>
      </w:r>
    </w:p>
    <w:p>
      <w:pPr>
        <w:spacing w:after="120" w:line="264"/>
      </w:pPr>
      <w:r>
        <w:rPr>
          <w:rFonts w:ascii="Calibri" w:cs="Calibri" w:eastAsia="Calibri" w:hAnsi="Calibri"/>
          <w:b/>
          <w:bCs/>
        </w:rPr>
        <w:t xml:space="preserve">Inputs: </w:t>
      </w:r>
      <w:r>
        <w:rPr>
          <w:rFonts w:ascii="Calibri" w:cs="Calibri" w:eastAsia="Calibri" w:hAnsi="Calibri"/>
        </w:rPr>
        <w:t xml:space="preserve">Candidate CI list; specifications; SCI sources and critical safety item designations; the CI selection criteria checklist; GEIA-HB-649A Appendix D supplemental criteria where applied.</w:t>
      </w:r>
    </w:p>
    <w:p>
      <w:pPr>
        <w:spacing w:after="120" w:line="264"/>
      </w:pPr>
      <w:r>
        <w:rPr>
          <w:rFonts w:ascii="Calibri" w:cs="Calibri" w:eastAsia="Calibri" w:hAnsi="Calibri"/>
          <w:b/>
          <w:bCs/>
        </w:rPr>
        <w:t xml:space="preserve">Outputs: </w:t>
      </w:r>
      <w:r>
        <w:rPr>
          <w:rFonts w:ascii="Calibri" w:cs="Calibri" w:eastAsia="Calibri" w:hAnsi="Calibri"/>
        </w:rPr>
        <w:t xml:space="preserve">Completed selection criteria assessments with documented rationale for every candidate; selected-CI determinations; System Safety concurrence records where applicable.</w:t>
      </w:r>
    </w:p>
    <w:p>
      <w:pPr>
        <w:spacing w:after="120" w:line="264"/>
      </w:pPr>
      <w:r>
        <w:rPr>
          <w:rFonts w:ascii="Calibri" w:cs="Calibri" w:eastAsia="Calibri" w:hAnsi="Calibri"/>
          <w:b/>
          <w:bCs/>
        </w:rPr>
        <w:t xml:space="preserve">Who does what. CM applies the screen and makes the selection determination.</w:t>
      </w:r>
      <w:r>
        <w:rPr>
          <w:rFonts w:ascii="Calibri" w:cs="Calibri" w:eastAsia="Calibri" w:hAnsi="Calibri"/>
        </w:rPr>
        <w:t xml:space="preserve"> CM records the determination and rationale for every candidate and owns the completed checklist. CM does not re-perform another function’s domain analysis. CM reads that analysis, applies the criteria to it, and asks where the basis is unclear. </w:t>
      </w:r>
      <w:r>
        <w:rPr>
          <w:rFonts w:ascii="Calibri" w:cs="Calibri" w:eastAsia="Calibri" w:hAnsi="Calibri"/>
          <w:b/>
          <w:bCs/>
        </w:rPr>
        <w:t xml:space="preserve">Systems Engineering</w:t>
      </w:r>
      <w:r>
        <w:rPr>
          <w:rFonts w:ascii="Calibri" w:cs="Calibri" w:eastAsia="Calibri" w:hAnsi="Calibri"/>
        </w:rPr>
        <w:t xml:space="preserve"> concurs on the end-use function gate and on the specification and interface criteria. </w:t>
      </w:r>
      <w:r>
        <w:rPr>
          <w:rFonts w:ascii="Calibri" w:cs="Calibri" w:eastAsia="Calibri" w:hAnsi="Calibri"/>
          <w:b/>
          <w:bCs/>
        </w:rPr>
        <w:t xml:space="preserve">System Safety</w:t>
      </w:r>
      <w:r>
        <w:rPr>
          <w:rFonts w:ascii="Calibri" w:cs="Calibri" w:eastAsia="Calibri" w:hAnsi="Calibri"/>
        </w:rPr>
        <w:t xml:space="preserve"> concurs on the rationale where criterion (b) was answered yes and the item is not designated as a CI. A yes on criterion (b) that leads to designation needs no concurrence, because designation is the outcome the criterion exists to produce. The concurrence is what makes a decision not to designate an item that meets criterion (b) visible. </w:t>
      </w:r>
      <w:r>
        <w:rPr>
          <w:rFonts w:ascii="Calibri" w:cs="Calibri" w:eastAsia="Calibri" w:hAnsi="Calibri"/>
          <w:b/>
          <w:bCs/>
        </w:rPr>
        <w:t xml:space="preserve">RM</w:t>
      </w:r>
      <w:r>
        <w:rPr>
          <w:rFonts w:ascii="Calibri" w:cs="Calibri" w:eastAsia="Calibri" w:hAnsi="Calibri"/>
        </w:rPr>
        <w:t xml:space="preserve">&amp;</w:t>
      </w:r>
      <w:r>
        <w:rPr>
          <w:rFonts w:ascii="Calibri" w:cs="Calibri" w:eastAsia="Calibri" w:hAnsi="Calibri"/>
          <w:b/>
          <w:bCs/>
        </w:rPr>
        <w:t xml:space="preserve">SH</w:t>
      </w:r>
      <w:r>
        <w:rPr>
          <w:rFonts w:ascii="Calibri" w:cs="Calibri" w:eastAsia="Calibri" w:hAnsi="Calibri"/>
        </w:rPr>
        <w:t xml:space="preserve"> concurs where the determination rests on failure modes and effects or criticality analysis, single point or common mode failure identification, or a maintainability or health-monitoring driven limit. </w:t>
      </w:r>
      <w:r>
        <w:rPr>
          <w:rFonts w:ascii="Calibri" w:cs="Calibri" w:eastAsia="Calibri" w:hAnsi="Calibri"/>
          <w:b/>
          <w:bCs/>
        </w:rPr>
        <w:t xml:space="preserve">Human Factors</w:t>
      </w:r>
      <w:r>
        <w:rPr>
          <w:rFonts w:ascii="Calibri" w:cs="Calibri" w:eastAsia="Calibri" w:hAnsi="Calibri"/>
        </w:rPr>
        <w:t xml:space="preserve"> advises where the consequence pathway runs through operator or maintainer action. </w:t>
      </w:r>
      <w:r>
        <w:rPr>
          <w:rFonts w:ascii="Calibri" w:cs="Calibri" w:eastAsia="Calibri" w:hAnsi="Calibri"/>
          <w:b/>
          <w:bCs/>
        </w:rPr>
        <w:t xml:space="preserve">Logistics</w:t>
      </w:r>
      <w:r>
        <w:rPr>
          <w:rFonts w:ascii="Calibri" w:cs="Calibri" w:eastAsia="Calibri" w:hAnsi="Calibri"/>
        </w:rPr>
        <w:t xml:space="preserve"> concurs on the logistics elements criterion. </w:t>
      </w:r>
      <w:r>
        <w:rPr>
          <w:rFonts w:ascii="Calibri" w:cs="Calibri" w:eastAsia="Calibri" w:hAnsi="Calibri"/>
          <w:b/>
          <w:bCs/>
        </w:rPr>
        <w:t xml:space="preserve">Equipment Managers and Responsible Engineers</w:t>
      </w:r>
      <w:r>
        <w:rPr>
          <w:rFonts w:ascii="Calibri" w:cs="Calibri" w:eastAsia="Calibri" w:hAnsi="Calibri"/>
        </w:rPr>
        <w:t xml:space="preserve"> supply the engineering basis and configuration documentation from their suppliers for their items. </w:t>
      </w:r>
      <w:r>
        <w:rPr>
          <w:rFonts w:ascii="Calibri" w:cs="Calibri" w:eastAsia="Calibri" w:hAnsi="Calibri"/>
          <w:b/>
          <w:bCs/>
        </w:rPr>
        <w:t xml:space="preserve">CI selection is a CM decision.</w:t>
      </w:r>
      <w:r>
        <w:rPr>
          <w:rFonts w:ascii="Calibri" w:cs="Calibri" w:eastAsia="Calibri" w:hAnsi="Calibri"/>
        </w:rPr>
        <w:t xml:space="preserve"> The concurrences confirm that the technical basis is sound. They do not make the selection.</w:t>
      </w:r>
    </w:p>
    <w:p>
      <w:pPr>
        <w:spacing w:after="120" w:line="264"/>
      </w:pPr>
      <w:r>
        <w:rPr>
          <w:rFonts w:ascii="Calibri" w:cs="Calibri" w:eastAsia="Calibri" w:hAnsi="Calibri"/>
        </w:rPr>
        <w:t xml:space="preserve">Screen each candidate through three qualifying gates, then the criteria screen. All three gates must be passed before the criteria screen is run:</w:t>
      </w:r>
    </w:p>
    <w:p>
      <w:pPr>
        <w:pStyle w:val="ListParagraph"/>
        <w:numPr>
          <w:ilvl w:val="0"/>
          <w:numId w:val="2"/>
        </w:numPr>
        <w:spacing w:after="80" w:line="264"/>
      </w:pPr>
      <w:r>
        <w:rPr>
          <w:rFonts w:ascii="Calibri" w:cs="Calibri" w:eastAsia="Calibri" w:hAnsi="Calibri"/>
        </w:rPr>
        <w:t xml:space="preserve">Item gate. Confirm the candidate is an item, rather than a function, task, failure mode, feature, or location. A candidate that is not an item cannot be designated as a CI. It is a signal that items worth screening sit nearby. Ask for the items that implement it and screen those.</w:t>
      </w:r>
    </w:p>
    <w:p>
      <w:pPr>
        <w:pStyle w:val="ListParagraph"/>
        <w:numPr>
          <w:ilvl w:val="0"/>
          <w:numId w:val="2"/>
        </w:numPr>
        <w:spacing w:after="80" w:line="264"/>
      </w:pPr>
      <w:r>
        <w:rPr>
          <w:rFonts w:ascii="Calibri" w:cs="Calibri" w:eastAsia="Calibri" w:hAnsi="Calibri"/>
        </w:rPr>
        <w:t xml:space="preserve">End-use function gate. Confirm the item satisfies a system end-use function. Items with no end-use function (raw materials, bulk commodities, purely structural elements with no defined functional role) are not CIs and are controlled within their parent CI’s configuration documentation. A structural component that carries flight, ground, or pressurization loads satisfies this gate. The gate excludes structure with no defined functional role. It does not exclude load-carrying structure.</w:t>
      </w:r>
    </w:p>
    <w:p>
      <w:pPr>
        <w:pStyle w:val="ListParagraph"/>
        <w:numPr>
          <w:ilvl w:val="0"/>
          <w:numId w:val="2"/>
        </w:numPr>
        <w:spacing w:after="80" w:line="264"/>
      </w:pPr>
      <w:r>
        <w:rPr>
          <w:rFonts w:ascii="Calibri" w:cs="Calibri" w:eastAsia="Calibri" w:hAnsi="Calibri"/>
        </w:rPr>
        <w:t xml:space="preserve">Supplier-designed parent gate. Confirm the item is not a child of a commercial off-the-shelf, catalog, or vendor item procured inseparable from that parent. Where it is, screen the procured parent item instead. Do not decompose a supplier-designed item to run this screen. Record the parent and stop.</w:t>
      </w:r>
    </w:p>
    <w:p>
      <w:pPr>
        <w:pStyle w:val="ListParagraph"/>
        <w:numPr>
          <w:ilvl w:val="0"/>
          <w:numId w:val="2"/>
        </w:numPr>
        <w:spacing w:after="80" w:line="264"/>
      </w:pPr>
      <w:r>
        <w:rPr>
          <w:rFonts w:ascii="Calibri" w:cs="Calibri" w:eastAsia="Calibri" w:hAnsi="Calibri"/>
        </w:rPr>
        <w:t xml:space="preserve">Criteria screen. Designate the item as a CI if it meets or impacts one or more of the EIA-649-1A §3.2.1 criteria listed in Table 5-1. The CI selection criteria checklist of this process provides the assessment; GEIA-HB-649A Appendix D provides an expanded criteria set that may be applied as supplemental screening at program discretion.</w:t>
      </w:r>
    </w:p>
    <w:p>
      <w:pPr>
        <w:keepNext/>
        <w:spacing w:after="80" w:before="120"/>
      </w:pPr>
      <w:r>
        <w:rPr>
          <w:rFonts w:ascii="Calibri" w:cs="Calibri" w:eastAsia="Calibri" w:hAnsi="Calibri"/>
          <w:b/>
          <w:bCs/>
          <w:sz w:val="20"/>
          <w:szCs w:val="20"/>
        </w:rPr>
        <w:t xml:space="preserve">Table 5-1. CI Selection Criteria (EIA-649-1A §3.2.1(2))</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100"/>
        <w:gridCol w:w="8260"/>
      </w:tblGrid>
      <w:tr>
        <w:trPr>
          <w:cantSplit/>
          <w:tblHeader/>
        </w:trPr>
        <w:tc>
          <w:tcPr>
            <w:tcW w:type="dxa" w:w="11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Criterion</w:t>
            </w:r>
          </w:p>
        </w:tc>
        <w:tc>
          <w:tcPr>
            <w:tcW w:type="dxa" w:w="82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Description</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Critical to the functioning of the system</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(b)</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Failure might result in serious injury, loss of life, or loss of primary system capability</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Technology is complex, not well known, and critical to acquisition, operational, or supportability goals</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item is under control as designated by the Acquirer</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(e)</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Requires separate type designation, versions, or nomenclatures</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Critical or high risk; failure would have significant financial impact</w:t>
            </w:r>
          </w:p>
        </w:tc>
      </w:tr>
      <w:tr>
        <w:trPr>
          <w:cantSplit/>
          <w:tblHeader w:val="false"/>
        </w:trPr>
        <w:tc>
          <w:tcPr>
            <w:tcW w:type="dxa" w:w="1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(g)</w:t>
            </w:r>
          </w:p>
        </w:tc>
        <w:tc>
          <w:tcPr>
            <w:tcW w:type="dxa" w:w="8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Requires dedicated logistics support elements (e.g.,APL/AEL/ACL provisioning lists, special test equipment, technical manuals, PMS MIP/MRC, danger/caution tag-out)</w:t>
            </w:r>
          </w:p>
        </w:tc>
      </w:tr>
    </w:tbl>
    <w:p>
      <w:pPr>
        <w:spacing w:after="120" w:before="0"/>
      </w:pPr>
    </w:p>
    <w:p>
      <w:pPr>
        <w:spacing w:after="120" w:line="264"/>
      </w:pPr>
      <w:r>
        <w:rPr>
          <w:rFonts w:ascii="Calibri" w:cs="Calibri" w:eastAsia="Calibri" w:hAnsi="Calibri"/>
          <w:b/>
          <w:bCs/>
        </w:rPr>
        <w:t xml:space="preserve">Additional rules:</w:t>
      </w:r>
    </w:p>
    <w:p>
      <w:pPr>
        <w:pStyle w:val="ListParagraph"/>
        <w:numPr>
          <w:ilvl w:val="0"/>
          <w:numId w:val="2"/>
        </w:numPr>
        <w:spacing w:after="80" w:line="264"/>
      </w:pPr>
      <w:r>
        <w:rPr>
          <w:rFonts w:ascii="Calibri" w:cs="Calibri" w:eastAsia="Calibri" w:hAnsi="Calibri"/>
        </w:rPr>
        <w:t xml:space="preserve">Software: computer software is designated as CIs (CSCIs).</w:t>
      </w:r>
    </w:p>
    <w:p>
      <w:pPr>
        <w:pStyle w:val="ListParagraph"/>
        <w:numPr>
          <w:ilvl w:val="0"/>
          <w:numId w:val="2"/>
        </w:numPr>
        <w:spacing w:after="80" w:line="264"/>
      </w:pPr>
      <w:r>
        <w:rPr>
          <w:rFonts w:ascii="Calibri" w:cs="Calibri" w:eastAsia="Calibri" w:hAnsi="Calibri"/>
        </w:rPr>
        <w:t xml:space="preserve">Safety linkage: criterion (b) is the umbrella safety criterion. Every SCI and every Table C-1 designation satisfies it, and so does an item whose loss is loss of primary system capability with no injury pathway. Screen every SCI and every critical safety item against criterion (b) and, where applicable, criterion (a). Such items will nearly always qualify. Consider both direct failure modes and cascading effects. System Safety concurrence is required if criterion (b) was answered yes and the item is not designated as a CI.</w:t>
      </w:r>
    </w:p>
    <w:p>
      <w:pPr>
        <w:pStyle w:val="ListParagraph"/>
        <w:numPr>
          <w:ilvl w:val="0"/>
          <w:numId w:val="2"/>
        </w:numPr>
        <w:spacing w:after="80" w:line="264"/>
      </w:pPr>
      <w:r>
        <w:rPr>
          <w:rFonts w:ascii="Calibri" w:cs="Calibri" w:eastAsia="Calibri" w:hAnsi="Calibri"/>
        </w:rPr>
        <w:t xml:space="preserve">SCI sources: before concluding an item is not an SCI, examine the FMEA and FMECA, the SMS hazard log, and the system safety hazard analysis reports. A FMECA criticality code names a failure mode, not an item. Trace it to the item that hosts the mode. A critical safety item is expected on the SCI list. Where it is absent, raise the gap with System Safety.</w:t>
      </w:r>
    </w:p>
    <w:p>
      <w:pPr>
        <w:pStyle w:val="ListParagraph"/>
        <w:numPr>
          <w:ilvl w:val="0"/>
          <w:numId w:val="2"/>
        </w:numPr>
        <w:spacing w:after="80" w:line="264"/>
      </w:pPr>
      <w:r>
        <w:rPr>
          <w:rFonts w:ascii="Calibri" w:cs="Calibri" w:eastAsia="Calibri" w:hAnsi="Calibri"/>
        </w:rPr>
        <w:t xml:space="preserve">Mandatory for safety: criterion (b), that failure of the item might result in serious injury, loss of life, or loss of primary system capability, is mandatory for safety. It serves as a barrier against severe and catastrophic consequences. On safety-significant product lines it is performed regardless of contract flow-down.</w:t>
      </w:r>
    </w:p>
    <w:p>
      <w:pPr>
        <w:pStyle w:val="ListParagraph"/>
        <w:numPr>
          <w:ilvl w:val="0"/>
          <w:numId w:val="2"/>
        </w:numPr>
        <w:spacing w:after="80" w:line="264"/>
      </w:pPr>
      <w:r>
        <w:rPr>
          <w:rFonts w:ascii="Calibri" w:cs="Calibri" w:eastAsia="Calibri" w:hAnsi="Calibri"/>
        </w:rPr>
        <w:t xml:space="preserve">Rationale: document the assessment result and rationale for every candidate, whether selected as a CI or not. Retain per the records and retention requirements of this process.</w:t>
      </w:r>
    </w:p>
    <w:p>
      <w:pPr>
        <w:pStyle w:val="ListParagraph"/>
        <w:numPr>
          <w:ilvl w:val="0"/>
          <w:numId w:val="2"/>
        </w:numPr>
        <w:spacing w:after="80" w:line="264"/>
      </w:pPr>
      <w:r>
        <w:rPr>
          <w:rFonts w:ascii="Calibri" w:cs="Calibri" w:eastAsia="Calibri" w:hAnsi="Calibri"/>
        </w:rPr>
        <w:t xml:space="preserve">Level of selection: select CIs at the optimum level for both acquisition and support: the level at which items are specified, contracted, accepted, and at which logistics organizes and reports maintenance and modification actions. Avoid over-designation (unmanageable change traffic) and under-designation (loss of visibility and control).</w:t>
      </w:r>
    </w:p>
    <w:p>
      <w:pPr>
        <w:pStyle w:val="Heading3"/>
        <w:keepNext/>
      </w:pPr>
      <w:r>
        <w:rPr>
          <w:rFonts w:ascii="Calibri" w:cs="Calibri" w:eastAsia="Calibri" w:hAnsi="Calibri"/>
        </w:rPr>
        <w:t xml:space="preserve">5.3.1 Same CI or Separate CIs</w:t>
      </w:r>
    </w:p>
    <w:p>
      <w:pPr>
        <w:spacing w:after="120" w:line="264"/>
      </w:pPr>
      <w:r>
        <w:rPr>
          <w:rFonts w:ascii="Calibri" w:cs="Calibri" w:eastAsia="Calibri" w:hAnsi="Calibri"/>
        </w:rPr>
        <w:t xml:space="preserve">The selection criteria screen decides whether an item is a CI. It does not decide how many CI identifiers a set of related items receives. That is a separate question and it is asked often.</w:t>
      </w:r>
    </w:p>
    <w:p>
      <w:pPr>
        <w:spacing w:after="120" w:line="264"/>
      </w:pPr>
      <w:r>
        <w:rPr>
          <w:rFonts w:ascii="Calibri" w:cs="Calibri" w:eastAsia="Calibri" w:hAnsi="Calibri"/>
        </w:rPr>
        <w:t xml:space="preserve">Two or more items carry different PINs and appear closely related. They may share one CI identifier with PIN variants, or they may be separate CIs. One PIN installed in more than one place raises the reverse question. Neither question is answered by the part numbers.</w:t>
      </w:r>
    </w:p>
    <w:p>
      <w:pPr>
        <w:spacing w:after="120" w:line="264"/>
      </w:pPr>
      <w:r>
        <w:rPr>
          <w:rFonts w:ascii="Calibri" w:cs="Calibri" w:eastAsia="Calibri" w:hAnsi="Calibri"/>
          <w:b/>
          <w:bCs/>
        </w:rPr>
        <w:t xml:space="preserve">The CI identifier follows function and the management need for separate configuration control. The PIN follows form, fit, and function.</w:t>
      </w:r>
      <w:r>
        <w:rPr>
          <w:rFonts w:ascii="Calibri" w:cs="Calibri" w:eastAsia="Calibri" w:hAnsi="Calibri"/>
        </w:rPr>
        <w:t xml:space="preserve"> The two identifiers are decoupled on purpose.</w:t>
      </w:r>
    </w:p>
    <w:p>
      <w:pPr>
        <w:spacing w:after="120" w:line="264"/>
      </w:pPr>
      <w:r>
        <w:rPr>
          <w:rFonts w:ascii="Calibri" w:cs="Calibri" w:eastAsia="Calibri" w:hAnsi="Calibri"/>
        </w:rPr>
        <w:t xml:space="preserve">Screen these cases through the same-CI decision aid in the appendices. It applies the same criteria used here and returns one of four verdicts: not CI candidates, parts rather than CIs, separate CIs, or one CI with multiple PIN variants. Record the verdict and the rationale on the CI selection criteria checklist with the rest of the screen.</w:t>
      </w:r>
    </w:p>
    <w:p>
      <w:pPr>
        <w:pStyle w:val="Heading2"/>
        <w:keepNext/>
      </w:pPr>
      <w:r>
        <w:rPr>
          <w:rFonts w:ascii="Calibri" w:cs="Calibri" w:eastAsia="Calibri" w:hAnsi="Calibri"/>
        </w:rPr>
        <w:t xml:space="preserve">5.4 CI Structure and Hierarchy</w:t>
      </w:r>
    </w:p>
    <w:p>
      <w:pPr>
        <w:spacing w:after="120" w:line="264"/>
      </w:pPr>
      <w:r>
        <w:rPr>
          <w:rFonts w:ascii="Calibri" w:cs="Calibri" w:eastAsia="Calibri" w:hAnsi="Calibri"/>
          <w:b/>
          <w:bCs/>
        </w:rPr>
        <w:t xml:space="preserve">Inputs: </w:t>
      </w:r>
      <w:r>
        <w:rPr>
          <w:rFonts w:ascii="Calibri" w:cs="Calibri" w:eastAsia="Calibri" w:hAnsi="Calibri"/>
        </w:rPr>
        <w:t xml:space="preserve">Selected-CI determinations; decomposition basis; contract identification of the CIs whose specifications the Acquirer baselines.</w:t>
      </w:r>
    </w:p>
    <w:p>
      <w:pPr>
        <w:spacing w:after="120" w:line="264"/>
      </w:pPr>
      <w:r>
        <w:rPr>
          <w:rFonts w:ascii="Calibri" w:cs="Calibri" w:eastAsia="Calibri" w:hAnsi="Calibri"/>
          <w:b/>
          <w:bCs/>
        </w:rPr>
        <w:t xml:space="preserve">Outputs: </w:t>
      </w:r>
      <w:r>
        <w:rPr>
          <w:rFonts w:ascii="Calibri" w:cs="Calibri" w:eastAsia="Calibri" w:hAnsi="Calibri"/>
        </w:rPr>
        <w:t xml:space="preserve">CI hierarchy with parent/child relationships and owning design activity; control tier per CI; initial CI index entries.</w:t>
      </w:r>
    </w:p>
    <w:p>
      <w:pPr>
        <w:spacing w:after="120" w:line="264"/>
      </w:pPr>
      <w:r>
        <w:rPr>
          <w:rFonts w:ascii="Calibri" w:cs="Calibri" w:eastAsia="Calibri" w:hAnsi="Calibri"/>
          <w:b/>
          <w:bCs/>
        </w:rPr>
        <w:t xml:space="preserve">Who does what. CM creates and owns the CI structure and hierarchy.</w:t>
      </w:r>
      <w:r>
        <w:rPr>
          <w:rFonts w:ascii="Calibri" w:cs="Calibri" w:eastAsia="Calibri" w:hAnsi="Calibri"/>
        </w:rPr>
        <w:t xml:space="preserve"> Systems Engineering decomposes the system architecture. CM builds the CI hierarchy to match that decomposition as closely as the selection criteria allow. The two are not always identical. The architecture decomposes function. The CI structure organizes what is separately specified, contracted, accepted, and supported. Where the two diverge, CM records why in the CI index. CM assigns each CI its parent, its children, its owning design activity, and its control tier, and maintains the CI index. </w:t>
      </w:r>
      <w:r>
        <w:rPr>
          <w:rFonts w:ascii="Calibri" w:cs="Calibri" w:eastAsia="Calibri" w:hAnsi="Calibri"/>
          <w:b/>
          <w:bCs/>
        </w:rPr>
        <w:t xml:space="preserve">Systems Engineering</w:t>
      </w:r>
      <w:r>
        <w:rPr>
          <w:rFonts w:ascii="Calibri" w:cs="Calibri" w:eastAsia="Calibri" w:hAnsi="Calibri"/>
        </w:rPr>
        <w:t xml:space="preserve"> answers questions on the architecture and confirms the CI structure does not misrepresent the decomposition. </w:t>
      </w:r>
      <w:r>
        <w:rPr>
          <w:rFonts w:ascii="Calibri" w:cs="Calibri" w:eastAsia="Calibri" w:hAnsi="Calibri"/>
          <w:b/>
          <w:bCs/>
        </w:rPr>
        <w:t xml:space="preserve">Supplier Requirements Engineering</w:t>
      </w:r>
      <w:r>
        <w:rPr>
          <w:rFonts w:ascii="Calibri" w:cs="Calibri" w:eastAsia="Calibri" w:hAnsi="Calibri"/>
        </w:rPr>
        <w:t xml:space="preserve"> confirms the level at which each item is procured, which sets where the customer-facing CI sits for supplier-designed items. </w:t>
      </w:r>
      <w:r>
        <w:rPr>
          <w:rFonts w:ascii="Calibri" w:cs="Calibri" w:eastAsia="Calibri" w:hAnsi="Calibri"/>
          <w:b/>
          <w:bCs/>
        </w:rPr>
        <w:t xml:space="preserve">Equipment Managers and Responsible Engineers</w:t>
      </w:r>
      <w:r>
        <w:rPr>
          <w:rFonts w:ascii="Calibri" w:cs="Calibri" w:eastAsia="Calibri" w:hAnsi="Calibri"/>
        </w:rPr>
        <w:t xml:space="preserve"> confirm the structure matches how their equipment is specified and changed.</w:t>
      </w:r>
    </w:p>
    <w:p>
      <w:pPr>
        <w:spacing w:after="120" w:line="264"/>
      </w:pPr>
      <w:r>
        <w:rPr>
          <w:rFonts w:ascii="Calibri" w:cs="Calibri" w:eastAsia="Calibri" w:hAnsi="Calibri"/>
        </w:rPr>
        <w:t xml:space="preserve">Place each selected CI in the CI hierarchy, aligned per the MBSE alignment requirement. For each CI, record its parent, children, and owning design activity.</w:t>
      </w:r>
    </w:p>
    <w:p>
      <w:pPr>
        <w:spacing w:after="120" w:line="264"/>
      </w:pPr>
      <w:r>
        <w:rPr>
          <w:rFonts w:ascii="Calibri" w:cs="Calibri" w:eastAsia="Calibri" w:hAnsi="Calibri"/>
        </w:rPr>
        <w:t xml:space="preserve">Assign each CI a control tier. The tier records who baselines and controls the CI’s specification. An </w:t>
      </w:r>
      <w:r>
        <w:rPr>
          <w:rFonts w:ascii="Calibri" w:cs="Calibri" w:eastAsia="Calibri" w:hAnsi="Calibri"/>
          <w:b/>
          <w:bCs/>
        </w:rPr>
        <w:t xml:space="preserve">Acquirer-spec controlled</w:t>
      </w:r>
      <w:r>
        <w:rPr>
          <w:rFonts w:ascii="Calibri" w:cs="Calibri" w:eastAsia="Calibri" w:hAnsi="Calibri"/>
        </w:rPr>
        <w:t xml:space="preserve"> CI has its own specification, which the Acquirer baselines and controls. A </w:t>
      </w:r>
      <w:r>
        <w:rPr>
          <w:rFonts w:ascii="Calibri" w:cs="Calibri" w:eastAsia="Calibri" w:hAnsi="Calibri"/>
          <w:b/>
          <w:bCs/>
        </w:rPr>
        <w:t xml:space="preserve">Company-spec controlled</w:t>
      </w:r>
      <w:r>
        <w:rPr>
          <w:rFonts w:ascii="Calibri" w:cs="Calibri" w:eastAsia="Calibri" w:hAnsi="Calibri"/>
        </w:rPr>
        <w:t xml:space="preserve"> CI sits below an Acquirer-spec controlled CI. The company baselines and controls its specification, where it has one, and a change with Class I effect reaches the Acquirer through the parent CI’s baselines. A </w:t>
      </w:r>
      <w:r>
        <w:rPr>
          <w:rFonts w:ascii="Calibri" w:cs="Calibri" w:eastAsia="Calibri" w:hAnsi="Calibri"/>
          <w:b/>
          <w:bCs/>
        </w:rPr>
        <w:t xml:space="preserve">GFE</w:t>
      </w:r>
      <w:r>
        <w:rPr>
          <w:rFonts w:ascii="Calibri" w:cs="Calibri" w:eastAsia="Calibri" w:hAnsi="Calibri"/>
        </w:rPr>
        <w:t xml:space="preserve"> CI is government furnished equipment installed in the product structure. The Government holds its definition. Subcontractor-developed items are flowed down with equivalent CM requirements.</w:t>
      </w:r>
    </w:p>
    <w:p>
      <w:pPr>
        <w:spacing w:after="120" w:line="264"/>
      </w:pPr>
      <w:r>
        <w:rPr>
          <w:rFonts w:ascii="Calibri" w:cs="Calibri" w:eastAsia="Calibri" w:hAnsi="Calibri"/>
        </w:rPr>
        <w:t xml:space="preserve">No CI is changed on company authority alone. Under EIA-649-1A, the Acquirer is configuration approval authority for every Class I change once it controls the baseline, and it concurs in the classification of every Class II change. The control tier says whose specification carries a change. It does not say who approves it.</w:t>
      </w:r>
    </w:p>
    <w:p>
      <w:pPr>
        <w:spacing w:after="120" w:line="264"/>
      </w:pPr>
      <w:r>
        <w:rPr>
          <w:rFonts w:ascii="Calibri" w:cs="Calibri" w:eastAsia="Calibri" w:hAnsi="Calibri"/>
        </w:rPr>
        <w:t xml:space="preserve">The CI index holds CIs, and only CIs. Enter GFE installed in the product structure in the CI hierarchy, so its interfaces map like any other. Customer equipment outside the product structure is not entered. It is an external item on the interface register. CIs that exist only between a sub-supplier and the company are not entered either.</w:t>
      </w:r>
    </w:p>
    <w:p>
      <w:pPr>
        <w:pStyle w:val="Heading3"/>
        <w:keepNext/>
      </w:pPr>
      <w:r>
        <w:rPr>
          <w:rFonts w:ascii="Calibri" w:cs="Calibri" w:eastAsia="Calibri" w:hAnsi="Calibri"/>
        </w:rPr>
        <w:t xml:space="preserve">5.4.1 Supplier-Designed Items Are Not Decomposed</w:t>
      </w:r>
    </w:p>
    <w:p>
      <w:pPr>
        <w:spacing w:after="120" w:line="264"/>
      </w:pPr>
      <w:r>
        <w:rPr>
          <w:rFonts w:ascii="Calibri" w:cs="Calibri" w:eastAsia="Calibri" w:hAnsi="Calibri"/>
          <w:b/>
          <w:bCs/>
        </w:rPr>
        <w:t xml:space="preserve">Do not decompose a supplier-designed item to identify customer-facing CIs.</w:t>
      </w:r>
      <w:r>
        <w:rPr>
          <w:rFonts w:ascii="Calibri" w:cs="Calibri" w:eastAsia="Calibri" w:hAnsi="Calibri"/>
        </w:rPr>
        <w:t xml:space="preserve"> Where the supplier holds the design and the company procures the item as a unit, the customer-facing CI is the item as procured. This applies to:</w:t>
      </w:r>
    </w:p>
    <w:p>
      <w:pPr>
        <w:pStyle w:val="ListParagraph"/>
        <w:numPr>
          <w:ilvl w:val="0"/>
          <w:numId w:val="2"/>
        </w:numPr>
        <w:spacing w:after="80" w:line="264"/>
      </w:pPr>
      <w:r>
        <w:rPr>
          <w:rFonts w:ascii="Calibri" w:cs="Calibri" w:eastAsia="Calibri" w:hAnsi="Calibri"/>
          <w:b/>
          <w:bCs/>
        </w:rPr>
        <w:t xml:space="preserve">Vendor items, commercial off-the-shelf items, and catalog items.</w:t>
      </w:r>
      <w:r>
        <w:rPr>
          <w:rFonts w:ascii="Calibri" w:cs="Calibri" w:eastAsia="Calibri" w:hAnsi="Calibri"/>
        </w:rPr>
        <w:t xml:space="preserve"> The vendor holds the design. The company controls selection through a vendor item control drawing, not the internals. The procured item is the CI. Where a vendor item is a Safety-Critical Item, confirm which drawing controls it. The rule distinguishing source control from vendor item control, in the sub-supplier CM flowdown process, states the test.</w:t>
      </w:r>
    </w:p>
    <w:p>
      <w:pPr>
        <w:pStyle w:val="ListParagraph"/>
        <w:numPr>
          <w:ilvl w:val="0"/>
          <w:numId w:val="2"/>
        </w:numPr>
        <w:spacing w:after="80" w:line="264"/>
      </w:pPr>
      <w:r>
        <w:rPr>
          <w:rFonts w:ascii="Calibri" w:cs="Calibri" w:eastAsia="Calibri" w:hAnsi="Calibri"/>
          <w:b/>
          <w:bCs/>
        </w:rPr>
        <w:t xml:space="preserve">Source-controlled items.</w:t>
      </w:r>
      <w:r>
        <w:rPr>
          <w:rFonts w:ascii="Calibri" w:cs="Calibri" w:eastAsia="Calibri" w:hAnsi="Calibri"/>
        </w:rPr>
        <w:t xml:space="preserve"> Under a source control drawing, the supplier designs the internals. The company controls form, fit, function, interface, and qualification. The procured item is the CI.</w:t>
      </w:r>
    </w:p>
    <w:p>
      <w:pPr>
        <w:pStyle w:val="ListParagraph"/>
        <w:numPr>
          <w:ilvl w:val="0"/>
          <w:numId w:val="2"/>
        </w:numPr>
        <w:spacing w:after="80" w:line="264"/>
      </w:pPr>
      <w:r>
        <w:rPr>
          <w:rFonts w:ascii="Calibri" w:cs="Calibri" w:eastAsia="Calibri" w:hAnsi="Calibri"/>
          <w:b/>
          <w:bCs/>
        </w:rPr>
        <w:t xml:space="preserve">Major supplier-designed assemblies procured as a unit,</w:t>
      </w:r>
      <w:r>
        <w:rPr>
          <w:rFonts w:ascii="Calibri" w:cs="Calibri" w:eastAsia="Calibri" w:hAnsi="Calibri"/>
        </w:rPr>
        <w:t xml:space="preserve"> such as an engine supplied by an engine manufacturer. The supplier holds design authority, qualifies the item, and delivers it whole. The CI is the engine, not its modules, accessories, or piece parts.</w:t>
      </w:r>
    </w:p>
    <w:p>
      <w:pPr>
        <w:spacing w:after="120" w:line="264"/>
      </w:pPr>
      <w:r>
        <w:rPr>
          <w:rFonts w:ascii="Calibri" w:cs="Calibri" w:eastAsia="Calibri" w:hAnsi="Calibri"/>
        </w:rPr>
        <w:t xml:space="preserve">The reason is that a CI carries obligations the company must be able to meet. Decomposing below the level at which the item is procured creates CIs whose configuration the company does not control, cannot baseline against its own documentation, and cannot audit. It also generates change traffic nobody is able to action, and an as-built structure the supplier does not recognize. Selecting at the procurement level keeps the CI at the level where specification, contracting, acceptance, and change all actually occur.</w:t>
      </w:r>
    </w:p>
    <w:p>
      <w:pPr>
        <w:spacing w:after="120" w:line="264"/>
      </w:pPr>
      <w:r>
        <w:rPr>
          <w:rFonts w:ascii="Calibri" w:cs="Calibri" w:eastAsia="Calibri" w:hAnsi="Calibri"/>
          <w:b/>
          <w:bCs/>
        </w:rPr>
        <w:t xml:space="preserve">Four things this rule does not do.</w:t>
      </w:r>
      <w:r>
        <w:rPr>
          <w:rFonts w:ascii="Calibri" w:cs="Calibri" w:eastAsia="Calibri" w:hAnsi="Calibri"/>
        </w:rPr>
        <w:t xml:space="preserve"> Not decomposing is not the same as not controlling:</w:t>
      </w:r>
    </w:p>
    <w:p>
      <w:pPr>
        <w:pStyle w:val="ListParagraph"/>
        <w:numPr>
          <w:ilvl w:val="0"/>
          <w:numId w:val="2"/>
        </w:numPr>
        <w:spacing w:after="80" w:line="264"/>
      </w:pPr>
      <w:r>
        <w:rPr>
          <w:rFonts w:ascii="Calibri" w:cs="Calibri" w:eastAsia="Calibri" w:hAnsi="Calibri"/>
          <w:b/>
          <w:bCs/>
        </w:rPr>
        <w:t xml:space="preserve">Part attribute identification</w:t>
      </w:r>
      <w:r>
        <w:rPr>
          <w:rFonts w:ascii="Calibri" w:cs="Calibri" w:eastAsia="Calibri" w:hAnsi="Calibri"/>
        </w:rPr>
        <w:t xml:space="preserve"> still applies inside the item. Criticality designations, recording requirements, life limits, and special handling attach to parts within a procured item regardless of whether those parts are CIs. Engine life-limited parts are the standard example: they are not customer-facing CIs, and they are individually serialized, life tracked, and traceable. Part attribute identification and CI selection are separate decisions.</w:t>
      </w:r>
    </w:p>
    <w:p>
      <w:pPr>
        <w:pStyle w:val="ListParagraph"/>
        <w:numPr>
          <w:ilvl w:val="0"/>
          <w:numId w:val="2"/>
        </w:numPr>
        <w:spacing w:after="80" w:line="264"/>
      </w:pPr>
      <w:r>
        <w:rPr>
          <w:rFonts w:ascii="Calibri" w:cs="Calibri" w:eastAsia="Calibri" w:hAnsi="Calibri"/>
          <w:b/>
          <w:bCs/>
        </w:rPr>
        <w:t xml:space="preserve">The item can still be designated for audit.</w:t>
      </w:r>
      <w:r>
        <w:rPr>
          <w:rFonts w:ascii="Calibri" w:cs="Calibri" w:eastAsia="Calibri" w:hAnsi="Calibri"/>
        </w:rPr>
        <w:t xml:space="preserve"> A procured engine or vendor item CI may be designated for a configuration audit at the procurement level, and the supplier’s audit role follows from the type of work it performs. A vendor item (WT05) carries no supplier audit role. The company conducts that audit, against the vendor item control drawing.</w:t>
      </w:r>
    </w:p>
    <w:p>
      <w:pPr>
        <w:pStyle w:val="ListParagraph"/>
        <w:numPr>
          <w:ilvl w:val="0"/>
          <w:numId w:val="2"/>
        </w:numPr>
        <w:spacing w:after="80" w:line="264"/>
      </w:pPr>
      <w:r>
        <w:rPr>
          <w:rFonts w:ascii="Calibri" w:cs="Calibri" w:eastAsia="Calibri" w:hAnsi="Calibri"/>
          <w:b/>
          <w:bCs/>
        </w:rPr>
        <w:t xml:space="preserve">Interfaces at the item boundary are still mapped.</w:t>
      </w:r>
      <w:r>
        <w:rPr>
          <w:rFonts w:ascii="Calibri" w:cs="Calibri" w:eastAsia="Calibri" w:hAnsi="Calibri"/>
        </w:rPr>
        <w:t xml:space="preserve"> The interfaces between the procured item and the rest of the system are mapped in the interface register like any other.</w:t>
      </w:r>
    </w:p>
    <w:p>
      <w:pPr>
        <w:pStyle w:val="ListParagraph"/>
        <w:numPr>
          <w:ilvl w:val="0"/>
          <w:numId w:val="2"/>
        </w:numPr>
        <w:spacing w:after="80" w:line="264"/>
      </w:pPr>
      <w:r>
        <w:rPr>
          <w:rFonts w:ascii="Calibri" w:cs="Calibri" w:eastAsia="Calibri" w:hAnsi="Calibri"/>
          <w:b/>
          <w:bCs/>
        </w:rPr>
        <w:t xml:space="preserve">The supplier still holds its own structure.</w:t>
      </w:r>
      <w:r>
        <w:rPr>
          <w:rFonts w:ascii="Calibri" w:cs="Calibri" w:eastAsia="Calibri" w:hAnsi="Calibri"/>
        </w:rPr>
        <w:t xml:space="preserve"> The supplier maintains CIs internally at whatever level its own design authority requires, and the sub-supplier CM flowdown process determines what it owes upward. Those are supplier relationship CIs, not customer-facing ones.</w:t>
      </w:r>
    </w:p>
    <w:p>
      <w:pPr>
        <w:spacing w:after="120" w:line="264"/>
      </w:pPr>
      <w:r>
        <w:rPr>
          <w:rFonts w:ascii="Calibri" w:cs="Calibri" w:eastAsia="Calibri" w:hAnsi="Calibri"/>
        </w:rPr>
        <w:t xml:space="preserve">The company may later take on design authority for all or part of a supplier-designed item. Three routes are usual. The company acquires the data rights. The company initiates a company-controlled modification. Or the company flows its own requirements, and the vendor modifies its design to meet them. That last route gives the company design authority for form, fit, function, interface, and qualification. Where any of these happens, re-run identification per the maintenance and iteration section. The rule follows design authority, not the item.</w:t>
      </w:r>
    </w:p>
    <w:p>
      <w:pPr>
        <w:pStyle w:val="Heading2"/>
        <w:keepNext/>
      </w:pPr>
      <w:r>
        <w:rPr>
          <w:rFonts w:ascii="Calibri" w:cs="Calibri" w:eastAsia="Calibri" w:hAnsi="Calibri"/>
        </w:rPr>
        <w:t xml:space="preserve">5.5 Interface Identification Verification and Recording</w:t>
      </w:r>
    </w:p>
    <w:p>
      <w:pPr>
        <w:spacing w:after="120" w:line="264"/>
      </w:pPr>
      <w:r>
        <w:rPr>
          <w:rFonts w:ascii="Calibri" w:cs="Calibri" w:eastAsia="Calibri" w:hAnsi="Calibri"/>
          <w:b/>
          <w:bCs/>
        </w:rPr>
        <w:t xml:space="preserve">Inputs: </w:t>
      </w:r>
      <w:r>
        <w:rPr>
          <w:rFonts w:ascii="Calibri" w:cs="Calibri" w:eastAsia="Calibri" w:hAnsi="Calibri"/>
        </w:rPr>
        <w:t xml:space="preserve">CI hierarchy; the interface sources the program CMP names, with the interfaces Systems Engineering has identified in them; MBSE interface elements at the CI-designation level where a model exists; external items named in the system specification and the contract; ICWG designation where applicable.</w:t>
      </w:r>
    </w:p>
    <w:p>
      <w:pPr>
        <w:spacing w:after="120" w:line="264"/>
      </w:pPr>
      <w:r>
        <w:rPr>
          <w:rFonts w:ascii="Calibri" w:cs="Calibri" w:eastAsia="Calibri" w:hAnsi="Calibri"/>
          <w:b/>
          <w:bCs/>
        </w:rPr>
        <w:t xml:space="preserve">Outputs: </w:t>
      </w:r>
      <w:r>
        <w:rPr>
          <w:rFonts w:ascii="Calibri" w:cs="Calibri" w:eastAsia="Calibri" w:hAnsi="Calibri"/>
        </w:rPr>
        <w:t xml:space="preserve">Interface register; coverage verification records; coverage exception dispositions.</w:t>
      </w:r>
    </w:p>
    <w:p>
      <w:pPr>
        <w:spacing w:after="120" w:line="264"/>
      </w:pPr>
      <w:r>
        <w:rPr>
          <w:rFonts w:ascii="Calibri" w:cs="Calibri" w:eastAsia="Calibri" w:hAnsi="Calibri"/>
          <w:b/>
          <w:bCs/>
        </w:rPr>
        <w:t xml:space="preserve">Who does what. Systems Engineering identifies and defines interfaces. CM maps them to the CI structure.</w:t>
      </w:r>
      <w:r>
        <w:rPr>
          <w:rFonts w:ascii="Calibri" w:cs="Calibri" w:eastAsia="Calibri" w:hAnsi="Calibri"/>
        </w:rPr>
        <w:t xml:space="preserve"> Systems Engineering identifies each interface and defines it in an interface source. CM owns the CI structure, so CM maps each identified interface to the CIs it joins, maintains the interface register, verifies coverage, and controls the interface documentation once baselined. The split is deliberate. CM owns coverage. Systems Engineering owns content. The register points to Systems Engineering’s work. It does not repeat it. </w:t>
      </w:r>
      <w:r>
        <w:rPr>
          <w:rFonts w:ascii="Calibri" w:cs="Calibri" w:eastAsia="Calibri" w:hAnsi="Calibri"/>
          <w:b/>
          <w:bCs/>
        </w:rPr>
        <w:t xml:space="preserve">Human Factors</w:t>
      </w:r>
      <w:r>
        <w:rPr>
          <w:rFonts w:ascii="Calibri" w:cs="Calibri" w:eastAsia="Calibri" w:hAnsi="Calibri"/>
        </w:rPr>
        <w:t xml:space="preserve"> identifies human system interfaces. Each one is defined in the interface source for the interface it sits on, or in the specification of the CI the person operates or maintains. It takes no register row of its own. </w:t>
      </w:r>
      <w:r>
        <w:rPr>
          <w:rFonts w:ascii="Calibri" w:cs="Calibri" w:eastAsia="Calibri" w:hAnsi="Calibri"/>
          <w:b/>
          <w:bCs/>
        </w:rPr>
        <w:t xml:space="preserve">System Safety</w:t>
      </w:r>
      <w:r>
        <w:rPr>
          <w:rFonts w:ascii="Calibri" w:cs="Calibri" w:eastAsia="Calibri" w:hAnsi="Calibri"/>
        </w:rPr>
        <w:t xml:space="preserve"> identifies interfaces that carry a hazard risk control. </w:t>
      </w:r>
      <w:r>
        <w:rPr>
          <w:rFonts w:ascii="Calibri" w:cs="Calibri" w:eastAsia="Calibri" w:hAnsi="Calibri"/>
          <w:b/>
          <w:bCs/>
        </w:rPr>
        <w:t xml:space="preserve">Supplier Requirements Engineering</w:t>
      </w:r>
      <w:r>
        <w:rPr>
          <w:rFonts w:ascii="Calibri" w:cs="Calibri" w:eastAsia="Calibri" w:hAnsi="Calibri"/>
        </w:rPr>
        <w:t xml:space="preserve"> confirms which supplier holds an interface under contract. </w:t>
      </w:r>
      <w:r>
        <w:rPr>
          <w:rFonts w:ascii="Calibri" w:cs="Calibri" w:eastAsia="Calibri" w:hAnsi="Calibri"/>
          <w:b/>
          <w:bCs/>
        </w:rPr>
        <w:t xml:space="preserve">Systems Engineering</w:t>
      </w:r>
      <w:r>
        <w:rPr>
          <w:rFonts w:ascii="Calibri" w:cs="Calibri" w:eastAsia="Calibri" w:hAnsi="Calibri"/>
        </w:rPr>
        <w:t xml:space="preserve"> dispositions each coverage exception CM raises, or takes it to the ICWG where the ICWG controls the interface.</w:t>
      </w:r>
    </w:p>
    <w:p>
      <w:pPr>
        <w:spacing w:after="120" w:line="264"/>
      </w:pPr>
      <w:r>
        <w:rPr>
          <w:rFonts w:ascii="Calibri" w:cs="Calibri" w:eastAsia="Calibri" w:hAnsi="Calibri"/>
        </w:rPr>
        <w:t xml:space="preserve">Interface requirement content is a Systems Engineering responsibility. Systems Engineering identifies internal interface requirements (between CIs within the system) and external interface requirements (with other systems, facilities, support equipment, and existing customer items the work installs into or connects to, such as the aircraft a modification installs on) per EIA-649-1A §3.2.5, which is mandatory for safety, using the architecture and, where MBSE is used, the model’s interface definitions (e.g., SysML ports, connectors, and interface blocks; UAF resource connectivity). CM does not derive interface requirements. CM maps the identified interfaces to the CI structure it owns, records the mapping, verifies coverage, and controls the interface products once baselined.</w:t>
      </w:r>
    </w:p>
    <w:p>
      <w:pPr>
        <w:pStyle w:val="Heading3"/>
        <w:keepNext/>
      </w:pPr>
      <w:r>
        <w:rPr>
          <w:rFonts w:ascii="Calibri" w:cs="Calibri" w:eastAsia="Calibri" w:hAnsi="Calibri"/>
        </w:rPr>
        <w:t xml:space="preserve">5.5.1 Interface Register</w:t>
      </w:r>
    </w:p>
    <w:p>
      <w:pPr>
        <w:spacing w:after="120" w:line="264"/>
      </w:pPr>
      <w:r>
        <w:rPr>
          <w:rFonts w:ascii="Calibri" w:cs="Calibri" w:eastAsia="Calibri" w:hAnsi="Calibri"/>
        </w:rPr>
        <w:t xml:space="preserve">Maintain an interface register that maps identified interfaces to the CI structure. The program CMP names the interface sources. The default set is the interface control documents, interface requirements specifications, and interface design descriptions; the interface sections of specifications, source control drawings, vendor item control drawings, and drawings; and, where MBSE is used, the interface elements between model elements at the CI-designation level. CM maps each interface as Systems Engineering releases or revises its source. Mapping is continuous. The coverage check confirms it.</w:t>
      </w:r>
    </w:p>
    <w:p>
      <w:pPr>
        <w:spacing w:after="120" w:line="264"/>
      </w:pPr>
      <w:r>
        <w:rPr>
          <w:rFonts w:ascii="Calibri" w:cs="Calibri" w:eastAsia="Calibri" w:hAnsi="Calibri"/>
          <w:b/>
          <w:bCs/>
        </w:rPr>
        <w:t xml:space="preserve">A row records the interface between two sides. It is not scoped to a document.</w:t>
      </w:r>
      <w:r>
        <w:rPr>
          <w:rFonts w:ascii="Calibri" w:cs="Calibri" w:eastAsia="Calibri" w:hAnsi="Calibri"/>
        </w:rPr>
        <w:t xml:space="preserve"> The two sides are two CIs, a CI and an external item, or a CI and a shared interface. One interface control document often defines several interfaces between several CIs. It then appears on every row it defines. One interface is often defined in several sources, such as an interface requirements specification and an interface design description. Its row then lists every source. A pair of sides takes more than one row only where its variants carry distinct interface callouts, or where its interfaces sit under different control authorities. A shared interface, such as a data bus defined by one interface control document, takes one row per participating CI. The shared interface is the second side. Rows are never deleted.</w:t>
      </w:r>
    </w:p>
    <w:p>
      <w:pPr>
        <w:spacing w:after="120" w:line="264"/>
      </w:pPr>
      <w:r>
        <w:rPr>
          <w:rFonts w:ascii="Calibri" w:cs="Calibri" w:eastAsia="Calibri" w:hAnsi="Calibri"/>
        </w:rPr>
        <w:t xml:space="preserve">Each row carries a mapping status:</w:t>
      </w:r>
    </w:p>
    <w:p>
      <w:pPr>
        <w:pStyle w:val="ListParagraph"/>
        <w:numPr>
          <w:ilvl w:val="0"/>
          <w:numId w:val="2"/>
        </w:numPr>
        <w:spacing w:after="80" w:line="264"/>
      </w:pPr>
      <w:r>
        <w:rPr>
          <w:rFonts w:ascii="Calibri" w:cs="Calibri" w:eastAsia="Calibri" w:hAnsi="Calibri"/>
          <w:b/>
          <w:bCs/>
        </w:rPr>
        <w:t xml:space="preserve">Mapped.</w:t>
      </w:r>
      <w:r>
        <w:rPr>
          <w:rFonts w:ascii="Calibri" w:cs="Calibri" w:eastAsia="Calibri" w:hAnsi="Calibri"/>
        </w:rPr>
        <w:t xml:space="preserve"> The interface joins two CIs, a CI and an external item, or a CI and a shared interface.</w:t>
      </w:r>
    </w:p>
    <w:p>
      <w:pPr>
        <w:pStyle w:val="ListParagraph"/>
        <w:numPr>
          <w:ilvl w:val="0"/>
          <w:numId w:val="2"/>
        </w:numPr>
        <w:spacing w:after="80" w:line="264"/>
      </w:pPr>
      <w:r>
        <w:rPr>
          <w:rFonts w:ascii="Calibri" w:cs="Calibri" w:eastAsia="Calibri" w:hAnsi="Calibri"/>
          <w:b/>
          <w:bCs/>
        </w:rPr>
        <w:t xml:space="preserve">Internal.</w:t>
      </w:r>
      <w:r>
        <w:rPr>
          <w:rFonts w:ascii="Calibri" w:cs="Calibri" w:eastAsia="Calibri" w:hAnsi="Calibri"/>
        </w:rPr>
        <w:t xml:space="preserve"> The interface lies within one CI. It is not a CI boundary. The row records that CM looked, so a later split can re-map it.</w:t>
      </w:r>
    </w:p>
    <w:p>
      <w:pPr>
        <w:pStyle w:val="ListParagraph"/>
        <w:numPr>
          <w:ilvl w:val="0"/>
          <w:numId w:val="2"/>
        </w:numPr>
        <w:spacing w:after="80" w:line="264"/>
      </w:pPr>
      <w:r>
        <w:rPr>
          <w:rFonts w:ascii="Calibri" w:cs="Calibri" w:eastAsia="Calibri" w:hAnsi="Calibri"/>
          <w:b/>
          <w:bCs/>
        </w:rPr>
        <w:t xml:space="preserve">Unmapped.</w:t>
      </w:r>
      <w:r>
        <w:rPr>
          <w:rFonts w:ascii="Calibri" w:cs="Calibri" w:eastAsia="Calibri" w:hAnsi="Calibri"/>
        </w:rPr>
        <w:t xml:space="preserve"> A side of the interface resolves to no CI and to no named external item. The row is a coverage exception until it is dispositioned.</w:t>
      </w:r>
    </w:p>
    <w:p>
      <w:pPr>
        <w:spacing w:after="120" w:line="264"/>
      </w:pPr>
      <w:r>
        <w:rPr>
          <w:rFonts w:ascii="Calibri" w:cs="Calibri" w:eastAsia="Calibri" w:hAnsi="Calibri"/>
        </w:rPr>
        <w:t xml:space="preserve">A Mapped row carries a boundary type. A </w:t>
      </w:r>
      <w:r>
        <w:rPr>
          <w:rFonts w:ascii="Calibri" w:cs="Calibri" w:eastAsia="Calibri" w:hAnsi="Calibri"/>
          <w:b/>
          <w:bCs/>
        </w:rPr>
        <w:t xml:space="preserve">same-tier</w:t>
      </w:r>
      <w:r>
        <w:rPr>
          <w:rFonts w:ascii="Calibri" w:cs="Calibri" w:eastAsia="Calibri" w:hAnsi="Calibri"/>
        </w:rPr>
        <w:t xml:space="preserve"> boundary joins two CIs in the same control tier. A </w:t>
      </w:r>
      <w:r>
        <w:rPr>
          <w:rFonts w:ascii="Calibri" w:cs="Calibri" w:eastAsia="Calibri" w:hAnsi="Calibri"/>
          <w:b/>
          <w:bCs/>
        </w:rPr>
        <w:t xml:space="preserve">control-level</w:t>
      </w:r>
      <w:r>
        <w:rPr>
          <w:rFonts w:ascii="Calibri" w:cs="Calibri" w:eastAsia="Calibri" w:hAnsi="Calibri"/>
        </w:rPr>
        <w:t xml:space="preserve"> boundary joins two CIs in different control tiers. That includes GFE installed in the product structure. An </w:t>
      </w:r>
      <w:r>
        <w:rPr>
          <w:rFonts w:ascii="Calibri" w:cs="Calibri" w:eastAsia="Calibri" w:hAnsi="Calibri"/>
          <w:b/>
          <w:bCs/>
        </w:rPr>
        <w:t xml:space="preserve">external</w:t>
      </w:r>
      <w:r>
        <w:rPr>
          <w:rFonts w:ascii="Calibri" w:cs="Calibri" w:eastAsia="Calibri" w:hAnsi="Calibri"/>
        </w:rPr>
        <w:t xml:space="preserve"> boundary joins a CI and an item outside the CI index. A </w:t>
      </w:r>
      <w:r>
        <w:rPr>
          <w:rFonts w:ascii="Calibri" w:cs="Calibri" w:eastAsia="Calibri" w:hAnsi="Calibri"/>
          <w:b/>
          <w:bCs/>
        </w:rPr>
        <w:t xml:space="preserve">shared</w:t>
      </w:r>
      <w:r>
        <w:rPr>
          <w:rFonts w:ascii="Calibri" w:cs="Calibri" w:eastAsia="Calibri" w:hAnsi="Calibri"/>
        </w:rPr>
        <w:t xml:space="preserve"> boundary joins a CI and a shared interface. CIs that exist only between a sub-supplier and the company are not mapped.</w:t>
      </w:r>
    </w:p>
    <w:p>
      <w:pPr>
        <w:spacing w:after="120" w:line="264"/>
      </w:pPr>
      <w:r>
        <w:rPr>
          <w:rFonts w:ascii="Calibri" w:cs="Calibri" w:eastAsia="Calibri" w:hAnsi="Calibri"/>
        </w:rPr>
        <w:t xml:space="preserve">For each row, the register records: interface identifier; mapping status; boundary type; the two sides; each interface source that defines the interface, with its revision, including each interface control document; the specification that invokes it; the controlling baseline; the control authority (CCB, ICWG, or both); whether the interface is allocated to a supplier, and the supplier statement of work that carries the obligation; the model interface element, where MBSE is used; variant applicability; safety relevance and hazard control reference; and row status.</w:t>
      </w:r>
    </w:p>
    <w:p>
      <w:pPr>
        <w:spacing w:after="120" w:line="264"/>
      </w:pPr>
      <w:r>
        <w:rPr>
          <w:rFonts w:ascii="Calibri" w:cs="Calibri" w:eastAsia="Calibri" w:hAnsi="Calibri"/>
        </w:rPr>
        <w:t xml:space="preserve">An interface is allocated to a supplier where the supplier holds design authority over one side, or an interface control document is assigned to it. A supplier working inside an interface the company fixed consumes the interface definition and does not own it. Under a source control drawing, the company fixes the interface, so the interface is not allocated. Under a vendor item control drawing, the interface is not allocated either, even though the vendor holds the design. The company assigns the vendor no interface. The company selects the item and records the item’s existing interface on the drawing.</w:t>
      </w:r>
    </w:p>
    <w:p>
      <w:pPr>
        <w:spacing w:after="120" w:line="264"/>
      </w:pPr>
      <w:r>
        <w:rPr>
          <w:rFonts w:ascii="Calibri" w:cs="Calibri" w:eastAsia="Calibri" w:hAnsi="Calibri"/>
          <w:b/>
          <w:bCs/>
        </w:rPr>
        <w:t xml:space="preserve">The structural floor.</w:t>
      </w:r>
      <w:r>
        <w:rPr>
          <w:rFonts w:ascii="Calibri" w:cs="Calibri" w:eastAsia="Calibri" w:hAnsi="Calibri"/>
        </w:rPr>
        <w:t xml:space="preserve"> CM owns three facts outright, so CM checks them without waiting for Systems Engineering. Each parent and child in different control tiers shares at least one Mapped row. Each GFE CI appears on at least one Mapped row. Each external item named in the system specification or the contract appears on at least one External row. These three facts are the structural floor. A floor gap is one of them with no Mapped row behind it. A floor gap is a coverage exception. Systems Engineering dispositions it. Where Systems Engineering confirms that no interface exists, that confirmation is the disposition, and it is recorded on the coverage log. No determination is signed in advance for a pair of CIs that nobody identified as interfacing.</w:t>
      </w:r>
    </w:p>
    <w:p>
      <w:pPr>
        <w:spacing w:after="120" w:line="264"/>
      </w:pPr>
      <w:r>
        <w:rPr>
          <w:rFonts w:ascii="Calibri" w:cs="Calibri" w:eastAsia="Calibri" w:hAnsi="Calibri"/>
          <w:b/>
          <w:bCs/>
        </w:rPr>
        <w:t xml:space="preserve">Splits and consolidations.</w:t>
      </w:r>
      <w:r>
        <w:rPr>
          <w:rFonts w:ascii="Calibri" w:cs="Calibri" w:eastAsia="Calibri" w:hAnsi="Calibri"/>
        </w:rPr>
        <w:t xml:space="preserve"> A split re-maps every row that landed on the old CI. Supersede each old row with its re-mapped row. Re-map the old CI’s Internal rows as well, because an interface inside the old CI may now cross the new boundary. Ask Systems Engineering whether the new CIs exchange anything no interface source yet defines. A gap found that way gets a new or revised interface source from Systems Engineering, and then a row. A consolidation puts the interfaces between the old CIs inside one CI. Supersede each of those rows with an Internal row, and record why.</w:t>
      </w:r>
    </w:p>
    <w:p>
      <w:pPr>
        <w:spacing w:after="120" w:line="264"/>
      </w:pPr>
      <w:r>
        <w:rPr>
          <w:rFonts w:ascii="Calibri" w:cs="Calibri" w:eastAsia="Calibri" w:hAnsi="Calibri"/>
          <w:b/>
          <w:bCs/>
        </w:rPr>
        <w:t xml:space="preserve">What the register cannot do.</w:t>
      </w:r>
      <w:r>
        <w:rPr>
          <w:rFonts w:ascii="Calibri" w:cs="Calibri" w:eastAsia="Calibri" w:hAnsi="Calibri"/>
        </w:rPr>
        <w:t xml:space="preserve"> No register finds an interface that nobody identified. CM finds interfaces that land nowhere, CIs that nothing lands on, and gaps in the structural floor. Finding unidentified interfaces stays with Systems Engineering, through the architecture model and the technical reviews.</w:t>
      </w:r>
    </w:p>
    <w:p>
      <w:pPr>
        <w:pStyle w:val="Heading3"/>
        <w:keepNext/>
      </w:pPr>
      <w:r>
        <w:rPr>
          <w:rFonts w:ascii="Calibri" w:cs="Calibri" w:eastAsia="Calibri" w:hAnsi="Calibri"/>
        </w:rPr>
        <w:t xml:space="preserve">5.5.2 Coverage Verification</w:t>
      </w:r>
    </w:p>
    <w:p>
      <w:pPr>
        <w:spacing w:after="120" w:line="264"/>
      </w:pPr>
      <w:r>
        <w:rPr>
          <w:rFonts w:ascii="Calibri" w:cs="Calibri" w:eastAsia="Calibri" w:hAnsi="Calibri"/>
        </w:rPr>
        <w:t xml:space="preserve">Verify coverage, not technical content. Technical adequacy of interface requirements is verified by Systems Engineering and the technical review process, not by CM. Perform the coverage check at CI-list submittal for Acquirer concurrence, at each technical review, and prior to each baseline establishment. Each check has seven steps.</w:t>
      </w:r>
    </w:p>
    <w:p>
      <w:pPr>
        <w:spacing w:after="120" w:line="264"/>
      </w:pPr>
      <w:r>
        <w:rPr>
          <w:rFonts w:ascii="Calibri" w:cs="Calibri" w:eastAsia="Calibri" w:hAnsi="Calibri"/>
          <w:b/>
          <w:bCs/>
        </w:rPr>
        <w:t xml:space="preserve">Source coverage.</w:t>
      </w:r>
      <w:r>
        <w:rPr>
          <w:rFonts w:ascii="Calibri" w:cs="Calibri" w:eastAsia="Calibri" w:hAnsi="Calibri"/>
        </w:rPr>
        <w:t xml:space="preserve"> Confirm each released interface source the program CMP names is mapped. Every interface it defines has a row.</w:t>
      </w:r>
    </w:p>
    <w:p>
      <w:pPr>
        <w:spacing w:after="120" w:line="264"/>
      </w:pPr>
      <w:r>
        <w:rPr>
          <w:rFonts w:ascii="Calibri" w:cs="Calibri" w:eastAsia="Calibri" w:hAnsi="Calibri"/>
          <w:b/>
          <w:bCs/>
        </w:rPr>
        <w:t xml:space="preserve">Landing.</w:t>
      </w:r>
      <w:r>
        <w:rPr>
          <w:rFonts w:ascii="Calibri" w:cs="Calibri" w:eastAsia="Calibri" w:hAnsi="Calibri"/>
        </w:rPr>
        <w:t xml:space="preserve"> Confirm every row is Mapped or Internal. An Unmapped row is an exception.</w:t>
      </w:r>
    </w:p>
    <w:p>
      <w:pPr>
        <w:spacing w:after="120" w:line="264"/>
      </w:pPr>
      <w:r>
        <w:rPr>
          <w:rFonts w:ascii="Calibri" w:cs="Calibri" w:eastAsia="Calibri" w:hAnsi="Calibri"/>
          <w:b/>
          <w:bCs/>
        </w:rPr>
        <w:t xml:space="preserve">CI coverage.</w:t>
      </w:r>
      <w:r>
        <w:rPr>
          <w:rFonts w:ascii="Calibri" w:cs="Calibri" w:eastAsia="Calibri" w:hAnsi="Calibri"/>
        </w:rPr>
        <w:t xml:space="preserve"> Confirm every CI in the CI index that is not de-designated or superseded appears on at least one Mapped row. A CI that no interface lands on is an exception.</w:t>
      </w:r>
    </w:p>
    <w:p>
      <w:pPr>
        <w:spacing w:after="120" w:line="264"/>
      </w:pPr>
      <w:r>
        <w:rPr>
          <w:rFonts w:ascii="Calibri" w:cs="Calibri" w:eastAsia="Calibri" w:hAnsi="Calibri"/>
          <w:b/>
          <w:bCs/>
        </w:rPr>
        <w:t xml:space="preserve">Structural floor.</w:t>
      </w:r>
      <w:r>
        <w:rPr>
          <w:rFonts w:ascii="Calibri" w:cs="Calibri" w:eastAsia="Calibri" w:hAnsi="Calibri"/>
        </w:rPr>
        <w:t xml:space="preserve"> Confirm the structural floor has no gaps. A floor gap is an exception.</w:t>
      </w:r>
    </w:p>
    <w:p>
      <w:pPr>
        <w:spacing w:after="120" w:line="264"/>
      </w:pPr>
      <w:r>
        <w:rPr>
          <w:rFonts w:ascii="Calibri" w:cs="Calibri" w:eastAsia="Calibri" w:hAnsi="Calibri"/>
          <w:b/>
          <w:bCs/>
        </w:rPr>
        <w:t xml:space="preserve">Incorporation.</w:t>
      </w:r>
      <w:r>
        <w:rPr>
          <w:rFonts w:ascii="Calibri" w:cs="Calibri" w:eastAsia="Calibri" w:hAnsi="Calibri"/>
        </w:rPr>
        <w:t xml:space="preserve"> Confirm every Mapped row names the specification that invokes it. A released interface that no specification invokes is an exception. Incorporating interface information is mandatory for safety.</w:t>
      </w:r>
    </w:p>
    <w:p>
      <w:pPr>
        <w:spacing w:after="120" w:line="264"/>
      </w:pPr>
      <w:r>
        <w:rPr>
          <w:rFonts w:ascii="Calibri" w:cs="Calibri" w:eastAsia="Calibri" w:hAnsi="Calibri"/>
          <w:b/>
          <w:bCs/>
        </w:rPr>
        <w:t xml:space="preserve">ICD cross-check.</w:t>
      </w:r>
      <w:r>
        <w:rPr>
          <w:rFonts w:ascii="Calibri" w:cs="Calibri" w:eastAsia="Calibri" w:hAnsi="Calibri"/>
        </w:rPr>
        <w:t xml:space="preserve"> Where a CI’s index row lists interface control documents, confirm each one appears on a register row for that CI. Confirm each interface control document, interface requirements specification, and interface design description on a Mapped register row appears on the index row of each side CI. External items and shared interfaces are exempt. Specifications, source control drawings, vendor item control drawings, and drawings are not checked.</w:t>
      </w:r>
    </w:p>
    <w:p>
      <w:pPr>
        <w:spacing w:after="120" w:line="264"/>
      </w:pPr>
      <w:r>
        <w:rPr>
          <w:rFonts w:ascii="Calibri" w:cs="Calibri" w:eastAsia="Calibri" w:hAnsi="Calibri"/>
          <w:b/>
          <w:bCs/>
        </w:rPr>
        <w:t xml:space="preserve">Safety cross-check.</w:t>
      </w:r>
      <w:r>
        <w:rPr>
          <w:rFonts w:ascii="Calibri" w:cs="Calibri" w:eastAsia="Calibri" w:hAnsi="Calibri"/>
        </w:rPr>
        <w:t xml:space="preserve"> Confirm each safety-related row has at least one side CI that meets criterion (b). Confirm each SCI that has no SCI child CI has at least one safety-related row, unless System Safety records that none of its interfaces carries or bounds a hazard risk control.</w:t>
      </w:r>
    </w:p>
    <w:p>
      <w:pPr>
        <w:spacing w:after="120" w:line="264"/>
      </w:pPr>
      <w:r>
        <w:rPr>
          <w:rFonts w:ascii="Calibri" w:cs="Calibri" w:eastAsia="Calibri" w:hAnsi="Calibri"/>
          <w:b/>
          <w:bCs/>
        </w:rPr>
        <w:t xml:space="preserve">Model alignment.</w:t>
      </w:r>
      <w:r>
        <w:rPr>
          <w:rFonts w:ascii="Calibri" w:cs="Calibri" w:eastAsia="Calibri" w:hAnsi="Calibri"/>
        </w:rPr>
        <w:t xml:space="preserve"> Where MBSE is used, the model’s interface elements at the CI-designation level are interface sources, and source coverage maps them like any other. Interface elements below that level stay in the model. A Mapped row between two modeled CIs that cites no model interface element goes to Systems Engineering as a model alignment finding, except where a side CI carries a model alignment exception in the CI index. CM reports the finding. CM does not correct the model.</w:t>
      </w:r>
    </w:p>
    <w:p>
      <w:pPr>
        <w:spacing w:after="120" w:line="264"/>
      </w:pPr>
      <w:r>
        <w:rPr>
          <w:rFonts w:ascii="Calibri" w:cs="Calibri" w:eastAsia="Calibri" w:hAnsi="Calibri"/>
        </w:rPr>
        <w:t xml:space="preserve">Record each check on the coverage log: the event, the date, the sources in scope, the rows by mapping status, each exception, the result of each step, and the disposition of each exception. Give every exception an owner and a due date. The coverage log and the register are the coverage verification records.</w:t>
      </w:r>
    </w:p>
    <w:p>
      <w:pPr>
        <w:pStyle w:val="Heading3"/>
        <w:keepNext/>
      </w:pPr>
      <w:r>
        <w:rPr>
          <w:rFonts w:ascii="Calibri" w:cs="Calibri" w:eastAsia="Calibri" w:hAnsi="Calibri"/>
        </w:rPr>
        <w:t xml:space="preserve">5.5.3 Control of Interface Documentation Products</w:t>
      </w:r>
    </w:p>
    <w:p>
      <w:pPr>
        <w:spacing w:after="120" w:line="264"/>
      </w:pPr>
      <w:r>
        <w:rPr>
          <w:rFonts w:ascii="Calibri" w:cs="Calibri" w:eastAsia="Calibri" w:hAnsi="Calibri"/>
        </w:rPr>
        <w:t xml:space="preserve">Confirm that interface specifications and ICDs (DI-SESS-81248 where contracted) are assigned document identifiers, released through the engineering release system, and included in the configuration documentation determination. Where the Acquirer operates an Interface Control Working Group (ICWG), provide an empowered company representative, and include CM in the company’s participation. That is mandatory for safety, and it is conditional on such a group existing. Record the representative in the CM plan or the ICWG charter. The representative is empowered to commit interface actions and agreements, provide draft interface documentation before each ICWG meeting, and update, release, control, and re-release interface documentation per the ICWG’s decisions. Record ICWG control in the control authority entry of each register row it covers.</w:t>
      </w:r>
    </w:p>
    <w:p>
      <w:pPr>
        <w:spacing w:after="120" w:line="264"/>
      </w:pPr>
      <w:r>
        <w:rPr>
          <w:rFonts w:ascii="Calibri" w:cs="Calibri" w:eastAsia="Calibri" w:hAnsi="Calibri"/>
        </w:rPr>
        <w:t xml:space="preserve">Interface requirement identification is mandatory for safety on the company. On safety-significant product lines it is performed regardless of contract flow-down, or dispositioned through the safety disposition gate defined in the CM planning and management process. Systems Engineering’s interface sources are the evidence that it was performed. The interface register and the coverage verification records are CM’s evidence that every identified interface was mapped to the CI structure, incorporated into the configuration documentation, and placed under configuration control. Together they are the artifacts the program safety-requirement disposition record references. Interface requirements flow into the configuration documentation and are controlled once baselined. Both of those are also mandatory for safety.</w:t>
      </w:r>
    </w:p>
    <w:p>
      <w:pPr>
        <w:pStyle w:val="Heading2"/>
        <w:keepNext/>
      </w:pPr>
      <w:r>
        <w:rPr>
          <w:rFonts w:ascii="Calibri" w:cs="Calibri" w:eastAsia="Calibri" w:hAnsi="Calibri"/>
        </w:rPr>
        <w:t xml:space="preserve">5.6 Acquirer Review and Concurrence</w:t>
      </w:r>
    </w:p>
    <w:p>
      <w:pPr>
        <w:spacing w:after="120" w:line="264"/>
      </w:pPr>
      <w:r>
        <w:rPr>
          <w:rFonts w:ascii="Calibri" w:cs="Calibri" w:eastAsia="Calibri" w:hAnsi="Calibri"/>
          <w:b/>
          <w:bCs/>
        </w:rPr>
        <w:t xml:space="preserve">Inputs: </w:t>
      </w:r>
      <w:r>
        <w:rPr>
          <w:rFonts w:ascii="Calibri" w:cs="Calibri" w:eastAsia="Calibri" w:hAnsi="Calibri"/>
        </w:rPr>
        <w:t xml:space="preserve">Selected-CI determinations and rationale; CI hierarchy; interface register coverage check results; applicable CDRLs.</w:t>
      </w:r>
    </w:p>
    <w:p>
      <w:pPr>
        <w:spacing w:after="120" w:line="264"/>
      </w:pPr>
      <w:r>
        <w:rPr>
          <w:rFonts w:ascii="Calibri" w:cs="Calibri" w:eastAsia="Calibri" w:hAnsi="Calibri"/>
          <w:b/>
          <w:bCs/>
        </w:rPr>
        <w:t xml:space="preserve">Outputs: </w:t>
      </w:r>
      <w:r>
        <w:rPr>
          <w:rFonts w:ascii="Calibri" w:cs="Calibri" w:eastAsia="Calibri" w:hAnsi="Calibri"/>
        </w:rPr>
        <w:t xml:space="preserve">Concurrence submittal (DI-SESS-82007, DI-SESS-81254 where cited); Acquirer concurrence or direction records; concurred CI list.</w:t>
      </w:r>
    </w:p>
    <w:p>
      <w:pPr>
        <w:spacing w:after="120" w:line="264"/>
      </w:pPr>
      <w:r>
        <w:rPr>
          <w:rFonts w:ascii="Calibri" w:cs="Calibri" w:eastAsia="Calibri" w:hAnsi="Calibri"/>
          <w:b/>
          <w:bCs/>
        </w:rPr>
        <w:t xml:space="preserve">Who does what.</w:t>
      </w:r>
      <w:r>
        <w:rPr>
          <w:rFonts w:ascii="Calibri" w:cs="Calibri" w:eastAsia="Calibri" w:hAnsi="Calibri"/>
        </w:rPr>
        <w:t xml:space="preserve"> </w:t>
      </w:r>
      <w:r>
        <w:rPr>
          <w:rFonts w:ascii="Calibri" w:cs="Calibri" w:eastAsia="Calibri" w:hAnsi="Calibri"/>
          <w:b/>
          <w:bCs/>
        </w:rPr>
        <w:t xml:space="preserve">CM</w:t>
      </w:r>
      <w:r>
        <w:rPr>
          <w:rFonts w:ascii="Calibri" w:cs="Calibri" w:eastAsia="Calibri" w:hAnsi="Calibri"/>
        </w:rPr>
        <w:t xml:space="preserve"> prepares and submits the CI list with rationale, defends the selection, and tracks Acquirer disposition. </w:t>
      </w:r>
      <w:r>
        <w:rPr>
          <w:rFonts w:ascii="Calibri" w:cs="Calibri" w:eastAsia="Calibri" w:hAnsi="Calibri"/>
          <w:b/>
          <w:bCs/>
        </w:rPr>
        <w:t xml:space="preserve">Systems Engineering</w:t>
      </w:r>
      <w:r>
        <w:rPr>
          <w:rFonts w:ascii="Calibri" w:cs="Calibri" w:eastAsia="Calibri" w:hAnsi="Calibri"/>
        </w:rPr>
        <w:t xml:space="preserve"> supports technical justification of the proposed set and levels. </w:t>
      </w:r>
      <w:r>
        <w:rPr>
          <w:rFonts w:ascii="Calibri" w:cs="Calibri" w:eastAsia="Calibri" w:hAnsi="Calibri"/>
          <w:b/>
          <w:bCs/>
        </w:rPr>
        <w:t xml:space="preserve">System Safety</w:t>
      </w:r>
      <w:r>
        <w:rPr>
          <w:rFonts w:ascii="Calibri" w:cs="Calibri" w:eastAsia="Calibri" w:hAnsi="Calibri"/>
        </w:rPr>
        <w:t xml:space="preserve"> and </w:t>
      </w:r>
      <w:r>
        <w:rPr>
          <w:rFonts w:ascii="Calibri" w:cs="Calibri" w:eastAsia="Calibri" w:hAnsi="Calibri"/>
          <w:b/>
          <w:bCs/>
        </w:rPr>
        <w:t xml:space="preserve">RM</w:t>
      </w:r>
      <w:r>
        <w:rPr>
          <w:rFonts w:ascii="Calibri" w:cs="Calibri" w:eastAsia="Calibri" w:hAnsi="Calibri"/>
        </w:rPr>
        <w:t xml:space="preserve">&amp;</w:t>
      </w:r>
      <w:r>
        <w:rPr>
          <w:rFonts w:ascii="Calibri" w:cs="Calibri" w:eastAsia="Calibri" w:hAnsi="Calibri"/>
          <w:b/>
          <w:bCs/>
        </w:rPr>
        <w:t xml:space="preserve">SH</w:t>
      </w:r>
      <w:r>
        <w:rPr>
          <w:rFonts w:ascii="Calibri" w:cs="Calibri" w:eastAsia="Calibri" w:hAnsi="Calibri"/>
        </w:rPr>
        <w:t xml:space="preserve"> support any criterion (b) or criticality-based determination. </w:t>
      </w:r>
      <w:r>
        <w:rPr>
          <w:rFonts w:ascii="Calibri" w:cs="Calibri" w:eastAsia="Calibri" w:hAnsi="Calibri"/>
          <w:b/>
          <w:bCs/>
        </w:rPr>
        <w:t xml:space="preserve">Supplier Requirements Engineering</w:t>
      </w:r>
      <w:r>
        <w:rPr>
          <w:rFonts w:ascii="Calibri" w:cs="Calibri" w:eastAsia="Calibri" w:hAnsi="Calibri"/>
        </w:rPr>
        <w:t xml:space="preserve"> supports questions on procurement level. </w:t>
      </w:r>
      <w:r>
        <w:rPr>
          <w:rFonts w:ascii="Calibri" w:cs="Calibri" w:eastAsia="Calibri" w:hAnsi="Calibri"/>
          <w:b/>
          <w:bCs/>
        </w:rPr>
        <w:t xml:space="preserve">Systems Engineering</w:t>
      </w:r>
      <w:r>
        <w:rPr>
          <w:rFonts w:ascii="Calibri" w:cs="Calibri" w:eastAsia="Calibri" w:hAnsi="Calibri"/>
        </w:rPr>
        <w:t xml:space="preserve"> and the </w:t>
      </w:r>
      <w:r>
        <w:rPr>
          <w:rFonts w:ascii="Calibri" w:cs="Calibri" w:eastAsia="Calibri" w:hAnsi="Calibri"/>
          <w:b/>
          <w:bCs/>
        </w:rPr>
        <w:t xml:space="preserve">Responsible Engineer</w:t>
      </w:r>
      <w:r>
        <w:rPr>
          <w:rFonts w:ascii="Calibri" w:cs="Calibri" w:eastAsia="Calibri" w:hAnsi="Calibri"/>
        </w:rPr>
        <w:t xml:space="preserve"> answer the design authority question. Final selection authority rests with the Acquirer. Everything submitted for that decision is CM work.</w:t>
      </w:r>
    </w:p>
    <w:p>
      <w:pPr>
        <w:spacing w:after="120" w:line="264"/>
      </w:pPr>
      <w:r>
        <w:rPr>
          <w:rFonts w:ascii="Calibri" w:cs="Calibri" w:eastAsia="Calibri" w:hAnsi="Calibri"/>
        </w:rPr>
        <w:t xml:space="preserve">Submit the proposed CI list (candidates, selection results, and rationale) to the Acquirer for review and selection concurrence per EIA-649-1A §3.2.1(1). Where contracted, deliver via the applicable CDRLs (e.g., DI-SESS-82007 Configuration Item Documentation Recommendation; DI-SESS-81254 Request for Nomenclature).</w:t>
      </w:r>
    </w:p>
    <w:p>
      <w:pPr>
        <w:spacing w:after="120" w:line="264"/>
      </w:pPr>
      <w:r>
        <w:rPr>
          <w:rFonts w:ascii="Calibri" w:cs="Calibri" w:eastAsia="Calibri" w:hAnsi="Calibri"/>
        </w:rPr>
        <w:t xml:space="preserve">Submit every CI for Acquirer concurrence, including Company-spec controlled CIs. A CI remains Proposed in the CI index until the Acquirer concurs.</w:t>
      </w:r>
    </w:p>
    <w:p>
      <w:pPr>
        <w:spacing w:after="120" w:line="264"/>
      </w:pPr>
      <w:r>
        <w:rPr>
          <w:rFonts w:ascii="Calibri" w:cs="Calibri" w:eastAsia="Calibri" w:hAnsi="Calibri"/>
        </w:rPr>
        <w:t xml:space="preserve">CI selection is iterative. Resubmit for concurrence when the design evolves, when new candidates emerge, or when previously designated CIs are proposed for de-designation. Final selection authority rests with the Acquirer.</w:t>
      </w:r>
    </w:p>
    <w:p>
      <w:pPr>
        <w:pStyle w:val="Heading2"/>
        <w:keepNext/>
      </w:pPr>
      <w:r>
        <w:rPr>
          <w:rFonts w:ascii="Calibri" w:cs="Calibri" w:eastAsia="Calibri" w:hAnsi="Calibri"/>
        </w:rPr>
        <w:t xml:space="preserve">5.7 Identifier Assignment</w:t>
      </w:r>
    </w:p>
    <w:p>
      <w:pPr>
        <w:spacing w:after="120" w:line="264"/>
      </w:pPr>
      <w:r>
        <w:rPr>
          <w:rFonts w:ascii="Calibri" w:cs="Calibri" w:eastAsia="Calibri" w:hAnsi="Calibri"/>
          <w:b/>
          <w:bCs/>
        </w:rPr>
        <w:t xml:space="preserve">Inputs: </w:t>
      </w:r>
      <w:r>
        <w:rPr>
          <w:rFonts w:ascii="Calibri" w:cs="Calibri" w:eastAsia="Calibri" w:hAnsi="Calibri"/>
        </w:rPr>
        <w:t xml:space="preserve">Concurred CI list; design activity CAGE code; program numbering conventions; contract nomenclature and IUID requirements.</w:t>
      </w:r>
    </w:p>
    <w:p>
      <w:pPr>
        <w:spacing w:after="120" w:line="264"/>
      </w:pPr>
      <w:r>
        <w:rPr>
          <w:rFonts w:ascii="Calibri" w:cs="Calibri" w:eastAsia="Calibri" w:hAnsi="Calibri"/>
          <w:b/>
          <w:bCs/>
        </w:rPr>
        <w:t xml:space="preserve">Outputs: </w:t>
      </w:r>
      <w:r>
        <w:rPr>
          <w:rFonts w:ascii="Calibri" w:cs="Calibri" w:eastAsia="Calibri" w:hAnsi="Calibri"/>
        </w:rPr>
        <w:t xml:space="preserve">Assigned identifiers per CI and documentation (PINs, unit identifiers with their record structure, nomenclature, software/version identifiers, IUID, document identifiers); recording requirements and the sources that drive them, life limits, and special handling flags; identifier register entries, including unique item identifiers; CI index updates.</w:t>
      </w:r>
    </w:p>
    <w:p>
      <w:pPr>
        <w:spacing w:after="120" w:line="264"/>
      </w:pPr>
      <w:r>
        <w:rPr>
          <w:rFonts w:ascii="Calibri" w:cs="Calibri" w:eastAsia="Calibri" w:hAnsi="Calibri"/>
          <w:b/>
          <w:bCs/>
        </w:rPr>
        <w:t xml:space="preserve">Who does what.</w:t>
      </w:r>
      <w:r>
        <w:rPr>
          <w:rFonts w:ascii="Calibri" w:cs="Calibri" w:eastAsia="Calibri" w:hAnsi="Calibri"/>
        </w:rPr>
        <w:t xml:space="preserve"> </w:t>
      </w:r>
      <w:r>
        <w:rPr>
          <w:rFonts w:ascii="Calibri" w:cs="Calibri" w:eastAsia="Calibri" w:hAnsi="Calibri"/>
          <w:b/>
          <w:bCs/>
        </w:rPr>
        <w:t xml:space="preserve">CM</w:t>
      </w:r>
      <w:r>
        <w:rPr>
          <w:rFonts w:ascii="Calibri" w:cs="Calibri" w:eastAsia="Calibri" w:hAnsi="Calibri"/>
        </w:rPr>
        <w:t xml:space="preserve"> assigns and registers CI identifiers, and reviews and verifies the product unit identifier record structure for each item, and maintains the identifier register and the CI index. </w:t>
      </w:r>
      <w:r>
        <w:rPr>
          <w:rFonts w:ascii="Calibri" w:cs="Calibri" w:eastAsia="Calibri" w:hAnsi="Calibri"/>
          <w:b/>
          <w:bCs/>
        </w:rPr>
        <w:t xml:space="preserve">RM</w:t>
      </w:r>
      <w:r>
        <w:rPr>
          <w:rFonts w:ascii="Calibri" w:cs="Calibri" w:eastAsia="Calibri" w:hAnsi="Calibri"/>
        </w:rPr>
        <w:t xml:space="preserve">&amp;</w:t>
      </w:r>
      <w:r>
        <w:rPr>
          <w:rFonts w:ascii="Calibri" w:cs="Calibri" w:eastAsia="Calibri" w:hAnsi="Calibri"/>
          <w:b/>
          <w:bCs/>
        </w:rPr>
        <w:t xml:space="preserve">SH</w:t>
      </w:r>
      <w:r>
        <w:rPr>
          <w:rFonts w:ascii="Calibri" w:cs="Calibri" w:eastAsia="Calibri" w:hAnsi="Calibri"/>
        </w:rPr>
        <w:t xml:space="preserve"> supplies the reliability and maintainability basis for life limits and inspection intervals. </w:t>
      </w:r>
      <w:r>
        <w:rPr>
          <w:rFonts w:ascii="Calibri" w:cs="Calibri" w:eastAsia="Calibri" w:hAnsi="Calibri"/>
          <w:b/>
          <w:bCs/>
        </w:rPr>
        <w:t xml:space="preserve">System Safety concurs on SCI designations.</w:t>
      </w:r>
      <w:r>
        <w:rPr>
          <w:rFonts w:ascii="Calibri" w:cs="Calibri" w:eastAsia="Calibri" w:hAnsi="Calibri"/>
        </w:rPr>
        <w:t xml:space="preserve"> </w:t>
      </w:r>
      <w:r>
        <w:rPr>
          <w:rFonts w:ascii="Calibri" w:cs="Calibri" w:eastAsia="Calibri" w:hAnsi="Calibri"/>
          <w:b/>
          <w:bCs/>
        </w:rPr>
        <w:t xml:space="preserve">Logistics</w:t>
      </w:r>
      <w:r>
        <w:rPr>
          <w:rFonts w:ascii="Calibri" w:cs="Calibri" w:eastAsia="Calibri" w:hAnsi="Calibri"/>
        </w:rPr>
        <w:t xml:space="preserve"> identifies unique identification triggers, provisioning implications, and marking driven by the maintenance program. </w:t>
      </w:r>
      <w:r>
        <w:rPr>
          <w:rFonts w:ascii="Calibri" w:cs="Calibri" w:eastAsia="Calibri" w:hAnsi="Calibri"/>
          <w:b/>
          <w:bCs/>
        </w:rPr>
        <w:t xml:space="preserve">Supplier Requirements Engineering</w:t>
      </w:r>
      <w:r>
        <w:rPr>
          <w:rFonts w:ascii="Calibri" w:cs="Calibri" w:eastAsia="Calibri" w:hAnsi="Calibri"/>
        </w:rPr>
        <w:t xml:space="preserve"> flows the safety-critical, life-limited, and special-handling designations and the marking requirements to suppliers, and confirms which of the three authorship cases applies.</w:t>
      </w:r>
    </w:p>
    <w:p>
      <w:pPr>
        <w:spacing w:after="120" w:line="264"/>
      </w:pPr>
      <w:r>
        <w:rPr>
          <w:rFonts w:ascii="Calibri" w:cs="Calibri" w:eastAsia="Calibri" w:hAnsi="Calibri"/>
        </w:rPr>
        <w:t xml:space="preserve">Assign identifiers to each CI, its component parts, and its configuration documentation:</w:t>
      </w:r>
    </w:p>
    <w:p>
      <w:pPr>
        <w:pStyle w:val="ListParagraph"/>
        <w:numPr>
          <w:ilvl w:val="0"/>
          <w:numId w:val="2"/>
        </w:numPr>
        <w:spacing w:after="80" w:line="264"/>
      </w:pPr>
      <w:r>
        <w:rPr>
          <w:rFonts w:ascii="Calibri" w:cs="Calibri" w:eastAsia="Calibri" w:hAnsi="Calibri"/>
        </w:rPr>
        <w:t xml:space="preserve">Enterprise identifier: include the design activity CAGE code on all CIs, subordinate parts and assemblies, configuration documentation, software media, and products.</w:t>
      </w:r>
    </w:p>
    <w:p>
      <w:pPr>
        <w:pStyle w:val="ListParagraph"/>
        <w:numPr>
          <w:ilvl w:val="0"/>
          <w:numId w:val="2"/>
        </w:numPr>
        <w:spacing w:after="80" w:line="264"/>
      </w:pPr>
      <w:r>
        <w:rPr>
          <w:rFonts w:ascii="Calibri" w:cs="Calibri" w:eastAsia="Calibri" w:hAnsi="Calibri"/>
        </w:rPr>
        <w:t xml:space="preserve">Part or Identifying Number (PIN): assign to all CIs, parts, assemblies, units, and sets. The PIN is the same as, or contains, the design document number. When a modification creates a non-interchangeable condition, change the PIN (e.g., new dash number).</w:t>
      </w:r>
    </w:p>
    <w:p>
      <w:pPr>
        <w:pStyle w:val="ListParagraph"/>
        <w:numPr>
          <w:ilvl w:val="0"/>
          <w:numId w:val="2"/>
        </w:numPr>
        <w:spacing w:after="80" w:line="264"/>
      </w:pPr>
      <w:r>
        <w:rPr>
          <w:rFonts w:ascii="Calibri" w:cs="Calibri" w:eastAsia="Calibri" w:hAnsi="Calibri"/>
        </w:rPr>
        <w:t xml:space="preserve">CI identifier: differs from a PIN; assign to all CIs.</w:t>
      </w:r>
    </w:p>
    <w:p>
      <w:pPr>
        <w:pStyle w:val="ListParagraph"/>
        <w:numPr>
          <w:ilvl w:val="0"/>
          <w:numId w:val="2"/>
        </w:numPr>
        <w:spacing w:after="80" w:line="264"/>
      </w:pPr>
      <w:r>
        <w:rPr>
          <w:rFonts w:ascii="Calibri" w:cs="Calibri" w:eastAsia="Calibri" w:hAnsi="Calibri"/>
        </w:rPr>
        <w:t xml:space="preserve">Review and verify the application of product unit identifiers associated with each CI and their child components:</w:t>
      </w:r>
    </w:p>
    <w:p>
      <w:pPr>
        <w:pStyle w:val="ListParagraph"/>
        <w:numPr>
          <w:ilvl w:val="1"/>
          <w:numId w:val="2"/>
        </w:numPr>
        <w:spacing w:after="80" w:line="264"/>
      </w:pPr>
      <w:r>
        <w:rPr>
          <w:rFonts w:ascii="Calibri" w:cs="Calibri" w:eastAsia="Calibri" w:hAnsi="Calibri"/>
          <w:b/>
          <w:bCs/>
        </w:rPr>
        <w:t xml:space="preserve">Product unit identifiers: A product unit identifier is either a serial number or a lot or batch number. Both are unit identifiers. The product unit record-structure test below determines which form applies. It is not determined by hazard severity, by CI status, or by the presence of a criticality designation, and the independence fails in both directions. Going forward, a critical item does not automatically require a serial number: most critical items carry a product unit record, and the test determines which form; some carry none, where the hazard is mitigated by design rather than by a per-unit or per-lot control. Many CIs are correctly lot-controlled and carry no serial number, and an item of catastrophic hazard severity may be legitimately lot-controlled. Lot control is not a lesser form of control; it is the correct form where the approved basis for continued service is conformance to an approved source rather than the history of an individual article. Going backward, an item carrying a product unit identifier is not thereby critical and is not thereby a CI: item unique identification triggers on serially managed status, on mission essential or controlled inventory status, or on unit acquisition cost. For most items it does not examine criticality, so a low-consequence item over the cost threshold is serialized like any other. One designation runs the other way. Critical safety items are identified as DoD serially managed, so that designation does carry serialization with it. That inference runs from the designation to the serial number. It does not run from the serial number back to a hazard. The presence or absence of a product unit identifier is therefore still not evidence for or against criterion (b), and is not used in place of running it. Serial and lot numbers are unique, consecutive, and non-duplicating against a non-changing product-tracking base identifier. Once assigned they are never revised or re-used. A modified unit retains its original unit identifier even though the PIN changes, which preserves traceability to the original configuration.</w:t>
      </w:r>
    </w:p>
    <w:p>
      <w:pPr>
        <w:pStyle w:val="ListParagraph"/>
        <w:numPr>
          <w:ilvl w:val="1"/>
          <w:numId w:val="2"/>
        </w:numPr>
        <w:spacing w:after="80" w:line="264"/>
      </w:pPr>
      <w:r>
        <w:rPr>
          <w:rFonts w:ascii="Calibri" w:cs="Calibri" w:eastAsia="Calibri" w:hAnsi="Calibri"/>
          <w:b/>
          <w:bCs/>
        </w:rPr>
        <w:t xml:space="preserve">Verify application of product unit identifiers by performing the product unit record-structure test:</w:t>
      </w:r>
      <w:r>
        <w:rPr>
          <w:rFonts w:ascii="Calibri" w:cs="Calibri" w:eastAsia="Calibri" w:hAnsi="Calibri"/>
        </w:rPr>
        <w:t xml:space="preserve"> verify which product unit identifier (serial, lot, batch) or combination of identifiers apply by asking what the approved basis for the item’s continued service depends on. Apply the test to the CI and to each component part; one CI may contain parts of more than one record structure.</w:t>
      </w:r>
    </w:p>
    <w:p>
      <w:pPr>
        <w:pStyle w:val="ListParagraph"/>
        <w:numPr>
          <w:ilvl w:val="2"/>
          <w:numId w:val="2"/>
        </w:numPr>
        <w:spacing w:after="80" w:line="264"/>
      </w:pPr>
      <w:r>
        <w:rPr>
          <w:rFonts w:ascii="Calibri" w:cs="Calibri" w:eastAsia="Calibri" w:hAnsi="Calibri"/>
          <w:b/>
          <w:bCs/>
        </w:rPr>
        <w:t xml:space="preserve">Per-unit history required: serial number.</w:t>
      </w:r>
      <w:r>
        <w:rPr>
          <w:rFonts w:ascii="Calibri" w:cs="Calibri" w:eastAsia="Calibri" w:hAnsi="Calibri"/>
        </w:rPr>
        <w:t xml:space="preserve"> The approved basis depends on what happened to this individual unit: accumulated cycles or operating hours against an approved life limit, or inspection history. Remaining life is a per-unit quantity, so the unit must be individually identifiable.</w:t>
      </w:r>
    </w:p>
    <w:p>
      <w:pPr>
        <w:pStyle w:val="ListParagraph"/>
        <w:numPr>
          <w:ilvl w:val="2"/>
          <w:numId w:val="2"/>
        </w:numPr>
        <w:spacing w:after="80" w:line="264"/>
      </w:pPr>
      <w:r>
        <w:rPr>
          <w:rFonts w:ascii="Calibri" w:cs="Calibri" w:eastAsia="Calibri" w:hAnsi="Calibri"/>
          <w:b/>
          <w:bCs/>
        </w:rPr>
        <w:t xml:space="preserve">Lot or batch acceptance sufficient: lot or batch number,</w:t>
      </w:r>
      <w:r>
        <w:rPr>
          <w:rFonts w:ascii="Calibri" w:cs="Calibri" w:eastAsia="Calibri" w:hAnsi="Calibri"/>
        </w:rPr>
        <w:t xml:space="preserve"> with a date code where a shelf-life, cure-date, or storage-age limit applies. The approved basis is only that the item was made correctly by an approved source. Serialization adds cost without adding assurance, and is a contract choice rather than a technical requirement.</w:t>
      </w:r>
    </w:p>
    <w:p>
      <w:pPr>
        <w:pStyle w:val="ListParagraph"/>
        <w:numPr>
          <w:ilvl w:val="2"/>
          <w:numId w:val="2"/>
        </w:numPr>
        <w:spacing w:after="80" w:line="264"/>
      </w:pPr>
      <w:r>
        <w:rPr>
          <w:rFonts w:ascii="Calibri" w:cs="Calibri" w:eastAsia="Calibri" w:hAnsi="Calibri"/>
          <w:b/>
          <w:bCs/>
        </w:rPr>
        <w:t xml:space="preserve">Material and process traceability: lot or batch at heat level, in addition to whichever of the above applies.</w:t>
      </w:r>
      <w:r>
        <w:rPr>
          <w:rFonts w:ascii="Calibri" w:cs="Calibri" w:eastAsia="Calibri" w:hAnsi="Calibri"/>
        </w:rPr>
        <w:t xml:space="preserve"> This runs underneath the unit identifier rather than instead of it: a serialized fracture-critical part still requires its heat and lot chain.</w:t>
      </w:r>
    </w:p>
    <w:p>
      <w:pPr>
        <w:pStyle w:val="ListParagraph"/>
        <w:numPr>
          <w:ilvl w:val="2"/>
          <w:numId w:val="2"/>
        </w:numPr>
        <w:spacing w:after="80" w:line="264"/>
      </w:pPr>
      <w:r>
        <w:rPr>
          <w:rFonts w:ascii="Calibri" w:cs="Calibri" w:eastAsia="Calibri" w:hAnsi="Calibri"/>
          <w:b/>
          <w:bCs/>
        </w:rPr>
        <w:t xml:space="preserve">Configuration identity only: no physical unit identifier.</w:t>
      </w:r>
      <w:r>
        <w:rPr>
          <w:rFonts w:ascii="Calibri" w:cs="Calibri" w:eastAsia="Calibri" w:hAnsi="Calibri"/>
        </w:rPr>
        <w:t xml:space="preserve"> Some software and complex electronic hardware carry identity on the loadable part number and the baseline (see the software identifiers entry below). Do not record these as serialization obligations; do not assume all items require a product-unit identifier.</w:t>
      </w:r>
    </w:p>
    <w:p>
      <w:pPr>
        <w:pStyle w:val="ListParagraph"/>
        <w:numPr>
          <w:ilvl w:val="2"/>
          <w:numId w:val="2"/>
        </w:numPr>
        <w:spacing w:after="80" w:line="264"/>
      </w:pPr>
      <w:r>
        <w:rPr>
          <w:rFonts w:ascii="Calibri" w:cs="Calibri" w:eastAsia="Calibri" w:hAnsi="Calibri"/>
          <w:b/>
          <w:bCs/>
        </w:rPr>
        <w:t xml:space="preserve">No item-level record.</w:t>
      </w:r>
      <w:r>
        <w:rPr>
          <w:rFonts w:ascii="Calibri" w:cs="Calibri" w:eastAsia="Calibri" w:hAnsi="Calibri"/>
        </w:rPr>
        <w:t xml:space="preserve"> The item is controlled within its parent CI’s configuration documentation and carries no independent unit identifier.</w:t>
      </w:r>
    </w:p>
    <w:p>
      <w:pPr>
        <w:spacing w:after="120" w:line="264"/>
        <w:ind w:left="720"/>
      </w:pPr>
      <w:r>
        <w:rPr>
          <w:rFonts w:ascii="Calibri" w:cs="Calibri" w:eastAsia="Calibri" w:hAnsi="Calibri"/>
          <w:b/>
          <w:bCs/>
        </w:rPr>
        <w:t xml:space="preserve">Two clocks, one phrase.</w:t>
      </w:r>
      <w:r>
        <w:rPr>
          <w:rFonts w:ascii="Calibri" w:cs="Calibri" w:eastAsia="Calibri" w:hAnsi="Calibri"/>
        </w:rPr>
        <w:t xml:space="preserve"> The life clock does not set the record structure. The requirement source does. A limit in cycles or operating hours is a per-unit quantity, so the item is serialized. A shelf-life, cure-date, or storage-age limit on material in storage attaches to the manufacturing lot, so the item is lot or batch recorded with a date code. A calendar replacement limit on a discrete part in the Airworthiness Limitations Section takes a serial number under 14 CFR 45.15(c), however the limit is expressed. Where both clocks run, both records apply. Verify which clock applies to the item, and which source drives the record.</w:t>
      </w:r>
    </w:p>
    <w:p>
      <w:pPr>
        <w:spacing w:after="120" w:line="264"/>
        <w:ind w:left="720"/>
      </w:pPr>
      <w:r>
        <w:rPr>
          <w:rFonts w:ascii="Calibri" w:cs="Calibri" w:eastAsia="Calibri" w:hAnsi="Calibri"/>
          <w:b/>
          <w:bCs/>
        </w:rPr>
        <w:t xml:space="preserve">Records run up the product tree to the end item.</w:t>
      </w:r>
      <w:r>
        <w:rPr>
          <w:rFonts w:ascii="Calibri" w:cs="Calibri" w:eastAsia="Calibri" w:hAnsi="Calibri"/>
        </w:rPr>
        <w:t xml:space="preserve"> Where an item is serialized or lot or batch recorded, serialization and traceability records are maintained up the product tree to the end item. This applies to every item carrying a product unit record, whatever the driver behind it. There is no threshold and no shorter scope. The end item is the top-level asset or system under contract, which is typically the complete air vehicle or the complete weapon system. It is not a line replaceable unit. A serialized item’s next higher physical parent is serialized, and so is every higher physical parent below the end item. A lot number alone does not establish location, so the parent of a lot or batch recorded item is serialized for the same reason. Record the resulting parent-and-child traceability against each product unit. Unique identification marking is the one obligation that stops short of the end item. It is bounded at the parent item, as stated in the unique identification entry below. The records still run the full height of the tree.</w:t>
      </w:r>
    </w:p>
    <w:p>
      <w:pPr>
        <w:pStyle w:val="ListParagraph"/>
        <w:numPr>
          <w:ilvl w:val="1"/>
          <w:numId w:val="2"/>
        </w:numPr>
        <w:spacing w:after="80" w:line="264"/>
      </w:pPr>
      <w:r>
        <w:rPr>
          <w:rFonts w:ascii="Calibri" w:cs="Calibri" w:eastAsia="Calibri" w:hAnsi="Calibri"/>
          <w:b/>
          <w:bCs/>
        </w:rPr>
        <w:t xml:space="preserve">Independent product unit recording drivers:</w:t>
      </w:r>
      <w:r>
        <w:rPr>
          <w:rFonts w:ascii="Calibri" w:cs="Calibri" w:eastAsia="Calibri" w:hAnsi="Calibri"/>
        </w:rPr>
        <w:t xml:space="preserve"> several requirements impose a product unit record structure regardless of criticality or CI status, and are checked separately for every item. An item with no criticality designation can still carry a product unit record. Check each driver below against every item.</w:t>
      </w:r>
    </w:p>
    <w:p>
      <w:pPr>
        <w:pStyle w:val="ListParagraph"/>
        <w:numPr>
          <w:ilvl w:val="2"/>
          <w:numId w:val="2"/>
        </w:numPr>
        <w:spacing w:after="80" w:line="264"/>
      </w:pPr>
      <w:r>
        <w:rPr>
          <w:rFonts w:ascii="Calibri" w:cs="Calibri" w:eastAsia="Calibri" w:hAnsi="Calibri"/>
          <w:b/>
          <w:bCs/>
        </w:rPr>
        <w:t xml:space="preserve">Item unique identification.</w:t>
      </w:r>
      <w:r>
        <w:rPr>
          <w:rFonts w:ascii="Calibri" w:cs="Calibri" w:eastAsia="Calibri" w:hAnsi="Calibri"/>
        </w:rPr>
        <w:t xml:space="preserve"> Unique identification applies at or above the unit acquisition cost threshold. It applies below the threshold where the requiring activity determines the item is mission essential or controlled inventory. It applies regardless of value to DoD serially managed items, to parent items that contain an embedded item carrying a unique item identifier, to warranted serialized items, to special tooling and special test equipment for a major defense acquisition program designated for preservation and storage, and to items the requiring activity identifies as high risk. The populations identified as DoD serially managed include critical safety items, capital asset equipment, relocatable facilities, controlled inventory items, depot level repairable items, and certain special tooling and test equipment. For most items unique identification does not trigger on criticality, so an item with no criticality designation can still be serialized by it. </w:t>
      </w:r>
      <w:r>
        <w:rPr>
          <w:rFonts w:ascii="Calibri" w:cs="Calibri" w:eastAsia="Calibri" w:hAnsi="Calibri"/>
          <w:b/>
          <w:bCs/>
        </w:rPr>
        <w:t xml:space="preserve">Critical safety items are the exception.</w:t>
      </w:r>
      <w:r>
        <w:rPr>
          <w:rFonts w:ascii="Calibri" w:cs="Calibri" w:eastAsia="Calibri" w:hAnsi="Calibri"/>
        </w:rPr>
        <w:t xml:space="preserve"> They are identified as DoD serially managed, and unique identification then applies regardless of unit cost. Confirm the unique identification clause is in the contract, because contracts and drawings written before this rule took effect may carry no marking requirement. Check unique identification separately for every other DoD item.</w:t>
      </w:r>
    </w:p>
    <w:p>
      <w:pPr>
        <w:pStyle w:val="ListParagraph"/>
        <w:numPr>
          <w:ilvl w:val="2"/>
          <w:numId w:val="2"/>
        </w:numPr>
        <w:spacing w:after="80" w:line="264"/>
      </w:pPr>
      <w:r>
        <w:rPr>
          <w:rFonts w:ascii="Calibri" w:cs="Calibri" w:eastAsia="Calibri" w:hAnsi="Calibri"/>
          <w:b/>
          <w:bCs/>
        </w:rPr>
        <w:t xml:space="preserve">Airworthiness limitation marking.</w:t>
      </w:r>
      <w:r>
        <w:rPr>
          <w:rFonts w:ascii="Calibri" w:cs="Calibri" w:eastAsia="Calibri" w:hAnsi="Calibri"/>
        </w:rPr>
        <w:t xml:space="preserve"> Triggers where a replacement time, inspection interval, or related procedure appears in the airworthiness limitations section or the instructions for continued airworthiness. Work from what the limitations section actually contains rather than from a criticality label.</w:t>
      </w:r>
    </w:p>
    <w:p>
      <w:pPr>
        <w:pStyle w:val="ListParagraph"/>
        <w:numPr>
          <w:ilvl w:val="2"/>
          <w:numId w:val="2"/>
        </w:numPr>
        <w:spacing w:after="80" w:line="264"/>
      </w:pPr>
      <w:r>
        <w:rPr>
          <w:rFonts w:ascii="Calibri" w:cs="Calibri" w:eastAsia="Calibri" w:hAnsi="Calibri"/>
          <w:b/>
          <w:bCs/>
        </w:rPr>
        <w:t xml:space="preserve">Commercial grade dedication.</w:t>
      </w:r>
      <w:r>
        <w:rPr>
          <w:rFonts w:ascii="Calibri" w:cs="Calibri" w:eastAsia="Calibri" w:hAnsi="Calibri"/>
        </w:rPr>
        <w:t xml:space="preserve"> Accepts a commercial item against identified critical characteristics on a lot basis.</w:t>
      </w:r>
    </w:p>
    <w:p>
      <w:pPr>
        <w:pStyle w:val="ListParagraph"/>
        <w:numPr>
          <w:ilvl w:val="2"/>
          <w:numId w:val="2"/>
        </w:numPr>
        <w:spacing w:after="80" w:line="264"/>
      </w:pPr>
      <w:r>
        <w:rPr>
          <w:rFonts w:ascii="Calibri" w:cs="Calibri" w:eastAsia="Calibri" w:hAnsi="Calibri"/>
          <w:b/>
          <w:bCs/>
        </w:rPr>
        <w:t xml:space="preserve">Counterfeit avoidance.</w:t>
      </w:r>
      <w:r>
        <w:rPr>
          <w:rFonts w:ascii="Calibri" w:cs="Calibri" w:eastAsia="Calibri" w:hAnsi="Calibri"/>
        </w:rPr>
        <w:t xml:space="preserve"> Drives traceability to the original component manufacturer rather than to product unit identity. It is frequently mistaken for a serialization requirement.</w:t>
      </w:r>
    </w:p>
    <w:p>
      <w:pPr>
        <w:pStyle w:val="ListParagraph"/>
        <w:numPr>
          <w:ilvl w:val="2"/>
          <w:numId w:val="2"/>
        </w:numPr>
        <w:spacing w:after="80" w:line="264"/>
      </w:pPr>
      <w:r>
        <w:rPr>
          <w:rFonts w:ascii="Calibri" w:cs="Calibri" w:eastAsia="Calibri" w:hAnsi="Calibri"/>
          <w:b/>
          <w:bCs/>
        </w:rPr>
        <w:t xml:space="preserve">Special handling, storage, and environmental control.</w:t>
      </w:r>
      <w:r>
        <w:rPr>
          <w:rFonts w:ascii="Calibri" w:cs="Calibri" w:eastAsia="Calibri" w:hAnsi="Calibri"/>
        </w:rPr>
        <w:t xml:space="preserve"> Drives lot or batch recording. An item requires special handling where controlled handling, packaging, or storage is necessary to keep it conforming. Electrostatic discharge sensitivity, hazardous material content, and limits on temperature, humidity, shock, or security classification are the common causes. The handling conditions, including segregation and packaging, are recorded against the lot. Special handling is not a criticality designation. It is not a serialization driver. An item can carry special handling and a serial number at once, and the serial number then comes from a different driver. Explosive and radioactive items carry additional drawing annotation obligations.</w:t>
      </w:r>
    </w:p>
    <w:p>
      <w:pPr>
        <w:pStyle w:val="ListParagraph"/>
        <w:numPr>
          <w:ilvl w:val="2"/>
          <w:numId w:val="2"/>
        </w:numPr>
        <w:spacing w:after="80" w:line="264"/>
      </w:pPr>
      <w:r>
        <w:rPr>
          <w:rFonts w:ascii="Calibri" w:cs="Calibri" w:eastAsia="Calibri" w:hAnsi="Calibri"/>
          <w:b/>
          <w:bCs/>
        </w:rPr>
        <w:t xml:space="preserve">Casting inspection and casting factor basis.</w:t>
      </w:r>
      <w:r>
        <w:rPr>
          <w:rFonts w:ascii="Calibri" w:cs="Calibri" w:eastAsia="Calibri" w:hAnsi="Calibri"/>
        </w:rPr>
        <w:t xml:space="preserve"> Drives lot or batch recording. A reduced number of castings per production batch is inspected by non-visual methods under an approved quality control procedure, or a casting factor of 1.0 rests on process monitoring with coupons cut from casting prolongations. The approved basis is the production batch, so the batch has to stay identifiable. Coupon results must tie to the casting or the pour they came from. The rule imposes no serialization.</w:t>
      </w:r>
    </w:p>
    <w:p>
      <w:pPr>
        <w:pStyle w:val="ListParagraph"/>
        <w:numPr>
          <w:ilvl w:val="2"/>
          <w:numId w:val="2"/>
        </w:numPr>
        <w:spacing w:after="80" w:line="264"/>
      </w:pPr>
      <w:r>
        <w:rPr>
          <w:rFonts w:ascii="Calibri" w:cs="Calibri" w:eastAsia="Calibri" w:hAnsi="Calibri"/>
          <w:b/>
          <w:bCs/>
        </w:rPr>
        <w:t xml:space="preserve">Alternative approved material design values.</w:t>
      </w:r>
      <w:r>
        <w:rPr>
          <w:rFonts w:ascii="Calibri" w:cs="Calibri" w:eastAsia="Calibri" w:hAnsi="Calibri"/>
        </w:rPr>
        <w:t xml:space="preserve"> Drives lot or batch recording. Material design values other than the statistically based values are used, as approved by the authority. The rule itself requires no records. The approval carries the process and statistical conditions, and production lot and batch records are what demonstrate continuing conformity to them. This driver is distinct from premium selection material, which is a per-part obligation rather than a lot obligation. See the criticality designations appendix.</w:t>
      </w:r>
    </w:p>
    <w:p>
      <w:pPr>
        <w:pStyle w:val="ListParagraph"/>
        <w:numPr>
          <w:ilvl w:val="2"/>
          <w:numId w:val="2"/>
        </w:numPr>
        <w:spacing w:after="80" w:line="264"/>
      </w:pPr>
      <w:r>
        <w:rPr>
          <w:rFonts w:ascii="Calibri" w:cs="Calibri" w:eastAsia="Calibri" w:hAnsi="Calibri"/>
          <w:b/>
          <w:bCs/>
        </w:rPr>
        <w:t xml:space="preserve">Process and batch conditions.</w:t>
      </w:r>
      <w:r>
        <w:rPr>
          <w:rFonts w:ascii="Calibri" w:cs="Calibri" w:eastAsia="Calibri" w:hAnsi="Calibri"/>
        </w:rPr>
        <w:t xml:space="preserve"> Drives lot or batch recording. An item is fabricated from a specific batch of bulk material, its testing or certification is conducted by lot, or its performance depends on a process or batch condition such as storage conditions, temperature, solution strength, application technique, or cure time. This is the widest of these drivers by item count. An item can carry this driver and a criticality designation at once, and the lot records are the same records.</w:t>
      </w:r>
    </w:p>
    <w:p>
      <w:pPr>
        <w:spacing w:after="120" w:line="264"/>
      </w:pPr>
      <w:r>
        <w:rPr>
          <w:rFonts w:ascii="Calibri" w:cs="Calibri" w:eastAsia="Calibri" w:hAnsi="Calibri"/>
        </w:rPr>
        <w:t xml:space="preserve">Table 5-2 consolidates every source that drives serial or lot/batch recording. It joins the independent drivers above with the designations in Table C-1. Serial and lot recording are independent, and many items take both. The CI index source list and its checks are drawn from Table 5-2. Revise the CI index list when this table or Table C-1 changes.</w:t>
      </w:r>
    </w:p>
    <w:p>
      <w:pPr>
        <w:keepNext/>
        <w:spacing w:after="80" w:before="120"/>
      </w:pPr>
      <w:r>
        <w:rPr>
          <w:rFonts w:ascii="Calibri" w:cs="Calibri" w:eastAsia="Calibri" w:hAnsi="Calibri"/>
          <w:b/>
          <w:bCs/>
          <w:sz w:val="20"/>
          <w:szCs w:val="20"/>
        </w:rPr>
        <w:t xml:space="preserve">Table 5-2. Product Unit Record Requirement Sources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3600"/>
        <w:gridCol w:w="5760"/>
      </w:tblGrid>
      <w:tr>
        <w:trPr>
          <w:cantSplit/>
          <w:tblHeader/>
        </w:trPr>
        <w:tc>
          <w:tcPr>
            <w:tcW w:type="dxa" w:w="36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Source</w:t>
            </w:r>
          </w:p>
        </w:tc>
        <w:tc>
          <w:tcPr>
            <w:tcW w:type="dxa" w:w="57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Drives</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Cycle/usage-controlled life limit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ALI on a discrete part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Safe-life PSE</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IUID</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Physical parent of a serialized or lot-recorded item</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Premium selection material</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 and lot or batch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Critical safety item</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 and lot or batch number. Meets criterion (b) on its own (Table C-1).</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Fracture-critical traceable part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Serial number and lot or batch number. Meets criterion (b) on its own (Table C-1).</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Fracture-critical part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 Meets criterion (b) on its own (Table C-1).</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Age/shelf-life-controlled life limit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 with a date code</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ALI expressed against a lot</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Special handling</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Process and batch conditions</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Castings or alternative material design values</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Counterfeit avoidance</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 with a source chain</w:t>
            </w:r>
          </w:p>
        </w:tc>
      </w:tr>
      <w:tr>
        <w:trPr>
          <w:cantSplit/>
          <w:tblHeader w:val="false"/>
        </w:trPr>
        <w:tc>
          <w:tcPr>
            <w:tcW w:type="dxa" w:w="36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Commercial grade dedication</w:t>
            </w:r>
          </w:p>
        </w:tc>
        <w:tc>
          <w:tcPr>
            <w:tcW w:type="dxa" w:w="57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Lot or batch number</w:t>
            </w:r>
          </w:p>
        </w:tc>
      </w:tr>
    </w:tbl>
    <w:p>
      <w:pPr>
        <w:spacing w:after="120" w:before="0"/>
      </w:pPr>
    </w:p>
    <w:p>
      <w:pPr>
        <w:pStyle w:val="ListParagraph"/>
        <w:numPr>
          <w:ilvl w:val="1"/>
          <w:numId w:val="2"/>
        </w:numPr>
        <w:spacing w:after="80" w:line="264"/>
      </w:pPr>
      <w:r>
        <w:rPr>
          <w:rFonts w:ascii="Calibri" w:cs="Calibri" w:eastAsia="Calibri" w:hAnsi="Calibri"/>
          <w:b/>
          <w:bCs/>
        </w:rPr>
        <w:t xml:space="preserve">Verify application of product unit identifiers on the Design:</w:t>
      </w:r>
      <w:r>
        <w:rPr>
          <w:rFonts w:ascii="Calibri" w:cs="Calibri" w:eastAsia="Calibri" w:hAnsi="Calibri"/>
        </w:rPr>
        <w:t xml:space="preserve"> items requiring serialization recording, lot/batch recording, special handling, or subject to life limits. Application of these requirements on the design follows one of three cases, and the applicable case is stated in the statement of work for any procured item: </w:t>
      </w:r>
      <w:r>
        <w:rPr>
          <w:rFonts w:ascii="Calibri" w:cs="Calibri" w:eastAsia="Calibri" w:hAnsi="Calibri"/>
          <w:b/>
          <w:bCs/>
        </w:rPr>
        <w:t xml:space="preserve">company-assigned</w:t>
      </w:r>
      <w:r>
        <w:rPr>
          <w:rFonts w:ascii="Calibri" w:cs="Calibri" w:eastAsia="Calibri" w:hAnsi="Calibri"/>
        </w:rPr>
        <w:t xml:space="preserve">, where the company holds design authority; </w:t>
      </w:r>
      <w:r>
        <w:rPr>
          <w:rFonts w:ascii="Calibri" w:cs="Calibri" w:eastAsia="Calibri" w:hAnsi="Calibri"/>
          <w:b/>
          <w:bCs/>
        </w:rPr>
        <w:t xml:space="preserve">supplier-proposed and company-approved</w:t>
      </w:r>
      <w:r>
        <w:rPr>
          <w:rFonts w:ascii="Calibri" w:cs="Calibri" w:eastAsia="Calibri" w:hAnsi="Calibri"/>
        </w:rPr>
        <w:t xml:space="preserve">, where a supplier holds design authority at its level; and </w:t>
      </w:r>
      <w:r>
        <w:rPr>
          <w:rFonts w:ascii="Calibri" w:cs="Calibri" w:eastAsia="Calibri" w:hAnsi="Calibri"/>
          <w:b/>
          <w:bCs/>
        </w:rPr>
        <w:t xml:space="preserve">externally assigned</w:t>
      </w:r>
      <w:r>
        <w:rPr>
          <w:rFonts w:ascii="Calibri" w:cs="Calibri" w:eastAsia="Calibri" w:hAnsi="Calibri"/>
        </w:rPr>
        <w:t xml:space="preserve">, where a customer or regulatory authority assigns the designation. In that case both parties record and flow it, neither proposes nor approves it, and a dispute is raised with the assigning authority. Where the applicable case is unstated, each party waits for the other. The CI index flags each CI that requires serialization recording, lot or batch recording, or special handling, records its life clock, and names each source that drives the recording. Serial and lot recording are independent and often apply together. The product definition data defines each requirement.</w:t>
      </w:r>
    </w:p>
    <w:p>
      <w:pPr>
        <w:pStyle w:val="ListParagraph"/>
        <w:numPr>
          <w:ilvl w:val="0"/>
          <w:numId w:val="2"/>
        </w:numPr>
        <w:spacing w:after="80" w:line="264"/>
      </w:pPr>
      <w:r>
        <w:rPr>
          <w:rFonts w:ascii="Calibri" w:cs="Calibri" w:eastAsia="Calibri" w:hAnsi="Calibri"/>
        </w:rPr>
        <w:t xml:space="preserve">Software identifiers: assign each CSCI a unique identifier and a version identifier for each version. Where embedded code and its hardware device are controlled via a single altered-item drawing, provide a part number representing the device with the embedded code; label the software medium with the design activity code and name and mark it separately on the device.</w:t>
      </w:r>
    </w:p>
    <w:p>
      <w:pPr>
        <w:pStyle w:val="ListParagraph"/>
        <w:numPr>
          <w:ilvl w:val="0"/>
          <w:numId w:val="2"/>
        </w:numPr>
        <w:spacing w:after="80" w:line="264"/>
      </w:pPr>
      <w:r>
        <w:rPr>
          <w:rFonts w:ascii="Calibri" w:cs="Calibri" w:eastAsia="Calibri" w:hAnsi="Calibri"/>
        </w:rPr>
        <w:t xml:space="preserve">IUID: apply Item Unique Identification marking per MIL-STD-130 where the contract requires it. The triggers are DoD serially managed status, mission essential or controlled inventory status, and unit acquisition cost. Critical safety items are identified as DoD serially managed, so a critical safety item carries unique identification regardless of its unit cost. Flag in the CI index that IUID applies. Record the unique item identifiers in the identifier register. Where an item is too small to mark, the unique item identifier is carried on the unit packaging. The contract identifies the parent item, so coordinate the parent item level with the contracting activity. Unique identification is bounded at the parent item that contains the embedded item. The marking does not flow further up the product tree on its own. The serialization and traceability records still run to the end item.</w:t>
      </w:r>
    </w:p>
    <w:p>
      <w:pPr>
        <w:pStyle w:val="ListParagraph"/>
        <w:numPr>
          <w:ilvl w:val="0"/>
          <w:numId w:val="2"/>
        </w:numPr>
        <w:spacing w:after="80" w:line="264"/>
      </w:pPr>
      <w:r>
        <w:rPr>
          <w:rFonts w:ascii="Calibri" w:cs="Calibri" w:eastAsia="Calibri" w:hAnsi="Calibri"/>
        </w:rPr>
        <w:t xml:space="preserve">Document identifiers: uniquely identify each item of product configuration information so it can be referenced precisely and retrieved.</w:t>
      </w:r>
    </w:p>
    <w:p>
      <w:pPr>
        <w:pStyle w:val="Heading2"/>
        <w:keepNext/>
      </w:pPr>
      <w:r>
        <w:rPr>
          <w:rFonts w:ascii="Calibri" w:cs="Calibri" w:eastAsia="Calibri" w:hAnsi="Calibri"/>
        </w:rPr>
        <w:t xml:space="preserve">5.8 Configuration Documentation Determination</w:t>
      </w:r>
    </w:p>
    <w:p>
      <w:pPr>
        <w:spacing w:after="120" w:line="264"/>
      </w:pPr>
      <w:r>
        <w:rPr>
          <w:rFonts w:ascii="Calibri" w:cs="Calibri" w:eastAsia="Calibri" w:hAnsi="Calibri"/>
          <w:b/>
          <w:bCs/>
        </w:rPr>
        <w:t xml:space="preserve">Inputs: </w:t>
      </w:r>
      <w:r>
        <w:rPr>
          <w:rFonts w:ascii="Calibri" w:cs="Calibri" w:eastAsia="Calibri" w:hAnsi="Calibri"/>
        </w:rPr>
        <w:t xml:space="preserve">Concurred CI list with control tiers; interface register, for incorporation into the configuration documentation; contract documentation requirements; item maturity and ownership information.</w:t>
      </w:r>
    </w:p>
    <w:p>
      <w:pPr>
        <w:spacing w:after="120" w:line="264"/>
      </w:pPr>
      <w:r>
        <w:rPr>
          <w:rFonts w:ascii="Calibri" w:cs="Calibri" w:eastAsia="Calibri" w:hAnsi="Calibri"/>
          <w:b/>
          <w:bCs/>
        </w:rPr>
        <w:t xml:space="preserve">Outputs: </w:t>
      </w:r>
      <w:r>
        <w:rPr>
          <w:rFonts w:ascii="Calibri" w:cs="Calibri" w:eastAsia="Calibri" w:hAnsi="Calibri"/>
        </w:rPr>
        <w:t xml:space="preserve">Documentation requirements determination per CI; released configuration documentation (FCD/ACD/PCD elements) under configuration control, with interface information incorporated.</w:t>
      </w:r>
    </w:p>
    <w:p>
      <w:pPr>
        <w:spacing w:after="120" w:line="264"/>
      </w:pPr>
      <w:r>
        <w:rPr>
          <w:rFonts w:ascii="Calibri" w:cs="Calibri" w:eastAsia="Calibri" w:hAnsi="Calibri"/>
          <w:b/>
          <w:bCs/>
        </w:rPr>
        <w:t xml:space="preserve">Who does what. CM determines the configuration documentation required for each CI</w:t>
      </w:r>
      <w:r>
        <w:rPr>
          <w:rFonts w:ascii="Calibri" w:cs="Calibri" w:eastAsia="Calibri" w:hAnsi="Calibri"/>
        </w:rPr>
        <w:t xml:space="preserve">, assigns document identifiers, and places released documentation under control. </w:t>
      </w:r>
      <w:r>
        <w:rPr>
          <w:rFonts w:ascii="Calibri" w:cs="Calibri" w:eastAsia="Calibri" w:hAnsi="Calibri"/>
          <w:b/>
          <w:bCs/>
        </w:rPr>
        <w:t xml:space="preserve">Systems Engineering</w:t>
      </w:r>
      <w:r>
        <w:rPr>
          <w:rFonts w:ascii="Calibri" w:cs="Calibri" w:eastAsia="Calibri" w:hAnsi="Calibri"/>
        </w:rPr>
        <w:t xml:space="preserve"> advises on specification type and confirms the technical content is adequate for the control level chosen. </w:t>
      </w:r>
      <w:r>
        <w:rPr>
          <w:rFonts w:ascii="Calibri" w:cs="Calibri" w:eastAsia="Calibri" w:hAnsi="Calibri"/>
          <w:b/>
          <w:bCs/>
        </w:rPr>
        <w:t xml:space="preserve">Logistics</w:t>
      </w:r>
      <w:r>
        <w:rPr>
          <w:rFonts w:ascii="Calibri" w:cs="Calibri" w:eastAsia="Calibri" w:hAnsi="Calibri"/>
        </w:rPr>
        <w:t xml:space="preserve"> identifies technical manual and support documentation requirements. </w:t>
      </w:r>
      <w:r>
        <w:rPr>
          <w:rFonts w:ascii="Calibri" w:cs="Calibri" w:eastAsia="Calibri" w:hAnsi="Calibri"/>
          <w:b/>
          <w:bCs/>
        </w:rPr>
        <w:t xml:space="preserve">Equipment Managers and Responsible Engineers</w:t>
      </w:r>
      <w:r>
        <w:rPr>
          <w:rFonts w:ascii="Calibri" w:cs="Calibri" w:eastAsia="Calibri" w:hAnsi="Calibri"/>
        </w:rPr>
        <w:t xml:space="preserve"> confirm the documentation set is sufficient to define and reprocure their items.</w:t>
      </w:r>
    </w:p>
    <w:p>
      <w:pPr>
        <w:spacing w:after="120" w:line="264"/>
      </w:pPr>
      <w:r>
        <w:rPr>
          <w:rFonts w:ascii="Calibri" w:cs="Calibri" w:eastAsia="Calibri" w:hAnsi="Calibri"/>
        </w:rPr>
        <w:t xml:space="preserve">For each CI, determine the configuration documentation that defines its performance, functional, and physical attributes, including internal and external interfaces. Documentation type depends on item maturity, ownership, and the control tier: performance specifications for Acquirer-spec controlled CIs on performance-based contracts; detail specifications, drawings, and models where design disclosure is required; commercial item descriptions or form-fit-function data for privately developed items.</w:t>
      </w:r>
    </w:p>
    <w:p>
      <w:pPr>
        <w:spacing w:after="120" w:line="264"/>
      </w:pPr>
      <w:r>
        <w:rPr>
          <w:rFonts w:ascii="Calibri" w:cs="Calibri" w:eastAsia="Calibri" w:hAnsi="Calibri"/>
        </w:rPr>
        <w:t xml:space="preserve">Incorporate the interface information mapped in the interface register into the functional, allocated, and product configuration documentation (FCD/ACD/PCD) as each is developed, either in the applicable specifications directly or by reference to interface specifications or ICDs. Incorporating interface information is mandatory for safety. Where it is not performed, disposition it through the safety disposition gate defined in the CM planning and management process.</w:t>
      </w:r>
    </w:p>
    <w:p>
      <w:pPr>
        <w:spacing w:after="120" w:line="264"/>
      </w:pPr>
      <w:r>
        <w:rPr>
          <w:rFonts w:ascii="Calibri" w:cs="Calibri" w:eastAsia="Calibri" w:hAnsi="Calibri"/>
        </w:rPr>
        <w:t xml:space="preserve">The interface register records the specification that invokes each interface. That entry is the evidence of incorporation, and it sets the controlling baseline.</w:t>
      </w:r>
    </w:p>
    <w:p>
      <w:pPr>
        <w:spacing w:after="120" w:line="264"/>
      </w:pPr>
      <w:r>
        <w:rPr>
          <w:rFonts w:ascii="Calibri" w:cs="Calibri" w:eastAsia="Calibri" w:hAnsi="Calibri"/>
        </w:rPr>
        <w:t xml:space="preserve">Place each item of configuration documentation under configuration control upon release through the engineering release system. This includes item, material, and process specifications, software specifications, and Software Version Descriptions (SVDs).</w:t>
      </w:r>
    </w:p>
    <w:p>
      <w:pPr>
        <w:pStyle w:val="Heading2"/>
        <w:keepNext/>
      </w:pPr>
      <w:r>
        <w:rPr>
          <w:rFonts w:ascii="Calibri" w:cs="Calibri" w:eastAsia="Calibri" w:hAnsi="Calibri"/>
        </w:rPr>
        <w:t xml:space="preserve">5.9 Baseline Establishment</w:t>
      </w:r>
    </w:p>
    <w:p>
      <w:pPr>
        <w:spacing w:after="120" w:line="264"/>
      </w:pPr>
      <w:r>
        <w:rPr>
          <w:rFonts w:ascii="Calibri" w:cs="Calibri" w:eastAsia="Calibri" w:hAnsi="Calibri"/>
          <w:b/>
          <w:bCs/>
        </w:rPr>
        <w:t xml:space="preserve">Inputs: </w:t>
      </w:r>
      <w:r>
        <w:rPr>
          <w:rFonts w:ascii="Calibri" w:cs="Calibri" w:eastAsia="Calibri" w:hAnsi="Calibri"/>
        </w:rPr>
        <w:t xml:space="preserve">Released configuration documentation; technical review results; approved changes; interface documentation.</w:t>
      </w:r>
    </w:p>
    <w:p>
      <w:pPr>
        <w:spacing w:after="120" w:line="264"/>
      </w:pPr>
      <w:r>
        <w:rPr>
          <w:rFonts w:ascii="Calibri" w:cs="Calibri" w:eastAsia="Calibri" w:hAnsi="Calibri"/>
          <w:b/>
          <w:bCs/>
        </w:rPr>
        <w:t xml:space="preserve">Outputs: </w:t>
      </w:r>
      <w:r>
        <w:rPr>
          <w:rFonts w:ascii="Calibri" w:cs="Calibri" w:eastAsia="Calibri" w:hAnsi="Calibri"/>
        </w:rPr>
        <w:t xml:space="preserve">Established FBL for the system; established ABL and PBL per CI, with baseline records; baselined interface requirements under configuration control.</w:t>
      </w:r>
    </w:p>
    <w:p>
      <w:pPr>
        <w:spacing w:after="120" w:line="264"/>
      </w:pPr>
      <w:r>
        <w:rPr>
          <w:rFonts w:ascii="Calibri" w:cs="Calibri" w:eastAsia="Calibri" w:hAnsi="Calibri"/>
          <w:b/>
          <w:bCs/>
        </w:rPr>
        <w:t xml:space="preserve">Who does what. CM establishes and records the baselines, and keeps their content aligned and current.</w:t>
      </w:r>
      <w:r>
        <w:rPr>
          <w:rFonts w:ascii="Calibri" w:cs="Calibri" w:eastAsia="Calibri" w:hAnsi="Calibri"/>
        </w:rPr>
        <w:t xml:space="preserve"> That is an active duty rather than a filing task. CM confirms that the documentation actually in each baseline matches the CI structure, that approved changes have been incorporated, and that interface documentation sits at the right baseline. Where content has drifted, CM raises it and drives it back into alignment. CM controls changes to the baselines thereafter. </w:t>
      </w:r>
      <w:r>
        <w:rPr>
          <w:rFonts w:ascii="Calibri" w:cs="Calibri" w:eastAsia="Calibri" w:hAnsi="Calibri"/>
          <w:b/>
          <w:bCs/>
        </w:rPr>
        <w:t xml:space="preserve">Systems Engineering</w:t>
      </w:r>
      <w:r>
        <w:rPr>
          <w:rFonts w:ascii="Calibri" w:cs="Calibri" w:eastAsia="Calibri" w:hAnsi="Calibri"/>
        </w:rPr>
        <w:t xml:space="preserve"> confirms the technical content is complete and consistent at each baseline. </w:t>
      </w:r>
      <w:r>
        <w:rPr>
          <w:rFonts w:ascii="Calibri" w:cs="Calibri" w:eastAsia="Calibri" w:hAnsi="Calibri"/>
          <w:b/>
          <w:bCs/>
        </w:rPr>
        <w:t xml:space="preserve">System Safety</w:t>
      </w:r>
      <w:r>
        <w:rPr>
          <w:rFonts w:ascii="Calibri" w:cs="Calibri" w:eastAsia="Calibri" w:hAnsi="Calibri"/>
        </w:rPr>
        <w:t xml:space="preserve"> confirms hazard risk controls are captured in the baselined documentation. </w:t>
      </w:r>
      <w:r>
        <w:rPr>
          <w:rFonts w:ascii="Calibri" w:cs="Calibri" w:eastAsia="Calibri" w:hAnsi="Calibri"/>
          <w:b/>
          <w:bCs/>
        </w:rPr>
        <w:t xml:space="preserve">CM</w:t>
      </w:r>
      <w:r>
        <w:rPr>
          <w:rFonts w:ascii="Calibri" w:cs="Calibri" w:eastAsia="Calibri" w:hAnsi="Calibri"/>
        </w:rPr>
        <w:t xml:space="preserve"> confirms the supplier deliverables supporting the baseline were received and logged. The </w:t>
      </w:r>
      <w:r>
        <w:rPr>
          <w:rFonts w:ascii="Calibri" w:cs="Calibri" w:eastAsia="Calibri" w:hAnsi="Calibri"/>
          <w:b/>
          <w:bCs/>
        </w:rPr>
        <w:t xml:space="preserve">reviewing function</w:t>
      </w:r>
      <w:r>
        <w:rPr>
          <w:rFonts w:ascii="Calibri" w:cs="Calibri" w:eastAsia="Calibri" w:hAnsi="Calibri"/>
        </w:rPr>
        <w:t xml:space="preserve"> confirms they were accepted.</w:t>
      </w:r>
    </w:p>
    <w:p>
      <w:pPr>
        <w:spacing w:after="120" w:line="264"/>
      </w:pPr>
      <w:r>
        <w:rPr>
          <w:rFonts w:ascii="Calibri" w:cs="Calibri" w:eastAsia="Calibri" w:hAnsi="Calibri"/>
        </w:rPr>
        <w:t xml:space="preserve">Establish and manage the functional, allocated, and product baselines at the appropriate points in each CI’s lifecycle:</w:t>
      </w:r>
    </w:p>
    <w:p>
      <w:pPr>
        <w:pStyle w:val="ListParagraph"/>
        <w:numPr>
          <w:ilvl w:val="0"/>
          <w:numId w:val="2"/>
        </w:numPr>
        <w:spacing w:after="80" w:line="264"/>
      </w:pPr>
      <w:r>
        <w:rPr>
          <w:rFonts w:ascii="Calibri" w:cs="Calibri" w:eastAsia="Calibri" w:hAnsi="Calibri"/>
        </w:rPr>
        <w:t xml:space="preserve">Functional baseline (FBL): system-level performance requirements and verification; typically established at/after the system functional review.</w:t>
      </w:r>
    </w:p>
    <w:p>
      <w:pPr>
        <w:pStyle w:val="ListParagraph"/>
        <w:numPr>
          <w:ilvl w:val="0"/>
          <w:numId w:val="2"/>
        </w:numPr>
        <w:spacing w:after="80" w:line="264"/>
      </w:pPr>
      <w:r>
        <w:rPr>
          <w:rFonts w:ascii="Calibri" w:cs="Calibri" w:eastAsia="Calibri" w:hAnsi="Calibri"/>
        </w:rPr>
        <w:t xml:space="preserve">Allocated baseline (ABL): performance requirements allocated to each CI; typically established at/after preliminary design review for the CI.</w:t>
      </w:r>
    </w:p>
    <w:p>
      <w:pPr>
        <w:pStyle w:val="ListParagraph"/>
        <w:numPr>
          <w:ilvl w:val="0"/>
          <w:numId w:val="2"/>
        </w:numPr>
        <w:spacing w:after="80" w:line="264"/>
      </w:pPr>
      <w:r>
        <w:rPr>
          <w:rFonts w:ascii="Calibri" w:cs="Calibri" w:eastAsia="Calibri" w:hAnsi="Calibri"/>
        </w:rPr>
        <w:t xml:space="preserve">Product baseline (PBL): the complete released design documentation describing the CI’s physical and functional attributes and acceptance test requirements; initially established at completion of CDR and formalized no later than first production unit delivery or physical configuration audit completion. For a CI designated for PCA under the configuration audit process, PCA completion is the formalizing event, and the Acquirer formalizes the baseline on its successful completion and approval of the product specification. For a CI not designated for PCA, the Acquirer formalizes the product baseline no later than first production unit delivery. The baseline established at CDR is the initial product baseline. The baseline established by the formalizing event is the formalized product baseline. Name both, because a CI carries its initial product baseline until its formalizing event arrives.</w:t>
      </w:r>
    </w:p>
    <w:p>
      <w:pPr>
        <w:spacing w:after="120" w:line="264"/>
      </w:pPr>
      <w:r>
        <w:rPr>
          <w:rFonts w:ascii="Calibri" w:cs="Calibri" w:eastAsia="Calibri" w:hAnsi="Calibri"/>
        </w:rPr>
        <w:t xml:space="preserve">A baseline plus its approved changes is the current approved configuration. Interface control documentation is part of the functional and/or allocated baselines to the extent referenced in the applicable specifications. Maintain configuration control of baselined interface requirements, which is mandatory for safety. Changes to baselined interfaces are processed through formal change action.</w:t>
      </w:r>
    </w:p>
    <w:p>
      <w:pPr>
        <w:spacing w:after="120" w:line="264"/>
      </w:pPr>
      <w:r>
        <w:rPr>
          <w:rFonts w:ascii="Calibri" w:cs="Calibri" w:eastAsia="Calibri" w:hAnsi="Calibri"/>
        </w:rPr>
        <w:t xml:space="preserve">These rules apply to every control tier. A Company-spec controlled CI carries its allocated requirements in its own specification, under company control, or in its parent CI’s specification. The Acquirer formalizes its product baseline, as it does for an Acquirer-spec controlled CI. The configuration audit process designates CIs for PCA. This process uses that designation and does not make it.</w:t>
      </w:r>
    </w:p>
    <w:p>
      <w:pPr>
        <w:pStyle w:val="Heading2"/>
        <w:keepNext/>
      </w:pPr>
      <w:r>
        <w:rPr>
          <w:rFonts w:ascii="Calibri" w:cs="Calibri" w:eastAsia="Calibri" w:hAnsi="Calibri"/>
        </w:rPr>
        <w:t xml:space="preserve">5.10 Maintenance and Iteration</w:t>
      </w:r>
    </w:p>
    <w:p>
      <w:pPr>
        <w:spacing w:after="120" w:line="264"/>
      </w:pPr>
      <w:r>
        <w:rPr>
          <w:rFonts w:ascii="Calibri" w:cs="Calibri" w:eastAsia="Calibri" w:hAnsi="Calibri"/>
          <w:b/>
          <w:bCs/>
        </w:rPr>
        <w:t xml:space="preserve">Inputs: </w:t>
      </w:r>
      <w:r>
        <w:rPr>
          <w:rFonts w:ascii="Calibri" w:cs="Calibri" w:eastAsia="Calibri" w:hAnsi="Calibri"/>
        </w:rPr>
        <w:t xml:space="preserve">Trigger events (listed below); current CI index, interface register, and baselines; CSA records.</w:t>
      </w:r>
    </w:p>
    <w:p>
      <w:pPr>
        <w:spacing w:after="120" w:line="264"/>
      </w:pPr>
      <w:r>
        <w:rPr>
          <w:rFonts w:ascii="Calibri" w:cs="Calibri" w:eastAsia="Calibri" w:hAnsi="Calibri"/>
          <w:b/>
          <w:bCs/>
        </w:rPr>
        <w:t xml:space="preserve">Outputs: </w:t>
      </w:r>
      <w:r>
        <w:rPr>
          <w:rFonts w:ascii="Calibri" w:cs="Calibri" w:eastAsia="Calibri" w:hAnsi="Calibri"/>
        </w:rPr>
        <w:t xml:space="preserve">Updated CI index, interface register, selection assessments, and concurrence submittals; CSA records of all designations, identifier assignments, baseline establishments, and changes.</w:t>
      </w:r>
    </w:p>
    <w:p>
      <w:pPr>
        <w:spacing w:after="120" w:line="264"/>
      </w:pPr>
      <w:r>
        <w:rPr>
          <w:rFonts w:ascii="Calibri" w:cs="Calibri" w:eastAsia="Calibri" w:hAnsi="Calibri"/>
          <w:b/>
          <w:bCs/>
        </w:rPr>
        <w:t xml:space="preserve">Who does what.</w:t>
      </w:r>
      <w:r>
        <w:rPr>
          <w:rFonts w:ascii="Calibri" w:cs="Calibri" w:eastAsia="Calibri" w:hAnsi="Calibri"/>
        </w:rPr>
        <w:t xml:space="preserve"> </w:t>
      </w:r>
      <w:r>
        <w:rPr>
          <w:rFonts w:ascii="Calibri" w:cs="Calibri" w:eastAsia="Calibri" w:hAnsi="Calibri"/>
          <w:b/>
          <w:bCs/>
        </w:rPr>
        <w:t xml:space="preserve">CM</w:t>
      </w:r>
      <w:r>
        <w:rPr>
          <w:rFonts w:ascii="Calibri" w:cs="Calibri" w:eastAsia="Calibri" w:hAnsi="Calibri"/>
        </w:rPr>
        <w:t xml:space="preserve"> monitors the triggers, re-runs identification, and records the outcome whether or not the CI set changes. CM does not wait to be told. CM reviews revised specifications, revised architecture, released and revised interface sources, revised hazard and criticality analyses, and new procurement statements of work as they are issued. </w:t>
      </w:r>
      <w:r>
        <w:rPr>
          <w:rFonts w:ascii="Calibri" w:cs="Calibri" w:eastAsia="Calibri" w:hAnsi="Calibri"/>
          <w:b/>
          <w:bCs/>
        </w:rPr>
        <w:t xml:space="preserve">Systems Engineering</w:t>
      </w:r>
      <w:r>
        <w:rPr>
          <w:rFonts w:ascii="Calibri" w:cs="Calibri" w:eastAsia="Calibri" w:hAnsi="Calibri"/>
        </w:rPr>
        <w:t xml:space="preserve"> notifies CM of design and architecture change. </w:t>
      </w:r>
      <w:r>
        <w:rPr>
          <w:rFonts w:ascii="Calibri" w:cs="Calibri" w:eastAsia="Calibri" w:hAnsi="Calibri"/>
          <w:b/>
          <w:bCs/>
        </w:rPr>
        <w:t xml:space="preserve">System Safety</w:t>
      </w:r>
      <w:r>
        <w:rPr>
          <w:rFonts w:ascii="Calibri" w:cs="Calibri" w:eastAsia="Calibri" w:hAnsi="Calibri"/>
        </w:rPr>
        <w:t xml:space="preserve"> and </w:t>
      </w:r>
      <w:r>
        <w:rPr>
          <w:rFonts w:ascii="Calibri" w:cs="Calibri" w:eastAsia="Calibri" w:hAnsi="Calibri"/>
          <w:b/>
          <w:bCs/>
        </w:rPr>
        <w:t xml:space="preserve">SMS</w:t>
      </w:r>
      <w:r>
        <w:rPr>
          <w:rFonts w:ascii="Calibri" w:cs="Calibri" w:eastAsia="Calibri" w:hAnsi="Calibri"/>
        </w:rPr>
        <w:t xml:space="preserve"> notify CM of hazard analysis revision. </w:t>
      </w:r>
      <w:r>
        <w:rPr>
          <w:rFonts w:ascii="Calibri" w:cs="Calibri" w:eastAsia="Calibri" w:hAnsi="Calibri"/>
          <w:b/>
          <w:bCs/>
        </w:rPr>
        <w:t xml:space="preserve">RM</w:t>
      </w:r>
      <w:r>
        <w:rPr>
          <w:rFonts w:ascii="Calibri" w:cs="Calibri" w:eastAsia="Calibri" w:hAnsi="Calibri"/>
        </w:rPr>
        <w:t xml:space="preserve">&amp;</w:t>
      </w:r>
      <w:r>
        <w:rPr>
          <w:rFonts w:ascii="Calibri" w:cs="Calibri" w:eastAsia="Calibri" w:hAnsi="Calibri"/>
          <w:b/>
          <w:bCs/>
        </w:rPr>
        <w:t xml:space="preserve">SH</w:t>
      </w:r>
      <w:r>
        <w:rPr>
          <w:rFonts w:ascii="Calibri" w:cs="Calibri" w:eastAsia="Calibri" w:hAnsi="Calibri"/>
        </w:rPr>
        <w:t xml:space="preserve"> notifies CM where a criticality analysis or life limit changes. </w:t>
      </w:r>
      <w:r>
        <w:rPr>
          <w:rFonts w:ascii="Calibri" w:cs="Calibri" w:eastAsia="Calibri" w:hAnsi="Calibri"/>
          <w:b/>
          <w:bCs/>
        </w:rPr>
        <w:t xml:space="preserve">Logistics</w:t>
      </w:r>
      <w:r>
        <w:rPr>
          <w:rFonts w:ascii="Calibri" w:cs="Calibri" w:eastAsia="Calibri" w:hAnsi="Calibri"/>
        </w:rPr>
        <w:t xml:space="preserve"> notifies CM of supportability strategy change. </w:t>
      </w:r>
      <w:r>
        <w:rPr>
          <w:rFonts w:ascii="Calibri" w:cs="Calibri" w:eastAsia="Calibri" w:hAnsi="Calibri"/>
          <w:b/>
          <w:bCs/>
        </w:rPr>
        <w:t xml:space="preserve">Supplier Requirements Engineering</w:t>
      </w:r>
      <w:r>
        <w:rPr>
          <w:rFonts w:ascii="Calibri" w:cs="Calibri" w:eastAsia="Calibri" w:hAnsi="Calibri"/>
        </w:rPr>
        <w:t xml:space="preserve"> notifies CM of source and sub-tier supplier change. Any function may raise a trigger. </w:t>
      </w:r>
      <w:r>
        <w:rPr>
          <w:rFonts w:ascii="Calibri" w:cs="Calibri" w:eastAsia="Calibri" w:hAnsi="Calibri"/>
          <w:b/>
          <w:bCs/>
        </w:rPr>
        <w:t xml:space="preserve">CM is accountable for acting on it, and for finding the ones nobody raised.</w:t>
      </w:r>
    </w:p>
    <w:p>
      <w:pPr>
        <w:spacing w:after="120" w:line="264"/>
      </w:pPr>
      <w:r>
        <w:rPr>
          <w:rFonts w:ascii="Calibri" w:cs="Calibri" w:eastAsia="Calibri" w:hAnsi="Calibri"/>
        </w:rPr>
        <w:t xml:space="preserve">Maintain the configuration identification throughout the lifecycle. Re-evaluate CI selection and structure upon any of the following triggers:</w:t>
      </w:r>
    </w:p>
    <w:p>
      <w:pPr>
        <w:pStyle w:val="ListParagraph"/>
        <w:numPr>
          <w:ilvl w:val="0"/>
          <w:numId w:val="2"/>
        </w:numPr>
        <w:spacing w:after="80" w:line="264"/>
      </w:pPr>
      <w:r>
        <w:rPr>
          <w:rFonts w:ascii="Calibri" w:cs="Calibri" w:eastAsia="Calibri" w:hAnsi="Calibri"/>
        </w:rPr>
        <w:t xml:space="preserve">Design evolution introducing new items, new end-use functions, or new interfaces</w:t>
      </w:r>
    </w:p>
    <w:p>
      <w:pPr>
        <w:pStyle w:val="ListParagraph"/>
        <w:numPr>
          <w:ilvl w:val="0"/>
          <w:numId w:val="2"/>
        </w:numPr>
        <w:spacing w:after="80" w:line="264"/>
      </w:pPr>
      <w:r>
        <w:rPr>
          <w:rFonts w:ascii="Calibri" w:cs="Calibri" w:eastAsia="Calibri" w:hAnsi="Calibri"/>
        </w:rPr>
        <w:t xml:space="preserve">Changes to the MBSE architecture decomposition (the CI structure is re-aligned to the model)</w:t>
      </w:r>
    </w:p>
    <w:p>
      <w:pPr>
        <w:pStyle w:val="ListParagraph"/>
        <w:numPr>
          <w:ilvl w:val="0"/>
          <w:numId w:val="2"/>
        </w:numPr>
        <w:spacing w:after="80" w:line="264"/>
      </w:pPr>
      <w:r>
        <w:rPr>
          <w:rFonts w:ascii="Calibri" w:cs="Calibri" w:eastAsia="Calibri" w:hAnsi="Calibri"/>
        </w:rPr>
        <w:t xml:space="preserve">New or revised SCI sources (FMEA, FMECA, SMS hazard log, system safety hazard analysis reports), or new critical safety item designations</w:t>
      </w:r>
    </w:p>
    <w:p>
      <w:pPr>
        <w:pStyle w:val="ListParagraph"/>
        <w:numPr>
          <w:ilvl w:val="0"/>
          <w:numId w:val="2"/>
        </w:numPr>
        <w:spacing w:after="80" w:line="264"/>
      </w:pPr>
      <w:r>
        <w:rPr>
          <w:rFonts w:ascii="Calibri" w:cs="Calibri" w:eastAsia="Calibri" w:hAnsi="Calibri"/>
        </w:rPr>
        <w:t xml:space="preserve">Changes to supportability strategy, provisioning, or separate procurement decisions</w:t>
      </w:r>
    </w:p>
    <w:p>
      <w:pPr>
        <w:pStyle w:val="ListParagraph"/>
        <w:numPr>
          <w:ilvl w:val="0"/>
          <w:numId w:val="2"/>
        </w:numPr>
        <w:spacing w:after="80" w:line="264"/>
      </w:pPr>
      <w:r>
        <w:rPr>
          <w:rFonts w:ascii="Calibri" w:cs="Calibri" w:eastAsia="Calibri" w:hAnsi="Calibri"/>
        </w:rPr>
        <w:t xml:space="preserve">Contract changes, including Acquirer direction designating or de-designating CIs</w:t>
      </w:r>
    </w:p>
    <w:p>
      <w:pPr>
        <w:pStyle w:val="ListParagraph"/>
        <w:numPr>
          <w:ilvl w:val="0"/>
          <w:numId w:val="2"/>
        </w:numPr>
        <w:spacing w:after="80" w:line="264"/>
      </w:pPr>
      <w:r>
        <w:rPr>
          <w:rFonts w:ascii="Calibri" w:cs="Calibri" w:eastAsia="Calibri" w:hAnsi="Calibri"/>
        </w:rPr>
        <w:t xml:space="preserve">Non-interchangeable modifications requiring PIN change and identifier updates</w:t>
      </w:r>
    </w:p>
    <w:p>
      <w:pPr>
        <w:pStyle w:val="ListParagraph"/>
        <w:numPr>
          <w:ilvl w:val="0"/>
          <w:numId w:val="2"/>
        </w:numPr>
        <w:spacing w:after="80" w:line="264"/>
      </w:pPr>
      <w:r>
        <w:rPr>
          <w:rFonts w:ascii="Calibri" w:cs="Calibri" w:eastAsia="Calibri" w:hAnsi="Calibri"/>
        </w:rPr>
        <w:t xml:space="preserve">A change in the drawing that controls a procured CI, such as a vendor item control drawing replaced by a source control drawing. The new drawing is a newly released interface source, and its interfaces are mapped as for any other.</w:t>
      </w:r>
    </w:p>
    <w:p>
      <w:pPr>
        <w:spacing w:after="120" w:line="264"/>
      </w:pPr>
      <w:r>
        <w:rPr>
          <w:rFonts w:ascii="Calibri" w:cs="Calibri" w:eastAsia="Calibri" w:hAnsi="Calibri"/>
        </w:rPr>
        <w:t xml:space="preserve">Record all CI designations, identifier assignments, baseline establishments, and changes in the Configuration Status Accounting (CSA) system.</w:t>
      </w:r>
    </w:p>
    <w:p>
      <w:pPr>
        <w:pStyle w:val="Heading1"/>
        <w:keepNext/>
      </w:pPr>
      <w:r>
        <w:rPr>
          <w:rFonts w:ascii="Calibri" w:cs="Calibri" w:eastAsia="Calibri" w:hAnsi="Calibri"/>
        </w:rPr>
        <w:t xml:space="preserve">6. Records and Outputs</w:t>
      </w:r>
    </w:p>
    <w:p>
      <w:pPr>
        <w:spacing w:after="120" w:line="264"/>
      </w:pPr>
      <w:r>
        <w:rPr>
          <w:rFonts w:ascii="Calibri" w:cs="Calibri" w:eastAsia="Calibri" w:hAnsi="Calibri"/>
        </w:rPr>
        <w:t xml:space="preserve">The CI index holds CIs, and only CIs. It is the hub for CI status. It flags what applies to each CI and points to the record that owns each answer. It does not copy content from those records. Each column holds a fixed property of the CI. Timing lives in the baseline columns. The interface register follows the same rules for the interfaces it maps, and coverage checks are recorded as events on its coverage log.</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200"/>
        <w:gridCol w:w="7160"/>
      </w:tblGrid>
      <w:tr>
        <w:trPr>
          <w:cantSplit/>
          <w:tblHeader/>
        </w:trPr>
        <w:tc>
          <w:tcPr>
            <w:tcW w:type="dxa" w:w="22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Record / Output</w:t>
            </w:r>
          </w:p>
        </w:tc>
        <w:tc>
          <w:tcPr>
            <w:tcW w:type="dxa" w:w="71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Content and Retention</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CI Index (CI list)</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All CIs, including superseded and de-designated CIs, and GFE installed in the product structure. For each: hierarchy (parent and child), owning design activity, CAGE, PIN or PIN variant set, next higher assembly PIN and quantity, nomenclature, control tier, specification, and where they apply the source control drawing or vendor item control drawing, interface control documents, and supplier statement of work; model element ID, ATA or SNS reference, and any model alignment exception; criterion (b) answer, SCI flag and source; references to the selection assessment and the Acquirer concurrence; FBL, ABL, initial PBL, and formalized PBL status; flags for serialization recording, lot or batch recording, special handling, and IUID; the sources that drive unit recording; life clock; status. Maintained current in the CSA system for the program life.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CI Selection Rationale Records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Completed selection criteria assessments for every candidate, including items not designated as CIs, with rationale. Retained for the program life.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Acquirer Concurrence Records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Submittals and Acquirer concurrence/direction on CI selection, including CDRL deliveries.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Register</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One row per interface between two sides, never deleted. A row is not scoped to a document. For each: interface ID, mapping status, boundary type, the two sides, each interface source with its revision, including each interface control document, invoking specification, controlling baseline, control authority, including ICWG control, supplier allocation and supplier statement of work, model element, variant applicability, safety relevance and hazard control reference, and row status. Coverage checks are recorded on a coverage log. Maintained current in the CSA system. CM’s evidence that every identified interface was mapped, incorporated, and placed under configuration control.</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Interface Coverage Log</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One row per coverage check: the event, the date, the sources in scope, the rows by mapping status, each exception, the result of each step, and the disposition of each exception with its owner and due date. Retained for the program life.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Coverage Exception Dispositions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disposition of each coverage exception, with its owner and date, including each Systems Engineering confirmation that no interface exists behind a floor gap. Recorded on the coverage log. Retained for the program life.</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Identifier Registers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PIN assignment logs, serial/lot/batch number requirements against product-tracking base identifiers, software version identifier records, unique item identifiers, nomenclature assignments, document identifier registers.</w:t>
            </w:r>
          </w:p>
        </w:tc>
      </w:tr>
      <w:tr>
        <w:trPr>
          <w:cantSplit/>
          <w:tblHeader w:val="false"/>
        </w:trPr>
        <w:tc>
          <w:tcPr>
            <w:tcW w:type="dxa" w:w="22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Baseline Records</w:t>
            </w:r>
          </w:p>
        </w:tc>
        <w:tc>
          <w:tcPr>
            <w:tcW w:type="dxa" w:w="71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Baseline definition documents/indices for FBL, ABL, PBL per CI, with approved change status.</w:t>
            </w:r>
          </w:p>
        </w:tc>
      </w:tr>
    </w:tbl>
    <w:p>
      <w:pPr>
        <w:spacing w:after="120" w:before="0"/>
      </w:pPr>
    </w:p>
    <w:p>
      <w:pPr>
        <w:pStyle w:val="Heading1"/>
        <w:keepNext/>
        <w:pageBreakBefore/>
      </w:pPr>
      <w:r>
        <w:rPr>
          <w:rFonts w:ascii="Calibri" w:cs="Calibri" w:eastAsia="Calibri" w:hAnsi="Calibri"/>
        </w:rPr>
        <w:t xml:space="preserve">Appendix A: CI Selection Criteria Checklist</w:t>
      </w:r>
    </w:p>
    <w:p>
      <w:pPr>
        <w:spacing w:after="120" w:line="264"/>
      </w:pPr>
      <w:r>
        <w:rPr>
          <w:rFonts w:ascii="Calibri" w:cs="Calibri" w:eastAsia="Calibri" w:hAnsi="Calibri"/>
        </w:rPr>
        <w:t xml:space="preserve">Complete one checklist per candidate item. Attach to the CI Selection Rationale Record.</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700"/>
        <w:gridCol w:w="3000"/>
        <w:gridCol w:w="1700"/>
        <w:gridCol w:w="2960"/>
      </w:tblGrid>
      <w:tr>
        <w:trPr>
          <w:cantSplit/>
          <w:tblHeader/>
        </w:trPr>
        <w:tc>
          <w:tcPr>
            <w:tcW w:type="dxa" w:w="17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Candidate item</w:t>
            </w:r>
          </w:p>
        </w:tc>
        <w:tc>
          <w:tcPr>
            <w:tcW w:type="dxa" w:w="3000"/>
            <w:tcMar>
              <w:top w:type="dxa" w:w="60"/>
              <w:left w:type="dxa" w:w="90"/>
              <w:bottom w:type="dxa" w:w="60"/>
              <w:right w:type="dxa" w:w="90"/>
            </w:tcMar>
            <w:vAlign w:val="center"/>
          </w:tcPr>
          <w:p>
            <w:pPr>
              <w:spacing w:after="0" w:before="0" w:line="252"/>
            </w:pPr>
            <w:r>
              <w:rPr>
                <w:rFonts w:ascii="Calibri" w:cs="Calibri" w:eastAsia="Calibri" w:hAnsi="Calibri"/>
                <w:sz w:val="20"/>
                <w:szCs w:val="20"/>
              </w:rPr>
              <w:t xml:space="preserve"/>
            </w:r>
          </w:p>
        </w:tc>
        <w:tc>
          <w:tcPr>
            <w:tcW w:type="dxa" w:w="17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PIN / model ref</w:t>
            </w:r>
          </w:p>
        </w:tc>
        <w:tc>
          <w:tcPr>
            <w:tcW w:type="dxa" w:w="2960"/>
            <w:tcMar>
              <w:top w:type="dxa" w:w="60"/>
              <w:left w:type="dxa" w:w="90"/>
              <w:bottom w:type="dxa" w:w="60"/>
              <w:right w:type="dxa" w:w="90"/>
            </w:tcMar>
            <w:vAlign w:val="center"/>
          </w:tcPr>
          <w:p>
            <w:pPr>
              <w:spacing w:after="0" w:before="0" w:line="252"/>
            </w:pPr>
            <w:r>
              <w:rPr>
                <w:rFonts w:ascii="Calibri" w:cs="Calibri" w:eastAsia="Calibri" w:hAnsi="Calibri"/>
                <w:sz w:val="20"/>
                <w:szCs w:val="20"/>
              </w:rPr>
              <w:t xml:space="preserve"/>
            </w:r>
          </w:p>
        </w:tc>
      </w:tr>
      <w:tr>
        <w:trPr>
          <w:cantSplit/>
          <w:tblHeader w:val="false"/>
        </w:trPr>
        <w:tc>
          <w:tcPr>
            <w:tcW w:type="dxa" w:w="17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Assessor</w:t>
            </w:r>
          </w:p>
        </w:tc>
        <w:tc>
          <w:tcPr>
            <w:tcW w:type="dxa" w:w="3000"/>
            <w:tcMar>
              <w:top w:type="dxa" w:w="60"/>
              <w:left w:type="dxa" w:w="90"/>
              <w:bottom w:type="dxa" w:w="60"/>
              <w:right w:type="dxa" w:w="90"/>
            </w:tcMar>
            <w:vAlign w:val="center"/>
          </w:tcPr>
          <w:p>
            <w:pPr>
              <w:spacing w:after="0" w:before="0" w:line="252"/>
            </w:pPr>
            <w:r>
              <w:rPr>
                <w:rFonts w:ascii="Calibri" w:cs="Calibri" w:eastAsia="Calibri" w:hAnsi="Calibri"/>
                <w:sz w:val="20"/>
                <w:szCs w:val="20"/>
              </w:rPr>
              <w:t xml:space="preserve"/>
            </w:r>
          </w:p>
        </w:tc>
        <w:tc>
          <w:tcPr>
            <w:tcW w:type="dxa" w:w="17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Date</w:t>
            </w:r>
          </w:p>
        </w:tc>
        <w:tc>
          <w:tcPr>
            <w:tcW w:type="dxa" w:w="2960"/>
            <w:tcMar>
              <w:top w:type="dxa" w:w="60"/>
              <w:left w:type="dxa" w:w="90"/>
              <w:bottom w:type="dxa" w:w="60"/>
              <w:right w:type="dxa" w:w="90"/>
            </w:tcMar>
            <w:vAlign w:val="center"/>
          </w:tcPr>
          <w:p>
            <w:pPr>
              <w:spacing w:after="0" w:before="0" w:line="252"/>
            </w:pPr>
            <w:r>
              <w:rPr>
                <w:rFonts w:ascii="Calibri" w:cs="Calibri" w:eastAsia="Calibri" w:hAnsi="Calibri"/>
                <w:sz w:val="20"/>
                <w:szCs w:val="20"/>
              </w:rPr>
              <w:t xml:space="preserve"/>
            </w:r>
          </w:p>
        </w:tc>
      </w:tr>
    </w:tbl>
    <w:p>
      <w:pPr>
        <w:spacing w:after="160"/>
      </w:pPr>
    </w:p>
    <w:p>
      <w:pPr>
        <w:spacing w:after="120" w:line="264"/>
      </w:pPr>
      <w:r>
        <w:rPr>
          <w:rFonts w:ascii="Calibri" w:cs="Calibri" w:eastAsia="Calibri" w:hAnsi="Calibri"/>
          <w:b/>
          <w:bCs/>
        </w:rPr>
        <w:t xml:space="preserve">Step 1: Qualifying Gates</w:t>
      </w:r>
    </w:p>
    <w:p>
      <w:pPr>
        <w:spacing w:after="120" w:line="264"/>
      </w:pPr>
      <w:r>
        <w:rPr>
          <w:rFonts w:ascii="Calibri" w:cs="Calibri" w:eastAsia="Calibri" w:hAnsi="Calibri"/>
        </w:rPr>
        <w:t xml:space="preserve">All three gates must be passed before the criteria screen is run.</w:t>
      </w:r>
    </w:p>
    <w:p>
      <w:pPr>
        <w:spacing w:after="120" w:line="264"/>
      </w:pPr>
      <w:r>
        <w:rPr>
          <w:rFonts w:ascii="Calibri" w:cs="Calibri" w:eastAsia="Calibri" w:hAnsi="Calibri"/>
        </w:rPr>
        <w:t xml:space="preserve">Gate 1. Is the candidate an item, rather than a function, task, failure mode, feature, or location? YES ☐ NO ☐. If NO, the candidate cannot be designated as a CI. It is a signal that items worth screening exist nearby. Ask for the items that implement it and screen those. Stop.</w:t>
      </w:r>
    </w:p>
    <w:p>
      <w:pPr>
        <w:spacing w:after="120" w:line="264"/>
      </w:pPr>
      <w:r>
        <w:rPr>
          <w:rFonts w:ascii="Calibri" w:cs="Calibri" w:eastAsia="Calibri" w:hAnsi="Calibri"/>
        </w:rPr>
        <w:t xml:space="preserve">Gate 2. Does the item satisfy a system end-use function? YES ☐ NO ☐. A structural component that carries flight, ground, or pressurization loads satisfies this gate. Load-carrying structure is not excluded. If NO, the item is not a CI candidate. Record rationale and identify the parent CI under which the item is controlled. Stop.</w:t>
      </w:r>
    </w:p>
    <w:p>
      <w:pPr>
        <w:spacing w:after="120" w:line="264"/>
      </w:pPr>
      <w:r>
        <w:rPr>
          <w:rFonts w:ascii="Calibri" w:cs="Calibri" w:eastAsia="Calibri" w:hAnsi="Calibri"/>
        </w:rPr>
        <w:t xml:space="preserve">Gate 3. Is the item a child of a commercial-off-the-shelf (COTS), catalogue, or vendor item, and procured inseparable from that higher parent item? YES ☐ NO ☐. If YES, screen the procured parent item instead. Do not decompose a supplier-designed item to run this screen, per the same-CI decision aid of this process. Record the parent and stop.</w:t>
      </w:r>
    </w:p>
    <w:p>
      <w:pPr>
        <w:spacing w:after="120" w:line="264"/>
      </w:pPr>
      <w:r>
        <w:rPr>
          <w:rFonts w:ascii="Calibri" w:cs="Calibri" w:eastAsia="Calibri" w:hAnsi="Calibri"/>
          <w:b/>
          <w:bCs/>
        </w:rPr>
        <w:t xml:space="preserve">Step 2: Criteria Screen (EIA-649-1A §3.2.1(2)). One or more YES answers requires CI designation and submittal for Acquirer concurrence.</w:t>
      </w:r>
    </w:p>
    <w:p>
      <w:pPr>
        <w:spacing w:after="120" w:line="264"/>
      </w:pPr>
      <w:r>
        <w:rPr>
          <w:rFonts w:ascii="Calibri" w:cs="Calibri" w:eastAsia="Calibri" w:hAnsi="Calibri"/>
        </w:rPr>
        <w:t xml:space="preserve">Answer every row. Record a rationale and a document reference against each criterion that carries one, whether the answer is yes or no. List every criterion that applies, because the designation survives if one underlying fact later changes.</w:t>
      </w:r>
    </w:p>
    <w:p>
      <w:pPr>
        <w:spacing w:after="120" w:line="264"/>
      </w:pPr>
      <w:r>
        <w:rPr>
          <w:rFonts w:ascii="Calibri" w:cs="Calibri" w:eastAsia="Calibri" w:hAnsi="Calibri"/>
        </w:rPr>
        <w:t xml:space="preserve">Before answering criterion (b) No, check the SCI sources (FMEA, FMECA, SMS hazard log, system safety hazard analysis reports) and the Table C-1 designations. Neither check catches an item whose loss is loss of primary system capability with no injury pathway. Find those items in the program’s own decomposition.</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560"/>
        <w:gridCol w:w="3800"/>
        <w:gridCol w:w="2880"/>
        <w:gridCol w:w="700"/>
        <w:gridCol w:w="700"/>
        <w:gridCol w:w="720"/>
      </w:tblGrid>
      <w:tr>
        <w:trPr>
          <w:cantSplit/>
          <w:tblHeader/>
        </w:trPr>
        <w:tc>
          <w:tcPr>
            <w:tcW w:type="dxa" w:w="5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Ref</w:t>
            </w:r>
          </w:p>
        </w:tc>
        <w:tc>
          <w:tcPr>
            <w:tcW w:type="dxa" w:w="38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Criterion</w:t>
            </w:r>
          </w:p>
        </w:tc>
        <w:tc>
          <w:tcPr>
            <w:tcW w:type="dxa" w:w="288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Rationale and document reference</w:t>
            </w:r>
          </w:p>
        </w:tc>
        <w:tc>
          <w:tcPr>
            <w:tcW w:type="dxa" w:w="7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Yes</w:t>
            </w:r>
          </w:p>
        </w:tc>
        <w:tc>
          <w:tcPr>
            <w:tcW w:type="dxa" w:w="7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No</w:t>
            </w:r>
          </w:p>
        </w:tc>
        <w:tc>
          <w:tcPr>
            <w:tcW w:type="dxa" w:w="72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7"/>
                <w:szCs w:val="17"/>
              </w:rPr>
              <w:t xml:space="preserve">N/A</w:t>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a</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Critical to the functioning of the system</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b</w:t>
            </w:r>
          </w:p>
        </w:tc>
        <w:tc>
          <w:tcPr>
            <w:tcW w:type="dxa" w:w="3800"/>
            <w:tcMar>
              <w:top w:type="dxa" w:w="60"/>
              <w:left w:type="dxa" w:w="90"/>
              <w:bottom w:type="dxa" w:w="60"/>
              <w:right w:type="dxa" w:w="90"/>
            </w:tcMar>
            <w:vAlign w:val="center"/>
          </w:tcPr>
          <w:p>
            <w:pPr>
              <w:spacing w:after="40" w:before="0" w:line="252"/>
            </w:pPr>
            <w:r>
              <w:rPr>
                <w:rFonts w:ascii="Calibri" w:cs="Calibri" w:eastAsia="Calibri" w:hAnsi="Calibri"/>
                <w:sz w:val="18"/>
                <w:szCs w:val="18"/>
              </w:rPr>
              <w:t xml:space="preserve">Failure might result in serious injury, loss of life, or loss of primary system capability.</w:t>
            </w:r>
          </w:p>
          <w:p>
            <w:pPr>
              <w:spacing w:after="0" w:before="0" w:line="252"/>
            </w:pPr>
            <w:r>
              <w:rPr>
                <w:rFonts w:ascii="Calibri" w:cs="Calibri" w:eastAsia="Calibri" w:hAnsi="Calibri"/>
                <w:i/>
                <w:iCs/>
                <w:color w:val="5C6D78"/>
                <w:sz w:val="15"/>
                <w:szCs w:val="15"/>
              </w:rPr>
              <w:t xml:space="preserve">Includes critical safety items, safety critical items, items that trace to safety critical functions or critical/key characteristics, and items flagged by failure modes and effects or criticality analysis, single point or common mode failure identification, or a maintainability or health-monitoring driven limit. Consider both direct failure modes and cascading effects. Before answering No, check the SCI sources and the external criticality designations. Neither catches an item whose loss is loss of primary system capability with no injury pathway. Find those in the program’s own decomposition.</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Technology is complex, not well known, and critical to acquisition, operational, or supportability goals</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w:t>
            </w:r>
          </w:p>
        </w:tc>
        <w:tc>
          <w:tcPr>
            <w:tcW w:type="dxa" w:w="3800"/>
            <w:tcMar>
              <w:top w:type="dxa" w:w="60"/>
              <w:left w:type="dxa" w:w="90"/>
              <w:bottom w:type="dxa" w:w="60"/>
              <w:right w:type="dxa" w:w="90"/>
            </w:tcMar>
            <w:vAlign w:val="center"/>
          </w:tcPr>
          <w:p>
            <w:pPr>
              <w:spacing w:after="40" w:before="0" w:line="252"/>
            </w:pPr>
            <w:r>
              <w:rPr>
                <w:rFonts w:ascii="Calibri" w:cs="Calibri" w:eastAsia="Calibri" w:hAnsi="Calibri"/>
                <w:sz w:val="18"/>
                <w:szCs w:val="18"/>
              </w:rPr>
              <w:t xml:space="preserve">The item is under control as designated by the Acquirer</w:t>
            </w:r>
          </w:p>
          <w:p>
            <w:pPr>
              <w:spacing w:after="0" w:before="0" w:line="252"/>
            </w:pPr>
            <w:r>
              <w:rPr>
                <w:rFonts w:ascii="Calibri" w:cs="Calibri" w:eastAsia="Calibri" w:hAnsi="Calibri"/>
                <w:i/>
                <w:iCs/>
                <w:color w:val="5C6D78"/>
                <w:sz w:val="15"/>
                <w:szCs w:val="15"/>
              </w:rPr>
              <w:t xml:space="preserve">Broader than a contract line naming the item as a CI. Any designation assigned by a customer or government activity engages this criterion.</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e</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Requires separate type designation, versions, or nomenclatures</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f</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Critical or high risk; failure would have significant financial impact</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g</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Requires dedicated logistics support elements (e.g., APL/AEL/ACL provisioning lists, special test equipment, technical manuals, PMS MIP/MRC, danger/caution tag-out).</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560"/>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SW</w:t>
            </w:r>
          </w:p>
        </w:tc>
        <w:tc>
          <w:tcPr>
            <w:tcW w:type="dxa" w:w="38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Item is computer software</w:t>
            </w:r>
          </w:p>
        </w:tc>
        <w:tc>
          <w:tcPr>
            <w:tcW w:type="dxa" w:w="2880"/>
            <w:tcMar>
              <w:top w:type="dxa" w:w="60"/>
              <w:left w:type="dxa" w:w="90"/>
              <w:bottom w:type="dxa" w:w="60"/>
              <w:right w:type="dxa" w:w="90"/>
            </w:tcMar>
            <w:vAlign w:val="center"/>
          </w:tcPr>
          <w:p>
            <w:pPr>
              <w:spacing w:after="240" w:before="0" w:line="252"/>
            </w:pPr>
            <w:r>
              <w:rPr>
                <w:rFonts w:ascii="Calibri" w:cs="Calibri" w:eastAsia="Calibri" w:hAnsi="Calibri"/>
                <w:sz w:val="17"/>
                <w:szCs w:val="17"/>
              </w:rPr>
              <w:t xml:space="preserve">Rationale:</w:t>
            </w:r>
          </w:p>
          <w:p>
            <w:pPr>
              <w:spacing w:after="120" w:before="0" w:line="252"/>
            </w:pPr>
            <w:r>
              <w:rPr>
                <w:rFonts w:ascii="Calibri" w:cs="Calibri" w:eastAsia="Calibri" w:hAnsi="Calibri"/>
                <w:sz w:val="17"/>
                <w:szCs w:val="17"/>
              </w:rPr>
              <w:t xml:space="preserve">Document reference:</w:t>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72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bl>
    <w:p>
      <w:pPr>
        <w:spacing w:after="160" w:before="0" w:line="252"/>
      </w:pPr>
      <w:r>
        <w:rPr>
          <w:rFonts w:ascii="Calibri" w:cs="Calibri" w:eastAsia="Calibri" w:hAnsi="Calibri"/>
          <w:sz w:val="17"/>
          <w:szCs w:val="17"/>
        </w:rPr>
        <w:t xml:space="preserve">Supplemental screening (optional): ____________________________</w:t>
      </w:r>
    </w:p>
    <w:p>
      <w:pPr>
        <w:keepNext/>
        <w:spacing w:after="80" w:before="0" w:line="252"/>
      </w:pPr>
      <w:r>
        <w:rPr>
          <w:rFonts w:ascii="Calibri" w:cs="Calibri" w:eastAsia="Calibri" w:hAnsi="Calibri"/>
          <w:b/>
          <w:bCs/>
          <w:sz w:val="24"/>
          <w:szCs w:val="24"/>
        </w:rPr>
        <w:t xml:space="preserve">Result</w:t>
      </w:r>
    </w:p>
    <w:tbl>
      <w:tblPr>
        <w:tblW w:type="dxa" w:w="580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200"/>
        <w:gridCol w:w="600"/>
        <w:gridCol w:w="2400"/>
        <w:gridCol w:w="600"/>
      </w:tblGrid>
      <w:tr>
        <w:tc>
          <w:tcPr>
            <w:tcW w:type="dxa" w:w="22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DESIGNATE AS CI</w:t>
            </w:r>
          </w:p>
        </w:tc>
        <w:tc>
          <w:tcPr>
            <w:tcW w:type="dxa" w:w="6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24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DO NOT DESIGNATE</w:t>
            </w:r>
          </w:p>
        </w:tc>
        <w:tc>
          <w:tcPr>
            <w:tcW w:type="dxa" w:w="6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bl>
    <w:p>
      <w:pPr>
        <w:spacing w:after="80"/>
      </w:pPr>
    </w:p>
    <w:p>
      <w:pPr>
        <w:keepNext/>
        <w:spacing w:after="60" w:before="0" w:line="252"/>
      </w:pPr>
      <w:r>
        <w:rPr>
          <w:rFonts w:ascii="Calibri" w:cs="Calibri" w:eastAsia="Calibri" w:hAnsi="Calibri"/>
          <w:b/>
          <w:bCs/>
          <w:sz w:val="20"/>
          <w:szCs w:val="20"/>
        </w:rPr>
        <w:t xml:space="preserve">Rationale</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9360"/>
      </w:tblGrid>
      <w:tr>
        <w:trPr>
          <w:cantSplit/>
          <w:tblHeader w:val="false"/>
        </w:trPr>
        <w:tc>
          <w:tcPr>
            <w:tcW w:type="dxa" w:w="9360"/>
            <w:tcMar>
              <w:top w:type="dxa" w:w="60"/>
              <w:left w:type="dxa" w:w="90"/>
              <w:bottom w:type="dxa" w:w="60"/>
              <w:right w:type="dxa" w:w="90"/>
            </w:tcMar>
            <w:vAlign w:val="top"/>
          </w:tcPr>
          <w:p>
            <w:pPr>
              <w:spacing w:after="600" w:before="0" w:line="252"/>
            </w:pPr>
            <w:r>
              <w:rPr>
                <w:rFonts w:ascii="Calibri" w:cs="Calibri" w:eastAsia="Calibri" w:hAnsi="Calibri"/>
                <w:sz w:val="20"/>
                <w:szCs w:val="20"/>
              </w:rPr>
              <w:t xml:space="preserve"/>
            </w:r>
          </w:p>
        </w:tc>
      </w:tr>
    </w:tbl>
    <w:p>
      <w:pPr>
        <w:spacing w:after="160"/>
      </w:pPr>
    </w:p>
    <w:p>
      <w:pPr>
        <w:keepNext/>
        <w:spacing w:after="60" w:before="0" w:line="252"/>
      </w:pPr>
      <w:r>
        <w:rPr>
          <w:rFonts w:ascii="Calibri" w:cs="Calibri" w:eastAsia="Calibri" w:hAnsi="Calibri"/>
          <w:b/>
          <w:bCs/>
          <w:sz w:val="24"/>
          <w:szCs w:val="24"/>
        </w:rPr>
        <w:t xml:space="preserve">Concurrence signatures</w:t>
      </w:r>
    </w:p>
    <w:p>
      <w:pPr>
        <w:keepNext/>
        <w:spacing w:after="120" w:before="0" w:line="252"/>
      </w:pPr>
      <w:r>
        <w:rPr>
          <w:rFonts w:ascii="Calibri" w:cs="Calibri" w:eastAsia="Calibri" w:hAnsi="Calibri"/>
          <w:color w:val="5C6D78"/>
          <w:sz w:val="17"/>
          <w:szCs w:val="17"/>
        </w:rPr>
        <w:t xml:space="preserve">Record each concurrence that applies. CI selection is a CM decision; the concurrences confirm that the technical basis is sound, they do not make the selection.</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600"/>
        <w:gridCol w:w="3360"/>
        <w:gridCol w:w="900"/>
        <w:gridCol w:w="2500"/>
      </w:tblGrid>
      <w:tr>
        <w:trPr>
          <w:cantSplit/>
          <w:tblHeader w:val="false"/>
        </w:trPr>
        <w:tc>
          <w:tcPr>
            <w:tcW w:type="dxa" w:w="2600"/>
            <w:shd w:fill="F4F6F7" w:color="auto" w:val="clear"/>
            <w:tcMar>
              <w:top w:type="dxa" w:w="60"/>
              <w:left w:type="dxa" w:w="90"/>
              <w:bottom w:type="dxa" w:w="60"/>
              <w:right w:type="dxa" w:w="90"/>
            </w:tcMar>
            <w:vAlign w:val="center"/>
          </w:tcPr>
          <w:p>
            <w:pPr>
              <w:spacing w:after="20" w:before="0" w:line="252"/>
            </w:pPr>
            <w:r>
              <w:rPr>
                <w:rFonts w:ascii="Calibri" w:cs="Calibri" w:eastAsia="Calibri" w:hAnsi="Calibri"/>
                <w:b/>
                <w:bCs/>
                <w:sz w:val="18"/>
                <w:szCs w:val="18"/>
              </w:rPr>
              <w:t xml:space="preserve">System Safety</w:t>
            </w:r>
          </w:p>
          <w:p>
            <w:pPr>
              <w:spacing w:after="0" w:before="0" w:line="252"/>
            </w:pPr>
            <w:r>
              <w:rPr>
                <w:rFonts w:ascii="Calibri" w:cs="Calibri" w:eastAsia="Calibri" w:hAnsi="Calibri"/>
                <w:color w:val="5C6D78"/>
                <w:sz w:val="15"/>
                <w:szCs w:val="15"/>
              </w:rPr>
              <w:t xml:space="preserve">Required if criterion (b) was answered yes and the item is not designated as a CI.</w:t>
            </w:r>
          </w:p>
        </w:tc>
        <w:tc>
          <w:tcPr>
            <w:tcW w:type="dxa" w:w="336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9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Date</w:t>
            </w:r>
          </w:p>
        </w:tc>
        <w:tc>
          <w:tcPr>
            <w:tcW w:type="dxa" w:w="25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2600"/>
            <w:shd w:fill="F4F6F7" w:color="auto" w:val="clear"/>
            <w:tcMar>
              <w:top w:type="dxa" w:w="60"/>
              <w:left w:type="dxa" w:w="90"/>
              <w:bottom w:type="dxa" w:w="60"/>
              <w:right w:type="dxa" w:w="90"/>
            </w:tcMar>
            <w:vAlign w:val="center"/>
          </w:tcPr>
          <w:p>
            <w:pPr>
              <w:spacing w:after="20" w:before="0" w:line="252"/>
            </w:pPr>
            <w:r>
              <w:rPr>
                <w:rFonts w:ascii="Calibri" w:cs="Calibri" w:eastAsia="Calibri" w:hAnsi="Calibri"/>
                <w:b/>
                <w:bCs/>
                <w:sz w:val="18"/>
                <w:szCs w:val="18"/>
              </w:rPr>
              <w:t xml:space="preserve">RM&amp;SH</w:t>
            </w:r>
          </w:p>
          <w:p>
            <w:pPr>
              <w:spacing w:after="0" w:before="0" w:line="252"/>
            </w:pPr>
            <w:r>
              <w:rPr>
                <w:rFonts w:ascii="Calibri" w:cs="Calibri" w:eastAsia="Calibri" w:hAnsi="Calibri"/>
                <w:color w:val="5C6D78"/>
                <w:sz w:val="15"/>
                <w:szCs w:val="15"/>
              </w:rPr>
              <w:t xml:space="preserve">Required where the determination rests on failure modes and effects or criticality analysis, single point or common mode failure identification, or a maintainability or health-monitoring driven limit.</w:t>
            </w:r>
          </w:p>
        </w:tc>
        <w:tc>
          <w:tcPr>
            <w:tcW w:type="dxa" w:w="336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9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Date</w:t>
            </w:r>
          </w:p>
        </w:tc>
        <w:tc>
          <w:tcPr>
            <w:tcW w:type="dxa" w:w="25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2600"/>
            <w:shd w:fill="F4F6F7" w:color="auto" w:val="clear"/>
            <w:tcMar>
              <w:top w:type="dxa" w:w="60"/>
              <w:left w:type="dxa" w:w="90"/>
              <w:bottom w:type="dxa" w:w="60"/>
              <w:right w:type="dxa" w:w="90"/>
            </w:tcMar>
            <w:vAlign w:val="center"/>
          </w:tcPr>
          <w:p>
            <w:pPr>
              <w:spacing w:after="20" w:before="0" w:line="252"/>
            </w:pPr>
            <w:r>
              <w:rPr>
                <w:rFonts w:ascii="Calibri" w:cs="Calibri" w:eastAsia="Calibri" w:hAnsi="Calibri"/>
                <w:b/>
                <w:bCs/>
                <w:sz w:val="18"/>
                <w:szCs w:val="18"/>
              </w:rPr>
              <w:t xml:space="preserve">Systems Engineering</w:t>
            </w:r>
          </w:p>
          <w:p>
            <w:pPr>
              <w:spacing w:after="0" w:before="0" w:line="252"/>
            </w:pPr>
            <w:r>
              <w:rPr>
                <w:rFonts w:ascii="Calibri" w:cs="Calibri" w:eastAsia="Calibri" w:hAnsi="Calibri"/>
                <w:color w:val="5C6D78"/>
                <w:sz w:val="15"/>
                <w:szCs w:val="15"/>
              </w:rPr>
              <w:t xml:space="preserve">Required on the end-use function gate and where the determination rests on specification or interface considerations.</w:t>
            </w:r>
          </w:p>
        </w:tc>
        <w:tc>
          <w:tcPr>
            <w:tcW w:type="dxa" w:w="336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9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Date</w:t>
            </w:r>
          </w:p>
        </w:tc>
        <w:tc>
          <w:tcPr>
            <w:tcW w:type="dxa" w:w="25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r>
        <w:trPr>
          <w:cantSplit/>
          <w:tblHeader w:val="false"/>
        </w:trPr>
        <w:tc>
          <w:tcPr>
            <w:tcW w:type="dxa" w:w="26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CM, determination</w:t>
            </w:r>
          </w:p>
        </w:tc>
        <w:tc>
          <w:tcPr>
            <w:tcW w:type="dxa" w:w="336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c>
          <w:tcPr>
            <w:tcW w:type="dxa" w:w="900"/>
            <w:shd w:fill="F4F6F7"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Date</w:t>
            </w:r>
          </w:p>
        </w:tc>
        <w:tc>
          <w:tcPr>
            <w:tcW w:type="dxa" w:w="2500"/>
            <w:tcMar>
              <w:top w:type="dxa" w:w="60"/>
              <w:left w:type="dxa" w:w="90"/>
              <w:bottom w:type="dxa" w:w="60"/>
              <w:right w:type="dxa" w:w="90"/>
            </w:tcMar>
            <w:vAlign w:val="center"/>
          </w:tcPr>
          <w:p>
            <w:pPr>
              <w:spacing w:after="0" w:before="0" w:line="252"/>
            </w:pPr>
            <w:r>
              <w:rPr>
                <w:rFonts w:ascii="Calibri" w:cs="Calibri" w:eastAsia="Calibri" w:hAnsi="Calibri"/>
                <w:sz w:val="18"/>
                <w:szCs w:val="18"/>
              </w:rPr>
              <w:t xml:space="preserve"/>
            </w:r>
          </w:p>
        </w:tc>
      </w:tr>
    </w:tbl>
    <w:p>
      <w:pPr>
        <w:pStyle w:val="Heading1"/>
        <w:keepNext/>
        <w:pageBreakBefore/>
      </w:pPr>
      <w:r>
        <w:rPr>
          <w:rFonts w:ascii="Calibri" w:cs="Calibri" w:eastAsia="Calibri" w:hAnsi="Calibri"/>
        </w:rPr>
        <w:t xml:space="preserve">Appendix B: MBSE-to-CI Structure Alignment Guidance</w:t>
      </w:r>
    </w:p>
    <w:p>
      <w:pPr>
        <w:pStyle w:val="Heading2"/>
        <w:keepNext/>
      </w:pPr>
      <w:r>
        <w:rPr>
          <w:rFonts w:ascii="Calibri" w:cs="Calibri" w:eastAsia="Calibri" w:hAnsi="Calibri"/>
        </w:rPr>
        <w:t xml:space="preserve">B.1 Rule</w:t>
      </w:r>
    </w:p>
    <w:p>
      <w:pPr>
        <w:spacing w:after="120" w:line="264"/>
      </w:pPr>
      <w:r>
        <w:rPr>
          <w:rFonts w:ascii="Calibri" w:cs="Calibri" w:eastAsia="Calibri" w:hAnsi="Calibri"/>
        </w:rPr>
        <w:t xml:space="preserve">Where MBSE is used, the CI parent-child hierarchy mirrors the decomposition method of the MBSE architecture model. The CI structure and the architecture model are two views of one decomposition. A departure is allowed only where Systems Engineering accepts it. CM records the reason as a model alignment exception in the CI index. A CI selected because of a criticality condition below the model’s level of detail is the common case.</w:t>
      </w:r>
    </w:p>
    <w:p>
      <w:pPr>
        <w:pStyle w:val="Heading2"/>
        <w:keepNext/>
      </w:pPr>
      <w:r>
        <w:rPr>
          <w:rFonts w:ascii="Calibri" w:cs="Calibri" w:eastAsia="Calibri" w:hAnsi="Calibri"/>
        </w:rPr>
        <w:t xml:space="preserve">B.2 Preferred Decomposition Schemes</w:t>
      </w:r>
    </w:p>
    <w:p>
      <w:pPr>
        <w:pStyle w:val="ListParagraph"/>
        <w:numPr>
          <w:ilvl w:val="0"/>
          <w:numId w:val="2"/>
        </w:numPr>
        <w:spacing w:after="80" w:line="264"/>
      </w:pPr>
      <w:r>
        <w:rPr>
          <w:rFonts w:ascii="Calibri" w:cs="Calibri" w:eastAsia="Calibri" w:hAnsi="Calibri"/>
        </w:rPr>
        <w:t xml:space="preserve">ATA chapter scheme (ATA iSpec 2200): decompose the air vehicle by ATA chapter/section; CIs at each level carry the corresponding ATA reference as an attribute in the CI index.</w:t>
      </w:r>
    </w:p>
    <w:p>
      <w:pPr>
        <w:pStyle w:val="ListParagraph"/>
        <w:numPr>
          <w:ilvl w:val="0"/>
          <w:numId w:val="2"/>
        </w:numPr>
        <w:spacing w:after="80" w:line="264"/>
      </w:pPr>
      <w:r>
        <w:rPr>
          <w:rFonts w:ascii="Calibri" w:cs="Calibri" w:eastAsia="Calibri" w:hAnsi="Calibri"/>
        </w:rPr>
        <w:t xml:space="preserve">S1000D SNS: decompose using the Standard Numbering System; CI identifiers cross-reference the SNS codes used in the technical data suite.</w:t>
      </w:r>
    </w:p>
    <w:p>
      <w:pPr>
        <w:spacing w:after="120" w:line="264"/>
      </w:pPr>
      <w:r>
        <w:rPr>
          <w:rFonts w:ascii="Calibri" w:cs="Calibri" w:eastAsia="Calibri" w:hAnsi="Calibri"/>
        </w:rPr>
        <w:t xml:space="preserve">Implement the model in SysML or UAF. The model element type used for decomposition (e.g., SysML block hierarchies / part properties; UAF resource structures) is recorded in the program CMP.</w:t>
      </w:r>
    </w:p>
    <w:p>
      <w:pPr>
        <w:pStyle w:val="Heading2"/>
        <w:keepNext/>
      </w:pPr>
      <w:r>
        <w:rPr>
          <w:rFonts w:ascii="Calibri" w:cs="Calibri" w:eastAsia="Calibri" w:hAnsi="Calibri"/>
        </w:rPr>
        <w:t xml:space="preserve">B.3 When the Model Uses a Different Scheme</w:t>
      </w:r>
    </w:p>
    <w:p>
      <w:pPr>
        <w:spacing w:after="120" w:line="264"/>
      </w:pPr>
      <w:r>
        <w:rPr>
          <w:rFonts w:ascii="Calibri" w:cs="Calibri" w:eastAsia="Calibri" w:hAnsi="Calibri"/>
        </w:rPr>
        <w:t xml:space="preserve">If the program MBSE model decomposes by another method (functional thread, zonal, WBS-based), the CI structure mirrors that method. Do not maintain a second, independent CI decomposition. Record the mapping convention in the CMP and record any exception, contract-driven or otherwise, as a model alignment exception in the CI index.</w:t>
      </w:r>
    </w:p>
    <w:p>
      <w:pPr>
        <w:pStyle w:val="Heading2"/>
        <w:keepNext/>
      </w:pPr>
      <w:r>
        <w:rPr>
          <w:rFonts w:ascii="Calibri" w:cs="Calibri" w:eastAsia="Calibri" w:hAnsi="Calibri"/>
        </w:rPr>
        <w:t xml:space="preserve">B.4 Practices</w:t>
      </w:r>
    </w:p>
    <w:p>
      <w:pPr>
        <w:pStyle w:val="ListParagraph"/>
        <w:numPr>
          <w:ilvl w:val="0"/>
          <w:numId w:val="2"/>
        </w:numPr>
        <w:spacing w:after="80" w:line="264"/>
      </w:pPr>
      <w:r>
        <w:rPr>
          <w:rFonts w:ascii="Calibri" w:cs="Calibri" w:eastAsia="Calibri" w:hAnsi="Calibri"/>
        </w:rPr>
        <w:t xml:space="preserve">Assign each CI a persistent cross-reference to its corresponding model element (model element ID recorded in the CI index; CI identifier recorded as a model element property).</w:t>
      </w:r>
    </w:p>
    <w:p>
      <w:pPr>
        <w:pStyle w:val="ListParagraph"/>
        <w:numPr>
          <w:ilvl w:val="0"/>
          <w:numId w:val="2"/>
        </w:numPr>
        <w:spacing w:after="80" w:line="264"/>
      </w:pPr>
      <w:r>
        <w:rPr>
          <w:rFonts w:ascii="Calibri" w:cs="Calibri" w:eastAsia="Calibri" w:hAnsi="Calibri"/>
        </w:rPr>
        <w:t xml:space="preserve">Treat changes to the model decomposition as triggers for CI structure re-evaluation; process structural changes through configuration control once baselined.</w:t>
      </w:r>
    </w:p>
    <w:p>
      <w:pPr>
        <w:pStyle w:val="ListParagraph"/>
        <w:numPr>
          <w:ilvl w:val="0"/>
          <w:numId w:val="2"/>
        </w:numPr>
        <w:spacing w:after="80" w:line="264"/>
      </w:pPr>
      <w:r>
        <w:rPr>
          <w:rFonts w:ascii="Calibri" w:cs="Calibri" w:eastAsia="Calibri" w:hAnsi="Calibri"/>
        </w:rPr>
        <w:t xml:space="preserve">Verify alignment at each technical review and prior to each baseline establishment: every CI resolves to a model element or carries a model alignment exception, and every model element at the CI-designation level has been screened against the selection criteria.</w:t>
      </w:r>
    </w:p>
    <w:p>
      <w:pPr>
        <w:pStyle w:val="ListParagraph"/>
        <w:numPr>
          <w:ilvl w:val="0"/>
          <w:numId w:val="2"/>
        </w:numPr>
        <w:spacing w:after="80" w:line="264"/>
      </w:pPr>
      <w:r>
        <w:rPr>
          <w:rFonts w:ascii="Calibri" w:cs="Calibri" w:eastAsia="Calibri" w:hAnsi="Calibri"/>
        </w:rPr>
        <w:t xml:space="preserve">Treat interface elements between model elements at the CI-designation level as interface sources. The coverage check maps them like any other. Interface elements below that level stay in the model. Report a Mapped register row between two modeled CIs that cites no model interface element to Systems Engineering as a model alignment finding, except where a side CI carries a model alignment exception.</w:t>
      </w:r>
    </w:p>
    <w:p>
      <w:pPr>
        <w:pStyle w:val="ListParagraph"/>
        <w:numPr>
          <w:ilvl w:val="0"/>
          <w:numId w:val="2"/>
        </w:numPr>
        <w:spacing w:after="80" w:line="264"/>
      </w:pPr>
      <w:r>
        <w:rPr>
          <w:rFonts w:ascii="Calibri" w:cs="Calibri" w:eastAsia="Calibri" w:hAnsi="Calibri"/>
        </w:rPr>
        <w:t xml:space="preserve">For hybrid programs (partial MBSE coverage), the modeled portion of the product structure follows this appendix; the unmodeled portion follows specification decomposition methods or certification decomposition methods, with the seam documented in the CMP.</w:t>
      </w:r>
    </w:p>
    <w:p>
      <w:pPr>
        <w:pStyle w:val="Heading1"/>
        <w:keepNext/>
        <w:pageBreakBefore/>
      </w:pPr>
      <w:r>
        <w:rPr>
          <w:rFonts w:ascii="Calibri" w:cs="Calibri" w:eastAsia="Calibri" w:hAnsi="Calibri"/>
        </w:rPr>
        <w:t xml:space="preserve">Appendix C: External Criticality Designations as Screening Inputs</w:t>
      </w:r>
    </w:p>
    <w:p>
      <w:pPr>
        <w:spacing w:after="120" w:line="264"/>
      </w:pPr>
      <w:r>
        <w:rPr>
          <w:rFonts w:ascii="Calibri" w:cs="Calibri" w:eastAsia="Calibri" w:hAnsi="Calibri"/>
        </w:rPr>
        <w:t xml:space="preserve">This appendix catalogs criticality designations assigned outside this process by statute, by regulation, by certification basis, by a customer, or by a safety analysis. It states how each bears on the selection criteria screen. These terms are not synonyms and they do not nest. One part number can carry several at once, each bringing its own evidence obligation.</w:t>
      </w:r>
    </w:p>
    <w:p>
      <w:pPr>
        <w:spacing w:after="120" w:line="264"/>
      </w:pPr>
      <w:r>
        <w:rPr>
          <w:rFonts w:ascii="Calibri" w:cs="Calibri" w:eastAsia="Calibri" w:hAnsi="Calibri"/>
        </w:rPr>
        <w:t xml:space="preserve">The “Who designates” column in Tables C-1 and C-2 names the body that assigns each designation. The contract names the specific activity. Table 5-2 consolidates the record structure each designation imposes with the independent recording drivers. The CI index source list and its checks are drawn from Table 5-2. Revise them when this appendix changes.</w:t>
      </w:r>
    </w:p>
    <w:p>
      <w:pPr>
        <w:spacing w:after="120" w:line="264"/>
      </w:pPr>
      <w:r>
        <w:rPr>
          <w:rFonts w:ascii="Calibri" w:cs="Calibri" w:eastAsia="Calibri" w:hAnsi="Calibri"/>
        </w:rPr>
        <w:t xml:space="preserve">The appendix serves candidate identification. It is an input to that screen, never a substitute for it, and the two cautions in C.4 govern its use throughout.</w:t>
      </w:r>
    </w:p>
    <w:p>
      <w:pPr>
        <w:pStyle w:val="Heading2"/>
        <w:keepNext/>
      </w:pPr>
      <w:r>
        <w:rPr>
          <w:rFonts w:ascii="Calibri" w:cs="Calibri" w:eastAsia="Calibri" w:hAnsi="Calibri"/>
        </w:rPr>
        <w:t xml:space="preserve">C.1 Conditions that always satisfy criterion (b), the safety criterion</w:t>
      </w:r>
    </w:p>
    <w:p>
      <w:pPr>
        <w:spacing w:after="120" w:line="264"/>
      </w:pPr>
      <w:r>
        <w:rPr>
          <w:rFonts w:ascii="Calibri" w:cs="Calibri" w:eastAsia="Calibri" w:hAnsi="Calibri"/>
        </w:rPr>
        <w:t xml:space="preserve">When a condition in Table C-1 lands on an item, criterion (b), failure might result in serious injury, loss of life, or loss of primary system capability, is satisfied. Each of these conditions states, in its own definition, a consequence that meets the criterion. CM records the condition and cites it as the basis for the determination. CM does not re-determine the consequence judgment. That judgment was made by qualified people and accepted by an authority. Continue screening against the remaining criteria, which frequently also apply (C.5).</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500"/>
        <w:gridCol w:w="1650"/>
        <w:gridCol w:w="2050"/>
        <w:gridCol w:w="2560"/>
        <w:gridCol w:w="1600"/>
      </w:tblGrid>
      <w:tr>
        <w:trPr>
          <w:cantSplit/>
          <w:tblHeader/>
        </w:trPr>
        <w:tc>
          <w:tcPr>
            <w:tcW w:type="dxa" w:w="15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Condition</w:t>
            </w:r>
          </w:p>
        </w:tc>
        <w:tc>
          <w:tcPr>
            <w:tcW w:type="dxa" w:w="165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Where it is encountered</w:t>
            </w:r>
          </w:p>
        </w:tc>
        <w:tc>
          <w:tcPr>
            <w:tcW w:type="dxa" w:w="205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Why it satisfies the safety criterion on its own terms</w:t>
            </w:r>
          </w:p>
        </w:tc>
        <w:tc>
          <w:tcPr>
            <w:tcW w:type="dxa" w:w="25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Record structure it implies</w:t>
            </w:r>
          </w:p>
        </w:tc>
        <w:tc>
          <w:tcPr>
            <w:tcW w:type="dxa" w:w="16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Who designates</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Critical safety item, aviation</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US defense aviation programs; assigned by the customer’s engineering activity</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The statutory definition is the safety criterion in different words: failure, malfunction or absence could cause catastrophic or critical failure, loss of life, or unacceptable risk of injury</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through item unique identification. These items are identified as DoD serially managed, so unique identification applies regardless of unit cost. Lot or batch with traceability to an approved source runs in addition, not instead. The serial number arrives through unique identification, not through the criticality designation itself</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Government design control activity</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Critical safety item, ship</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US defense ship systems.</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The same statutory construct, applied to ship systems</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on the same route as the aviation row. Heat and lot traceability with objective quality evidence runs in addition</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Government design control activity</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Flight safety critical aircraft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Legacy US defense term; encountered on older drawings.</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Legacy label for a part whose failure would cause loss of the aircraft or of life</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Historically accompanied by marking and traceability requirements; confirm what the drawing actually imposes. Where the item maps to the current critical safety item construct, the serial number follows from that row. Map it rather than assuming equivalence</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Government engineering activity (legacy designation)</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Engine critical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Civil engine certification</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Primary failure is likely to result in a hazardous engine effect, which reaches the criterion through both the injury limb and the loss-of-capability limb</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driven by the airworthiness limitations entry. Heat and lot traceability in addition</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Design approval holder, accepted by the authority at type certification</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Engine life-limited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Civil engine certification</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The population is defined by hazardous failure consequence; the life limit is how that consequence is managed</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This is the clearest case in the appendix: remaining life is a per-unit quantity, so the unit must stay individually identifiable</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Type certificate holder, approved by the FAA</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Propeller critical part; auxiliary power unit critical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Civil certification</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Primary failure is likely to produce a hazardous effect on the propeller or unit</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where an airworthiness limitation attaches</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Design approval holder</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Rotorcraft critical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Civil rotorcraft certification</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 could have a catastrophic effect on the rotorcraft</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where an airworthiness limitation attaches, which is the usual outcome of an approved critical parts plan. Lot or batch runs in addition, not instead. Control of the identified critical characteristics generates lot and process records independently of the serial number</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Design approval holder, through an approved critical parts plan</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Fracture critical traceable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Defense airframe structure, under the structures integrity program</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 by cracking would cause loss of the aircraft</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The standard names serialization and traceability as controls for this category. Heat and lot traceability runs in addition</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Contractor structures organization, under the durability and damage tolerance control plan</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Fracture critical part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Defense airframe structure, under the structures integrity program</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 by cracking would cause loss of the aircraft</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Lot or batch at heat level, with process control on forging, machining, and surface treatment. This category carries no serialization obligation on its own</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Contractor structures organization, accepted by the Air Force ASIP technical advisor</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Fracture critical component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Defense engines, under the engine structural integrity program</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 would be catastrophic</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Conditional, and typically required for rotating hardware, because cycle-based life tracking demands per-unit identity. The governing standard was cancelled and only a handbook survives, so the designation usually rests on program statement of work language rather than on a citable standard. Screen the item on consequence. Record the contractual basis in the selection rationale so the next assessor can see where the designation came from</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Contractor, under the program integrity plan; the statement of work sets the basis</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Fracture critical hardware</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Spaceflight programs, under the fracture control board</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 originating from a crack would produce a catastrophic hazard</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Serial number, with material traceability</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Project fracture control board</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Safety-related structure, system or component</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Nuclear applications, on the quality list</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Required to perform a safety function, or to prevent or mitigate the consequences of an accident</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b/>
                <w:bCs/>
                <w:sz w:val="16"/>
                <w:szCs w:val="16"/>
              </w:rPr>
              <w:t xml:space="preserve">Lot or batch.</w:t>
            </w:r>
            <w:r>
              <w:rPr>
                <w:rFonts w:ascii="Calibri" w:cs="Calibri" w:eastAsia="Calibri" w:hAnsi="Calibri"/>
                <w:sz w:val="16"/>
                <w:szCs w:val="16"/>
              </w:rPr>
              <w:t xml:space="preserve"> Commercial grade dedication accepts the item against identified critical characteristics on a lot basis. This is a catastrophic-consequence item that is legitimately not serialized</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Licensee, under NRC oversight</w:t>
            </w:r>
          </w:p>
        </w:tc>
      </w:tr>
      <w:tr>
        <w:trPr>
          <w:cantSplit/>
          <w:tblHeader w:val="false"/>
        </w:trPr>
        <w:tc>
          <w:tcPr>
            <w:tcW w:type="dxa" w:w="15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Safety-critical </w:t>
            </w:r>
            <w:r>
              <w:rPr>
                <w:rFonts w:ascii="Calibri" w:cs="Calibri" w:eastAsia="Calibri" w:hAnsi="Calibri"/>
                <w:b/>
                <w:bCs/>
                <w:sz w:val="16"/>
                <w:szCs w:val="16"/>
              </w:rPr>
              <w:t xml:space="preserve">item</w:t>
            </w:r>
            <w:r>
              <w:rPr>
                <w:rFonts w:ascii="Calibri" w:cs="Calibri" w:eastAsia="Calibri" w:hAnsi="Calibri"/>
                <w:sz w:val="16"/>
                <w:szCs w:val="16"/>
              </w:rPr>
              <w:t xml:space="preserve"> from the system safety analysis (the item half only)</w:t>
            </w:r>
          </w:p>
        </w:tc>
        <w:tc>
          <w:tcPr>
            <w:tcW w:type="dxa" w:w="16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Any program running a formal system safety program</w:t>
            </w:r>
          </w:p>
        </w:tc>
        <w:tc>
          <w:tcPr>
            <w:tcW w:type="dxa" w:w="205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Analysis determined the hardware or software item could contribute to a hazard with catastrophic or critical mishap potential</w:t>
            </w:r>
          </w:p>
        </w:tc>
        <w:tc>
          <w:tcPr>
            <w:tcW w:type="dxa" w:w="25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Not imposed by the criticality designation. Follows from the controls chosen to mitigate the hazard</w:t>
            </w:r>
          </w:p>
        </w:tc>
        <w:tc>
          <w:tcPr>
            <w:tcW w:type="dxa" w:w="16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Contractor system safety, accepted by the program safety review authority</w:t>
            </w:r>
          </w:p>
        </w:tc>
      </w:tr>
    </w:tbl>
    <w:p>
      <w:pPr>
        <w:spacing w:after="120" w:before="0"/>
      </w:pPr>
    </w:p>
    <w:p>
      <w:pPr>
        <w:spacing w:after="120" w:line="264"/>
      </w:pPr>
      <w:r>
        <w:rPr>
          <w:rFonts w:ascii="Calibri" w:cs="Calibri" w:eastAsia="Calibri" w:hAnsi="Calibri"/>
          <w:b/>
          <w:bCs/>
        </w:rPr>
        <w:t xml:space="preserve">Product unit record structure is not implied by hazard severity. Every row in Table C-1 satisfies criterion (b), and every row carries a product unit record. The product unit record structures in the fourth column still differ across them. They run from serialization driven by a per-unit life clock, to lot control under commercial grade dedication on an item of catastrophic consequence. Both are real control; lot control is not the weak form of serialization. Determine the product unit record from the product unit record-structure test in the identifier assignment section, not from the external criticality designation.</w:t>
      </w:r>
    </w:p>
    <w:p>
      <w:pPr>
        <w:spacing w:after="120" w:line="264"/>
      </w:pPr>
      <w:r>
        <w:rPr>
          <w:rFonts w:ascii="Calibri" w:cs="Calibri" w:eastAsia="Calibri" w:hAnsi="Calibri"/>
          <w:b/>
          <w:bCs/>
        </w:rPr>
        <w:t xml:space="preserve">The critical safety item rows are the one place a designation carries a product unit record with it.</w:t>
      </w:r>
      <w:r>
        <w:rPr>
          <w:rFonts w:ascii="Calibri" w:cs="Calibri" w:eastAsia="Calibri" w:hAnsi="Calibri"/>
        </w:rPr>
        <w:t xml:space="preserve"> Those items are identified as DoD serially managed, so item unique identification applies and a serial number follows. Even there the serial number arrives through unique identification rather than through the safety designation, which is why it is an independent recording driver in the identifier assignment section and not a rule of this appendix. Every other row is determined by the test.</w:t>
      </w:r>
    </w:p>
    <w:p>
      <w:pPr>
        <w:spacing w:after="120" w:line="264"/>
      </w:pPr>
      <w:r>
        <w:rPr>
          <w:rFonts w:ascii="Calibri" w:cs="Calibri" w:eastAsia="Calibri" w:hAnsi="Calibri"/>
          <w:b/>
          <w:bCs/>
        </w:rPr>
        <w:t xml:space="preserve">The traceable category carries the serialization obligation. Fracture critical status in general does not.</w:t>
      </w:r>
      <w:r>
        <w:rPr>
          <w:rFonts w:ascii="Calibri" w:cs="Calibri" w:eastAsia="Calibri" w:hAnsi="Calibri"/>
        </w:rPr>
        <w:t xml:space="preserve"> Cite the traceable category where the marking requirement is what matters. The two categories exclude each other. A fracture critical part is not single load path and is not sized by durability or damage tolerance requirements. A fracture critical traceable part is either single load path or sized by those requirements. An item is in one category or the other. It is never in both.</w:t>
      </w:r>
    </w:p>
    <w:p>
      <w:pPr>
        <w:spacing w:after="120" w:line="264"/>
      </w:pPr>
      <w:r>
        <w:rPr>
          <w:rFonts w:ascii="Calibri" w:cs="Calibri" w:eastAsia="Calibri" w:hAnsi="Calibri"/>
          <w:b/>
          <w:bCs/>
        </w:rPr>
        <w:t xml:space="preserve">A condition in Table C-1 satisfies the end-use function gate.</w:t>
      </w:r>
      <w:r>
        <w:rPr>
          <w:rFonts w:ascii="Calibri" w:cs="Calibri" w:eastAsia="Calibri" w:hAnsi="Calibri"/>
        </w:rPr>
        <w:t xml:space="preserve"> These conditions frequently land on small parts: a fitting, a bushing, a fastener. An assessor may argue that such a part fails the end-use function gate, which rejects the item at the first step, before the safety criterion is ever reached. The condition is itself evidence that the part performs a function with system-level consequence. An assessor who nonetheless concludes the item fails the gate obtains System Safety concurrence in writing. Disposition that decision through the safety disposition gate. The terms are the same as for any other decision not to designate an item that meets criterion (b).</w:t>
      </w:r>
    </w:p>
    <w:p>
      <w:pPr>
        <w:spacing w:after="120" w:line="264"/>
      </w:pPr>
      <w:r>
        <w:rPr>
          <w:rFonts w:ascii="Calibri" w:cs="Calibri" w:eastAsia="Calibri" w:hAnsi="Calibri"/>
          <w:b/>
          <w:bCs/>
        </w:rPr>
        <w:t xml:space="preserve">Rows marked Verify</w:t>
      </w:r>
      <w:r>
        <w:rPr>
          <w:rFonts w:ascii="Calibri" w:cs="Calibri" w:eastAsia="Calibri" w:hAnsi="Calibri"/>
        </w:rPr>
        <w:t xml:space="preserve"> rest on terminology that is program-specific, contract-specific, or subject to recent revision. Confirm these against the governing contract or the current issue of the cited document before relying on them.</w:t>
      </w:r>
    </w:p>
    <w:p>
      <w:pPr>
        <w:pStyle w:val="Heading2"/>
        <w:keepNext/>
      </w:pPr>
      <w:r>
        <w:rPr>
          <w:rFonts w:ascii="Calibri" w:cs="Calibri" w:eastAsia="Calibri" w:hAnsi="Calibri"/>
        </w:rPr>
        <w:t xml:space="preserve">C.2 Conditions that satisfy criterion (b) conditionally</w:t>
      </w:r>
    </w:p>
    <w:p>
      <w:pPr>
        <w:spacing w:after="120" w:line="264"/>
      </w:pPr>
      <w:r>
        <w:rPr>
          <w:rFonts w:ascii="Calibri" w:cs="Calibri" w:eastAsia="Calibri" w:hAnsi="Calibri"/>
        </w:rPr>
        <w:t xml:space="preserve">These conditions reach criterion (b) only once translated onto an item, or only where the underlying limitation attaches to a discrete part. Establish the translation before recording a determination.</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900"/>
        <w:gridCol w:w="2700"/>
        <w:gridCol w:w="3060"/>
        <w:gridCol w:w="1700"/>
      </w:tblGrid>
      <w:tr>
        <w:trPr>
          <w:cantSplit/>
          <w:tblHeader/>
        </w:trPr>
        <w:tc>
          <w:tcPr>
            <w:tcW w:type="dxa" w:w="1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Condition</w:t>
            </w:r>
          </w:p>
        </w:tc>
        <w:tc>
          <w:tcPr>
            <w:tcW w:type="dxa" w:w="27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How it reaches the criterion</w:t>
            </w:r>
          </w:p>
        </w:tc>
        <w:tc>
          <w:tcPr>
            <w:tcW w:type="dxa" w:w="30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What to establish first</w:t>
            </w:r>
          </w:p>
        </w:tc>
        <w:tc>
          <w:tcPr>
            <w:tcW w:type="dxa" w:w="17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6"/>
                <w:szCs w:val="16"/>
              </w:rPr>
              <w:t xml:space="preserve">Who designates</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Airworthiness limitation item</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Fits where the limitation attaches to a discrete part. A zonal or structural inspection task has no item to designate as a CI and is controlled within the parent CI’s documentation</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Work from what the airworthiness limitations section actually contains, not from the label. A part can be called critical and carry no entry</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Type certificate holder, approved by the authority</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Principal structural element</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Fits where the evaluation path produces a discrete part. A safe-life principal structural element with a mandatory replacement time in the airworthiness limitations section is a discrete part. It meets criterion (b) on the catastrophic failure limb, and its per-unit life status is status accounting against the item. A damage-tolerant principal structural element identified by structural location has no item to designate and is controlled within the parent CI’s documentation</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Establish which evaluation path applies before recording a determination. Work from what the airworthiness limitations section actually contains. Landing gear is the common safe-life case. Lot or batch at heat level applies to the underlying detail parts and constituent materials either way</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Type certificate holder</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Premium selection material, elevated design values</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The label describes a material acceptance basis, not a consequence. It attaches to a discrete part, so it passes the item gate and the end-use function gate. Whether it reaches criterion (b) depends on what the part does</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Screen the part on its own consequence. Elevated design values are usually sought where margins are tight, so screen these parts with care. The record structure is a per-part identifier, heat and lot traceability, and a record correlating each specimen to its part. The record is fixed at acceptance and does not grow in service, unlike a life-limited part, so do not expect a life clock on it. The drawing note carrying the test procedures and acceptance criteria is the control, so treat it as configuration documentation and flow it to spares, repairs, and material review</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Type certificate holder, through the design drawing</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Critical application item (supply coding)</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A supply-system code applied to a stock number rather than an engineering designation. Fits once translated onto the item it codes</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Establish the engineering basis behind the code before relying on it</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Cataloging activity, acting on engineering activity input</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Critical component under a bilateral airworthiness arrangement</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Fits where the arrangement’s definition maps onto an item with a stated consequence</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Terms vary by arrangement; confirm the definition in force</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Design approval holder or exporting authority</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Failure-mode criticality code from a criticality analysis</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Designates a failure mode, not an item. Fits once the hardware in which the mode lives is identified</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A redundant configuration with the same end consequence carries the same code. Redundancy does not relieve the screen</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RM&amp;SH, through the failure modes, effects, and criticality analysis</w:t>
            </w:r>
          </w:p>
        </w:tc>
      </w:tr>
      <w:tr>
        <w:trPr>
          <w:cantSplit/>
          <w:tblHeader w:val="false"/>
        </w:trPr>
        <w:tc>
          <w:tcPr>
            <w:tcW w:type="dxa" w:w="19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Software safety classification</w:t>
            </w:r>
          </w:p>
        </w:tc>
        <w:tc>
          <w:tcPr>
            <w:tcW w:type="dxa" w:w="2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Fits where the classification attaches to a software item. Software is a CI by rule regardless of class</w:t>
            </w:r>
          </w:p>
        </w:tc>
        <w:tc>
          <w:tcPr>
            <w:tcW w:type="dxa" w:w="306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Identity attaches to the loadable part number and baseline, never to a physical unit</w:t>
            </w:r>
          </w:p>
        </w:tc>
        <w:tc>
          <w:tcPr>
            <w:tcW w:type="dxa" w:w="1700"/>
            <w:tcMar>
              <w:top w:type="dxa" w:w="60"/>
              <w:left w:type="dxa" w:w="90"/>
              <w:bottom w:type="dxa" w:w="60"/>
              <w:right w:type="dxa" w:w="90"/>
            </w:tcMar>
            <w:vAlign w:val="top"/>
          </w:tcPr>
          <w:p>
            <w:pPr>
              <w:spacing w:after="0" w:before="0" w:line="252"/>
            </w:pPr>
            <w:r>
              <w:rPr>
                <w:rFonts w:ascii="Calibri" w:cs="Calibri" w:eastAsia="Calibri" w:hAnsi="Calibri"/>
                <w:sz w:val="16"/>
                <w:szCs w:val="16"/>
              </w:rPr>
              <w:t xml:space="preserve">Software design organization</w:t>
            </w:r>
          </w:p>
        </w:tc>
      </w:tr>
    </w:tbl>
    <w:p>
      <w:pPr>
        <w:spacing w:after="120" w:before="0"/>
      </w:pPr>
    </w:p>
    <w:p>
      <w:pPr>
        <w:pStyle w:val="Heading2"/>
        <w:keepNext/>
      </w:pPr>
      <w:r>
        <w:rPr>
          <w:rFonts w:ascii="Calibri" w:cs="Calibri" w:eastAsia="Calibri" w:hAnsi="Calibri"/>
        </w:rPr>
        <w:t xml:space="preserve">C.3 Labels that designate something other than an item</w:t>
      </w:r>
    </w:p>
    <w:p>
      <w:pPr>
        <w:spacing w:after="120" w:line="264"/>
      </w:pPr>
      <w:r>
        <w:rPr>
          <w:rFonts w:ascii="Calibri" w:cs="Calibri" w:eastAsia="Calibri" w:hAnsi="Calibri"/>
        </w:rPr>
        <w:t xml:space="preserve">These labels attach to a function, a task, a failure mode, a feature, a location, or a development baseline. None of them is an item, so none designates a CI on its own. Each is a signal that items worth screening exist nearby. Identifying the hardware behind a function is engineering analysis, so </w:t>
      </w:r>
      <w:r>
        <w:rPr>
          <w:rFonts w:ascii="Calibri" w:cs="Calibri" w:eastAsia="Calibri" w:hAnsi="Calibri"/>
          <w:b/>
          <w:bCs/>
        </w:rPr>
        <w:t xml:space="preserve">ask for it rather than infer it.</w:t>
      </w:r>
      <w:r>
        <w:rPr>
          <w:rFonts w:ascii="Calibri" w:cs="Calibri" w:eastAsia="Calibri" w:hAnsi="Calibri"/>
        </w:rPr>
        <w:t xml:space="preserve"> A good guess still misses the items nobody thought of.</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2500"/>
        <w:gridCol w:w="2300"/>
        <w:gridCol w:w="4560"/>
      </w:tblGrid>
      <w:tr>
        <w:trPr>
          <w:cantSplit/>
          <w:tblHeader/>
        </w:trPr>
        <w:tc>
          <w:tcPr>
            <w:tcW w:type="dxa" w:w="25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The label</w:t>
            </w:r>
          </w:p>
        </w:tc>
        <w:tc>
          <w:tcPr>
            <w:tcW w:type="dxa" w:w="23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What it attaches to</w:t>
            </w:r>
          </w:p>
        </w:tc>
        <w:tc>
          <w:tcPr>
            <w:tcW w:type="dxa" w:w="45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What to ask for</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Safety-critical </w:t>
            </w:r>
            <w:r>
              <w:rPr>
                <w:rFonts w:ascii="Calibri" w:cs="Calibri" w:eastAsia="Calibri" w:hAnsi="Calibri"/>
                <w:b/>
                <w:bCs/>
                <w:sz w:val="18"/>
                <w:szCs w:val="18"/>
              </w:rPr>
              <w:t xml:space="preserve">function</w:t>
            </w:r>
            <w:r>
              <w:rPr>
                <w:rFonts w:ascii="Calibri" w:cs="Calibri" w:eastAsia="Calibri" w:hAnsi="Calibri"/>
                <w:sz w:val="18"/>
                <w:szCs w:val="18"/>
              </w:rPr>
              <w:t xml:space="preserve"> from the system safety analysis</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function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items that implement the function</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Development assurance level</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function, or a development baseline</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Nothing on its own. A top-level function can be built from items that do not meet the safety criterion. Software is a CI by rule regardless of level. </w:t>
            </w:r>
            <w:r>
              <w:rPr>
                <w:rFonts w:ascii="Calibri" w:cs="Calibri" w:eastAsia="Calibri" w:hAnsi="Calibri"/>
                <w:b/>
                <w:bCs/>
                <w:sz w:val="18"/>
                <w:szCs w:val="18"/>
              </w:rPr>
              <w:t xml:space="preserve">Do not use the assurance level as a proxy for criterion (b).</w:t>
            </w:r>
            <w:r>
              <w:rPr>
                <w:rFonts w:ascii="Calibri" w:cs="Calibri" w:eastAsia="Calibri" w:hAnsi="Calibri"/>
                <w:sz w:val="18"/>
                <w:szCs w:val="18"/>
              </w:rPr>
              <w:t xml:space="preserve"> The level is reduced by architecture and independence. Criterion (b) is consequence only, and it contains no likelihood or redundancy term.</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Automotive or industrial integrity level</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safety function and its implementation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items implementing the function, where the program uses these schemes. </w:t>
            </w:r>
            <w:r>
              <w:rPr>
                <w:rFonts w:ascii="Calibri" w:cs="Calibri" w:eastAsia="Calibri" w:hAnsi="Calibri"/>
                <w:b/>
                <w:bCs/>
                <w:sz w:val="18"/>
                <w:szCs w:val="18"/>
              </w:rPr>
              <w:t xml:space="preserve">Do not use the integrity level as a proxy for criterion (b).</w:t>
            </w:r>
            <w:r>
              <w:rPr>
                <w:rFonts w:ascii="Calibri" w:cs="Calibri" w:eastAsia="Calibri" w:hAnsi="Calibri"/>
                <w:sz w:val="18"/>
                <w:szCs w:val="18"/>
              </w:rPr>
              <w:t xml:space="preserve"> The level discounts by severity, exposure, and controllability. Criterion (b) is consequence only, and it contains no likelihood or redundancy term. A catastrophic-severity hazard with low exposure scores a low integrity level and still meets criterion (b) in full.</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Certification maintenance requirement</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maintenance task</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items whose hidden failure the task exists to detect</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Fatigue critical structure; fatigue critical baseline structure; damage-tolerant principal structural element identified by structural location</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structural element or location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The parts within the element, screened individually. A safe-life principal structural element is a discrete part. Screen it under the conditional table, not here</w:t>
            </w:r>
          </w:p>
        </w:tc>
      </w:tr>
      <w:tr>
        <w:trPr>
          <w:cantSplit/>
          <w:tblHeader w:val="false"/>
        </w:trPr>
        <w:tc>
          <w:tcPr>
            <w:tcW w:type="dxa" w:w="25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Critical characteristic; key characteristic</w:t>
            </w:r>
          </w:p>
        </w:tc>
        <w:tc>
          <w:tcPr>
            <w:tcW w:type="dxa" w:w="23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A feature or process parameter on a part</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Screen the </w:t>
            </w:r>
            <w:r>
              <w:rPr>
                <w:rFonts w:ascii="Calibri" w:cs="Calibri" w:eastAsia="Calibri" w:hAnsi="Calibri"/>
                <w:b/>
                <w:bCs/>
                <w:sz w:val="18"/>
                <w:szCs w:val="18"/>
              </w:rPr>
              <w:t xml:space="preserve">parent part</w:t>
            </w:r>
            <w:r>
              <w:rPr>
                <w:rFonts w:ascii="Calibri" w:cs="Calibri" w:eastAsia="Calibri" w:hAnsi="Calibri"/>
                <w:sz w:val="18"/>
                <w:szCs w:val="18"/>
              </w:rPr>
              <w:t xml:space="preserve">, not the characteristic. Its presence is strong evidence the parent is a candidate</w:t>
            </w:r>
          </w:p>
        </w:tc>
      </w:tr>
    </w:tbl>
    <w:p>
      <w:pPr>
        <w:spacing w:after="120" w:before="0"/>
      </w:pPr>
    </w:p>
    <w:p>
      <w:pPr>
        <w:pStyle w:val="Heading2"/>
        <w:keepNext/>
      </w:pPr>
      <w:r>
        <w:rPr>
          <w:rFonts w:ascii="Calibri" w:cs="Calibri" w:eastAsia="Calibri" w:hAnsi="Calibri"/>
        </w:rPr>
        <w:t xml:space="preserve">C.4 Two cautions that govern this appendix</w:t>
      </w:r>
    </w:p>
    <w:p>
      <w:pPr>
        <w:pStyle w:val="ListParagraph"/>
        <w:numPr>
          <w:ilvl w:val="0"/>
          <w:numId w:val="2"/>
        </w:numPr>
        <w:spacing w:after="80" w:line="264"/>
      </w:pPr>
      <w:r>
        <w:rPr>
          <w:rFonts w:ascii="Calibri" w:cs="Calibri" w:eastAsia="Calibri" w:hAnsi="Calibri"/>
          <w:b/>
          <w:bCs/>
        </w:rPr>
        <w:t xml:space="preserve">This appendix under-catches. Criterion (b) also covers loss of primary system capability. No designation scheme cataloged here keys on lost capability absent an injury pathway, so items in that class appear on no safety list at all. They come from the program’s own decomposition, or they come from nowhere. Treat Table C-1 as an input to candidate identification, never as a substitute for that screen.</w:t>
      </w:r>
    </w:p>
    <w:p>
      <w:pPr>
        <w:pStyle w:val="ListParagraph"/>
        <w:numPr>
          <w:ilvl w:val="0"/>
          <w:numId w:val="2"/>
        </w:numPr>
        <w:spacing w:after="80" w:line="264"/>
      </w:pPr>
      <w:r>
        <w:rPr>
          <w:rFonts w:ascii="Calibri" w:cs="Calibri" w:eastAsia="Calibri" w:hAnsi="Calibri"/>
          <w:b/>
          <w:bCs/>
        </w:rPr>
        <w:t xml:space="preserve">A designation that does not reach the safety criterion is not a finding that the item is uncontrolled, and not always a finding that it is not a CI.</w:t>
      </w:r>
      <w:r>
        <w:rPr>
          <w:rFonts w:ascii="Calibri" w:cs="Calibri" w:eastAsia="Calibri" w:hAnsi="Calibri"/>
        </w:rPr>
        <w:t xml:space="preserve"> Items that are not CIs are controlled within their parent CI’s configuration documentation, and several designations that fail the safety criterion designate strongly on other criteria. The influencing part in C.6 is the most consequential example. Read the criterion columns together rather than stopping at the safety one.</w:t>
      </w:r>
    </w:p>
    <w:p>
      <w:pPr>
        <w:pStyle w:val="Heading2"/>
        <w:keepNext/>
      </w:pPr>
      <w:r>
        <w:rPr>
          <w:rFonts w:ascii="Calibri" w:cs="Calibri" w:eastAsia="Calibri" w:hAnsi="Calibri"/>
        </w:rPr>
        <w:t xml:space="preserve">C.5 Other criteria commonly engaged</w:t>
      </w:r>
    </w:p>
    <w:p>
      <w:pPr>
        <w:spacing w:after="120" w:line="264"/>
      </w:pPr>
      <w:r>
        <w:rPr>
          <w:rFonts w:ascii="Calibri" w:cs="Calibri" w:eastAsia="Calibri" w:hAnsi="Calibri"/>
        </w:rPr>
        <w:t xml:space="preserve">The safety criterion is rarely the only one triggered. A designation assigned by a customer or government activity also engages criterion (d), the item is under control as designated by the Acquirer. Anything carrying provisioning, technical manual, or dedicated support and test equipment obligations engages criterion (g), requires dedicated logistics support elements. An item the system cannot function without engages criterion (a), critical to the functioning of the system. Note that criterion (a) is not the end-use function gate. The gate asks whether the item has a function at all. Criterion (a) asks whether the system can function without it. List every criterion that applies, because the designation survives if one underlying fact later changes.</w:t>
      </w:r>
    </w:p>
    <w:p>
      <w:pPr>
        <w:pStyle w:val="Heading2"/>
        <w:keepNext/>
      </w:pPr>
      <w:r>
        <w:rPr>
          <w:rFonts w:ascii="Calibri" w:cs="Calibri" w:eastAsia="Calibri" w:hAnsi="Calibri"/>
        </w:rPr>
        <w:t xml:space="preserve">C.6 The influencing part: the trap in this appendix</w:t>
      </w:r>
    </w:p>
    <w:p>
      <w:pPr>
        <w:spacing w:after="120" w:line="264"/>
      </w:pPr>
      <w:r>
        <w:rPr>
          <w:rFonts w:ascii="Calibri" w:cs="Calibri" w:eastAsia="Calibri" w:hAnsi="Calibri"/>
        </w:rPr>
        <w:t xml:space="preserve">A part that influences the boundary conditions of the approved life model establishing another part’s airworthiness limitation carries no life limit of its own, and its own failure has no hazardous effect. It therefore fails criterion (b) by its own definition. It is nonetheless a strong candidate on criterion (a), critical to the functioning of the system. The approved lifing basis of a life-limited critical part depends on its configuration. A change to it needs an independent effectivity address.</w:t>
      </w:r>
    </w:p>
    <w:p>
      <w:pPr>
        <w:spacing w:after="120" w:line="264"/>
      </w:pPr>
      <w:r>
        <w:rPr>
          <w:rFonts w:ascii="Calibri" w:cs="Calibri" w:eastAsia="Calibri" w:hAnsi="Calibri"/>
        </w:rPr>
        <w:t xml:space="preserve">Screen against criterion (b) and stop there, and the influencing part goes undesignated. Meanwhile the critical part it governs sits within its stamped life limit. The lifing basis behind that limit has quietly become invalid. The airworthiness consequence is displaced onto a different part number, which is what makes it hard to see. Typical examples are cooling air metering hardware, seals, bearings, and oil nozzles. Where a program identifies influencing parts, screen each one against the full criteria set, and record the rationale whether or not it is designated as a CI.</w:t>
      </w:r>
    </w:p>
    <w:p>
      <w:pPr>
        <w:pStyle w:val="Heading2"/>
        <w:keepNext/>
      </w:pPr>
      <w:r>
        <w:rPr>
          <w:rFonts w:ascii="Calibri" w:cs="Calibri" w:eastAsia="Calibri" w:hAnsi="Calibri"/>
        </w:rPr>
        <w:t xml:space="preserve">C.7 Terms that are frequently confused</w:t>
      </w:r>
    </w:p>
    <w:p>
      <w:pPr>
        <w:pStyle w:val="ListParagraph"/>
        <w:numPr>
          <w:ilvl w:val="0"/>
          <w:numId w:val="2"/>
        </w:numPr>
        <w:spacing w:after="80" w:line="264"/>
      </w:pPr>
      <w:r>
        <w:rPr>
          <w:rFonts w:ascii="Calibri" w:cs="Calibri" w:eastAsia="Calibri" w:hAnsi="Calibri"/>
          <w:b/>
          <w:bCs/>
        </w:rPr>
        <w:t xml:space="preserve">A customer-assigned critical safety item is not a safety-critical item from the system safety analysis.</w:t>
      </w:r>
      <w:r>
        <w:rPr>
          <w:rFonts w:ascii="Calibri" w:cs="Calibri" w:eastAsia="Calibri" w:hAnsi="Calibri"/>
        </w:rPr>
        <w:t xml:space="preserve"> Different authority, different object, different obligation. The first is assigned by a government engineering activity and its primary obligation is source approval and supply chain integrity; the second is an analysis output whose obligation is design and process rigor.</w:t>
      </w:r>
    </w:p>
    <w:p>
      <w:pPr>
        <w:pStyle w:val="ListParagraph"/>
        <w:numPr>
          <w:ilvl w:val="0"/>
          <w:numId w:val="2"/>
        </w:numPr>
        <w:spacing w:after="80" w:line="264"/>
      </w:pPr>
      <w:r>
        <w:rPr>
          <w:rFonts w:ascii="Calibri" w:cs="Calibri" w:eastAsia="Calibri" w:hAnsi="Calibri"/>
          <w:b/>
          <w:bCs/>
        </w:rPr>
        <w:t xml:space="preserve">A quality-system critical item is broader than safety.</w:t>
      </w:r>
      <w:r>
        <w:rPr>
          <w:rFonts w:ascii="Calibri" w:cs="Calibri" w:eastAsia="Calibri" w:hAnsi="Calibri"/>
        </w:rPr>
        <w:t xml:space="preserve"> The term as used in aerospace quality standards deliberately includes producibility, service life, and form, fit and function alongside safety. Establish why an item was flagged before treating the flag as a safety designation.</w:t>
      </w:r>
    </w:p>
    <w:p>
      <w:pPr>
        <w:pStyle w:val="ListParagraph"/>
        <w:numPr>
          <w:ilvl w:val="0"/>
          <w:numId w:val="2"/>
        </w:numPr>
        <w:spacing w:after="80" w:line="264"/>
      </w:pPr>
      <w:r>
        <w:rPr>
          <w:rFonts w:ascii="Calibri" w:cs="Calibri" w:eastAsia="Calibri" w:hAnsi="Calibri"/>
          <w:b/>
          <w:bCs/>
        </w:rPr>
        <w:t xml:space="preserve">Life limited means two different things.</w:t>
      </w:r>
      <w:r>
        <w:rPr>
          <w:rFonts w:ascii="Calibri" w:cs="Calibri" w:eastAsia="Calibri" w:hAnsi="Calibri"/>
        </w:rPr>
        <w:t xml:space="preserve"> See the two-clocks rule in the identifier assignment section. A cycles or hours limit is a per-unit quantity and takes a serial number. A shelf-life or cure-date limit on material in storage attaches to the lot. A calendar replacement limit on a discrete part in the Airworthiness Limitations Section still takes a serial number.</w:t>
      </w:r>
    </w:p>
    <w:p>
      <w:pPr>
        <w:pStyle w:val="Heading1"/>
        <w:keepNext/>
        <w:pageBreakBefore/>
      </w:pPr>
      <w:r>
        <w:rPr>
          <w:rFonts w:ascii="Calibri" w:cs="Calibri" w:eastAsia="Calibri" w:hAnsi="Calibri"/>
        </w:rPr>
        <w:t xml:space="preserve">Appendix D: Same-CI Decision Aid</w:t>
      </w:r>
    </w:p>
    <w:p>
      <w:pPr>
        <w:pStyle w:val="Heading2"/>
        <w:keepNext/>
      </w:pPr>
      <w:r>
        <w:rPr>
          <w:rFonts w:ascii="Calibri" w:cs="Calibri" w:eastAsia="Calibri" w:hAnsi="Calibri"/>
        </w:rPr>
        <w:t xml:space="preserve">D.1 Purpose</w:t>
      </w:r>
    </w:p>
    <w:p>
      <w:pPr>
        <w:spacing w:after="120" w:line="264"/>
      </w:pPr>
      <w:r>
        <w:rPr>
          <w:rFonts w:ascii="Calibri" w:cs="Calibri" w:eastAsia="Calibri" w:hAnsi="Calibri"/>
        </w:rPr>
        <w:t xml:space="preserve">Two items carry different part numbers. They share a function. They share a subsystem. They share a vendor. Do they share one Configuration Item identifier with part number variants? Or are they separate Configuration Items?</w:t>
      </w:r>
    </w:p>
    <w:p>
      <w:pPr>
        <w:spacing w:after="120" w:line="264"/>
      </w:pPr>
      <w:r>
        <w:rPr>
          <w:rFonts w:ascii="Calibri" w:cs="Calibri" w:eastAsia="Calibri" w:hAnsi="Calibri"/>
        </w:rPr>
        <w:t xml:space="preserve">This appendix answers that question. It also answers the reverse question. One part number sometimes maps to more than one Configuration Item.</w:t>
      </w:r>
    </w:p>
    <w:p>
      <w:pPr>
        <w:spacing w:after="120" w:line="264"/>
      </w:pPr>
      <w:r>
        <w:rPr>
          <w:rFonts w:ascii="Calibri" w:cs="Calibri" w:eastAsia="Calibri" w:hAnsi="Calibri"/>
        </w:rPr>
        <w:t xml:space="preserve">This appendix supplements the selection criteria screen and the Acquirer concurrence requirement of this process. It does not replace either one.</w:t>
      </w:r>
    </w:p>
    <w:p>
      <w:pPr>
        <w:pStyle w:val="Heading2"/>
        <w:keepNext/>
      </w:pPr>
      <w:r>
        <w:rPr>
          <w:rFonts w:ascii="Calibri" w:cs="Calibri" w:eastAsia="Calibri" w:hAnsi="Calibri"/>
        </w:rPr>
        <w:t xml:space="preserve">D.2 Definitions</w:t>
      </w:r>
    </w:p>
    <w:p>
      <w:pPr>
        <w:spacing w:after="120" w:line="264"/>
      </w:pPr>
      <w:r>
        <w:rPr>
          <w:rFonts w:ascii="Calibri" w:cs="Calibri" w:eastAsia="Calibri" w:hAnsi="Calibri"/>
        </w:rPr>
        <w:t xml:space="preserve">These definitions are carried from the definitions section of this process. Use them as written. Do not paraphrase them.</w:t>
      </w:r>
    </w:p>
    <w:p>
      <w:pPr>
        <w:spacing w:after="120" w:line="264"/>
      </w:pPr>
      <w:r>
        <w:rPr>
          <w:rFonts w:ascii="Calibri" w:cs="Calibri" w:eastAsia="Calibri" w:hAnsi="Calibri"/>
          <w:b/>
          <w:bCs/>
        </w:rPr>
        <w:t xml:space="preserve">Configuration Item (CI).</w:t>
      </w:r>
      <w:r>
        <w:rPr>
          <w:rFonts w:ascii="Calibri" w:cs="Calibri" w:eastAsia="Calibri" w:hAnsi="Calibri"/>
        </w:rPr>
        <w:t xml:space="preserve"> 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p>
      <w:pPr>
        <w:spacing w:after="120" w:line="264"/>
      </w:pPr>
      <w:r>
        <w:rPr>
          <w:rFonts w:ascii="Calibri" w:cs="Calibri" w:eastAsia="Calibri" w:hAnsi="Calibri"/>
          <w:b/>
          <w:bCs/>
        </w:rPr>
        <w:t xml:space="preserve">Part or Identifying Number (PIN).</w:t>
      </w:r>
      <w:r>
        <w:rPr>
          <w:rFonts w:ascii="Calibri" w:cs="Calibri" w:eastAsia="Calibri" w:hAnsi="Calibri"/>
        </w:rPr>
        <w:t xml:space="preserve"> The identifier that, combined with the design activity CAGE code, uniquely identifies an item and its configuration. The PIN changes when a modification creates a non-interchangeable condition.</w:t>
      </w:r>
    </w:p>
    <w:p>
      <w:pPr>
        <w:pStyle w:val="Heading2"/>
        <w:keepNext/>
      </w:pPr>
      <w:r>
        <w:rPr>
          <w:rFonts w:ascii="Calibri" w:cs="Calibri" w:eastAsia="Calibri" w:hAnsi="Calibri"/>
        </w:rPr>
        <w:t xml:space="preserve">D.3 Principle: The CI Identifier and the PIN</w:t>
      </w:r>
    </w:p>
    <w:p>
      <w:pPr>
        <w:spacing w:after="120" w:line="264"/>
      </w:pPr>
      <w:r>
        <w:rPr>
          <w:rFonts w:ascii="Calibri" w:cs="Calibri" w:eastAsia="Calibri" w:hAnsi="Calibri"/>
        </w:rPr>
        <w:t xml:space="preserve">The CI identifier follows function. It also follows the management need for separate configuration control.</w:t>
      </w:r>
    </w:p>
    <w:p>
      <w:pPr>
        <w:spacing w:after="120" w:line="264"/>
      </w:pPr>
      <w:r>
        <w:rPr>
          <w:rFonts w:ascii="Calibri" w:cs="Calibri" w:eastAsia="Calibri" w:hAnsi="Calibri"/>
        </w:rPr>
        <w:t xml:space="preserve">The PIN follows form, fit, and function. The PIN changes when a modification creates a non-interchangeable condition.</w:t>
      </w:r>
    </w:p>
    <w:p>
      <w:pPr>
        <w:spacing w:after="120" w:line="264"/>
      </w:pPr>
      <w:r>
        <w:rPr>
          <w:rFonts w:ascii="Calibri" w:cs="Calibri" w:eastAsia="Calibri" w:hAnsi="Calibri"/>
        </w:rPr>
        <w:t xml:space="preserve">The two identifiers answer different questions. They are decoupled on purpose.</w:t>
      </w:r>
    </w:p>
    <w:p>
      <w:pPr>
        <w:spacing w:after="120" w:line="264"/>
      </w:pPr>
      <w:r>
        <w:rPr>
          <w:rFonts w:ascii="Calibri" w:cs="Calibri" w:eastAsia="Calibri" w:hAnsi="Calibri"/>
          <w:b/>
          <w:bCs/>
        </w:rPr>
        <w:t xml:space="preserve">Multiple PINs under one CI.</w:t>
      </w:r>
      <w:r>
        <w:rPr>
          <w:rFonts w:ascii="Calibri" w:cs="Calibri" w:eastAsia="Calibri" w:hAnsi="Calibri"/>
        </w:rPr>
        <w:t xml:space="preserve"> Several variants perform one managed function. The variants are not interchangeable with each other. Different interface details are the usual cause. The variants share one specification basis. They share one verification basis. They share common change effectivity.</w:t>
      </w:r>
    </w:p>
    <w:p>
      <w:pPr>
        <w:spacing w:after="120" w:line="264"/>
      </w:pPr>
      <w:r>
        <w:rPr>
          <w:rFonts w:ascii="Calibri" w:cs="Calibri" w:eastAsia="Calibri" w:hAnsi="Calibri"/>
          <w:b/>
          <w:bCs/>
        </w:rPr>
        <w:t xml:space="preserve">One PIN under multiple CIs.</w:t>
      </w:r>
      <w:r>
        <w:rPr>
          <w:rFonts w:ascii="Calibri" w:cs="Calibri" w:eastAsia="Calibri" w:hAnsi="Calibri"/>
        </w:rPr>
        <w:t xml:space="preserve"> One antenna part number is installed twice. One installation sits in the UHF subsystem. One sits in the MIDS JTRS subsystem. That is one PIN and two CIs.</w:t>
      </w:r>
    </w:p>
    <w:p>
      <w:pPr>
        <w:spacing w:after="120" w:line="264"/>
      </w:pPr>
      <w:r>
        <w:rPr>
          <w:rFonts w:ascii="Calibri" w:cs="Calibri" w:eastAsia="Calibri" w:hAnsi="Calibri"/>
        </w:rPr>
        <w:t xml:space="preserve">Each installation satisfies a different end-use function. Each sits in a different branch of the CI hierarchy. Each needs its own change effectivity address. Each needs its own hazard traceability and its own logistics reporting.</w:t>
      </w:r>
    </w:p>
    <w:p>
      <w:pPr>
        <w:spacing w:after="120" w:line="264"/>
      </w:pPr>
      <w:r>
        <w:rPr>
          <w:rFonts w:ascii="Calibri" w:cs="Calibri" w:eastAsia="Calibri" w:hAnsi="Calibri"/>
        </w:rPr>
        <w:t xml:space="preserve">Different part numbers do not decide the CI question. The same part number does not decide it either.</w:t>
      </w:r>
    </w:p>
    <w:p>
      <w:pPr>
        <w:pStyle w:val="Heading2"/>
        <w:keepNext/>
      </w:pPr>
      <w:r>
        <w:rPr>
          <w:rFonts w:ascii="Calibri" w:cs="Calibri" w:eastAsia="Calibri" w:hAnsi="Calibri"/>
        </w:rPr>
        <w:t xml:space="preserve">D.4 Scope Cautions</w:t>
      </w:r>
    </w:p>
    <w:p>
      <w:pPr>
        <w:spacing w:after="120" w:line="264"/>
      </w:pPr>
      <w:r>
        <w:rPr>
          <w:rFonts w:ascii="Calibri" w:cs="Calibri" w:eastAsia="Calibri" w:hAnsi="Calibri"/>
        </w:rPr>
        <w:t xml:space="preserve">Two cautions apply before any gate is run.</w:t>
      </w:r>
    </w:p>
    <w:p>
      <w:pPr>
        <w:spacing w:after="120" w:line="264"/>
      </w:pPr>
      <w:r>
        <w:rPr>
          <w:rFonts w:ascii="Calibri" w:cs="Calibri" w:eastAsia="Calibri" w:hAnsi="Calibri"/>
          <w:b/>
          <w:bCs/>
        </w:rPr>
        <w:t xml:space="preserve">Compare items at the level at which the company procures them.</w:t>
      </w:r>
      <w:r>
        <w:rPr>
          <w:rFonts w:ascii="Calibri" w:cs="Calibri" w:eastAsia="Calibri" w:hAnsi="Calibri"/>
        </w:rPr>
        <w:t xml:space="preserve"> Do not decompose a supplier-designed item to run this screen. Where the supplier holds the design and the company procures the item as a unit, the procured item is the CI. That rule governs. This appendix does not override it.</w:t>
      </w:r>
    </w:p>
    <w:p>
      <w:pPr>
        <w:spacing w:after="120" w:line="264"/>
      </w:pPr>
      <w:r>
        <w:rPr>
          <w:rFonts w:ascii="Calibri" w:cs="Calibri" w:eastAsia="Calibri" w:hAnsi="Calibri"/>
          <w:b/>
          <w:bCs/>
        </w:rPr>
        <w:t xml:space="preserve">Software carries identity on version identifiers, not on PINs.</w:t>
      </w:r>
      <w:r>
        <w:rPr>
          <w:rFonts w:ascii="Calibri" w:cs="Calibri" w:eastAsia="Calibri" w:hAnsi="Calibri"/>
        </w:rPr>
        <w:t xml:space="preserve"> Computer software is designated as a CSCI by rule. The same question still arises. One CSCI with several version identifiers, or several CSCIs. The separation triggers below apply, with two substitutions. Read version identifier for PIN. Read build or load for variant. The substitution applies to concurrent builds or loads fielded at the same time. A version that replaces an earlier one is a change, not a variant. The record structure differs. Software carries identity on the loadable part number and the baseline. It never carries a physical unit identifier.</w:t>
      </w:r>
    </w:p>
    <w:p>
      <w:pPr>
        <w:pStyle w:val="Heading2"/>
        <w:keepNext/>
      </w:pPr>
      <w:r>
        <w:rPr>
          <w:rFonts w:ascii="Calibri" w:cs="Calibri" w:eastAsia="Calibri" w:hAnsi="Calibri"/>
        </w:rPr>
        <w:t xml:space="preserve">D.5 Decision Path A: Two or More Items Compared</w:t>
      </w:r>
    </w:p>
    <w:p>
      <w:pPr>
        <w:spacing w:after="120" w:line="264"/>
      </w:pPr>
      <w:r>
        <w:rPr>
          <w:rFonts w:ascii="Calibri" w:cs="Calibri" w:eastAsia="Calibri" w:hAnsi="Calibri"/>
        </w:rPr>
        <w:t xml:space="preserve">Use this path when two or more distinct items are compared against each other. Use Decision Path B when one part number is installed in more than one place.</w:t>
      </w:r>
    </w:p>
    <w:p>
      <w:pPr>
        <w:pStyle w:val="Heading3"/>
        <w:keepNext/>
      </w:pPr>
      <w:r>
        <w:rPr>
          <w:rFonts w:ascii="Calibri" w:cs="Calibri" w:eastAsia="Calibri" w:hAnsi="Calibri"/>
        </w:rPr>
        <w:t xml:space="preserve">D.5.1 Qualifying Gates</w:t>
      </w:r>
    </w:p>
    <w:p>
      <w:pPr>
        <w:spacing w:after="120" w:line="264"/>
      </w:pPr>
      <w:r>
        <w:rPr>
          <w:rFonts w:ascii="Calibri" w:cs="Calibri" w:eastAsia="Calibri" w:hAnsi="Calibri"/>
        </w:rPr>
        <w:t xml:space="preserve">Both answers must be YES to continue.</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900"/>
        <w:gridCol w:w="3900"/>
        <w:gridCol w:w="4560"/>
      </w:tblGrid>
      <w:tr>
        <w:trPr>
          <w:cantSplit/>
          <w:tblHeader/>
        </w:trPr>
        <w:tc>
          <w:tcPr>
            <w:tcW w:type="dxa" w:w="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Gate</w:t>
            </w:r>
          </w:p>
        </w:tc>
        <w:tc>
          <w:tcPr>
            <w:tcW w:type="dxa" w:w="3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Question</w:t>
            </w:r>
          </w:p>
        </w:tc>
        <w:tc>
          <w:tcPr>
            <w:tcW w:type="dxa" w:w="45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If the answer is NO</w:t>
            </w:r>
          </w:p>
        </w:tc>
      </w:tr>
      <w:tr>
        <w:trPr>
          <w:cantSplit/>
          <w:tblHeader w:val="false"/>
        </w:trPr>
        <w:tc>
          <w:tcPr>
            <w:tcW w:type="dxa" w:w="9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Q1</w:t>
            </w:r>
          </w:p>
        </w:tc>
        <w:tc>
          <w:tcPr>
            <w:tcW w:type="dxa" w:w="3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each item satisfy a system end-use function?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Not CI candidates. Control each item within the parent CI’s configuration documentation. Stop.</w:t>
            </w:r>
          </w:p>
        </w:tc>
      </w:tr>
      <w:tr>
        <w:trPr>
          <w:cantSplit/>
          <w:tblHeader w:val="false"/>
        </w:trPr>
        <w:tc>
          <w:tcPr>
            <w:tcW w:type="dxa" w:w="9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Q2</w:t>
            </w:r>
          </w:p>
        </w:tc>
        <w:tc>
          <w:tcPr>
            <w:tcW w:type="dxa" w:w="3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each item meet at least one CI selection criterion?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Parts, not CIs. The PINs already capture the differences. Record a do-not-designate rationale on the CI selection criteria checklist. Stop.</w:t>
            </w:r>
          </w:p>
        </w:tc>
      </w:tr>
    </w:tbl>
    <w:p>
      <w:pPr>
        <w:spacing w:after="120" w:before="0"/>
      </w:pPr>
    </w:p>
    <w:p>
      <w:pPr>
        <w:pStyle w:val="Heading3"/>
        <w:keepNext/>
      </w:pPr>
      <w:r>
        <w:rPr>
          <w:rFonts w:ascii="Calibri" w:cs="Calibri" w:eastAsia="Calibri" w:hAnsi="Calibri"/>
        </w:rPr>
        <w:t xml:space="preserve">D.5.2 Separation Triggers</w:t>
      </w:r>
    </w:p>
    <w:p>
      <w:pPr>
        <w:spacing w:after="120" w:line="264"/>
      </w:pPr>
      <w:r>
        <w:rPr>
          <w:rFonts w:ascii="Calibri" w:cs="Calibri" w:eastAsia="Calibri" w:hAnsi="Calibri"/>
        </w:rPr>
        <w:t xml:space="preserve">Any single YES separates. Run every trigger anyway. Record each one that fires.</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000"/>
        <w:gridCol w:w="6260"/>
        <w:gridCol w:w="2100"/>
      </w:tblGrid>
      <w:tr>
        <w:trPr>
          <w:cantSplit/>
          <w:tblHeader/>
        </w:trPr>
        <w:tc>
          <w:tcPr>
            <w:tcW w:type="dxa" w:w="10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Trigger</w:t>
            </w:r>
          </w:p>
        </w:tc>
        <w:tc>
          <w:tcPr>
            <w:tcW w:type="dxa" w:w="62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Question</w:t>
            </w:r>
          </w:p>
        </w:tc>
        <w:tc>
          <w:tcPr>
            <w:tcW w:type="dxa" w:w="21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YES means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S1</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 the items perform different end-use functions?</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S2</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 the items sit under different parents in the system or sub-system hierarchy?</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S3</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any one of the items meet criterion (b)?</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S4</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either item have or need its own specification for performance or for interfaces?</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S5</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 the items have or need different verification requirements or different verification plans?</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S6</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Will changes to one item routinely need a separate change or maintenance effectivity address (e.g., cut-in time, separate next higher assembly, separate end item, maintenance or replacement intervals) from the other item?</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S7</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Acquirer direction, nomenclature, or logistics force separation?</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bl>
    <w:p>
      <w:pPr>
        <w:spacing w:after="120" w:before="0"/>
      </w:pPr>
    </w:p>
    <w:p>
      <w:pPr>
        <w:spacing w:after="120" w:line="264"/>
      </w:pPr>
      <w:r>
        <w:rPr>
          <w:rFonts w:ascii="Calibri" w:cs="Calibri" w:eastAsia="Calibri" w:hAnsi="Calibri"/>
        </w:rPr>
        <w:t xml:space="preserve">Where MBSE is used, answer S2 from the model.</w:t>
      </w:r>
    </w:p>
    <w:p>
      <w:pPr>
        <w:spacing w:after="120" w:line="264"/>
      </w:pPr>
      <w:r>
        <w:rPr>
          <w:rFonts w:ascii="Calibri" w:cs="Calibri" w:eastAsia="Calibri" w:hAnsi="Calibri"/>
        </w:rPr>
        <w:t xml:space="preserve">No trigger fires. Then the verdict is one CI with multiple PIN variants. Go to the model check.</w:t>
      </w:r>
    </w:p>
    <w:p>
      <w:pPr>
        <w:pStyle w:val="Heading3"/>
        <w:keepNext/>
      </w:pPr>
      <w:r>
        <w:rPr>
          <w:rFonts w:ascii="Calibri" w:cs="Calibri" w:eastAsia="Calibri" w:hAnsi="Calibri"/>
        </w:rPr>
        <w:t xml:space="preserve">D.5.3 Model Check</w:t>
      </w:r>
    </w:p>
    <w:p>
      <w:pPr>
        <w:spacing w:after="120" w:line="264"/>
      </w:pPr>
      <w:r>
        <w:rPr>
          <w:rFonts w:ascii="Calibri" w:cs="Calibri" w:eastAsia="Calibri" w:hAnsi="Calibri"/>
        </w:rPr>
        <w:t xml:space="preserve">Every verdict passes the model check. A separation verdict passes it too.</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900"/>
        <w:gridCol w:w="3900"/>
        <w:gridCol w:w="4560"/>
      </w:tblGrid>
      <w:tr>
        <w:trPr>
          <w:cantSplit/>
          <w:tblHeader/>
        </w:trPr>
        <w:tc>
          <w:tcPr>
            <w:tcW w:type="dxa" w:w="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Check</w:t>
            </w:r>
          </w:p>
        </w:tc>
        <w:tc>
          <w:tcPr>
            <w:tcW w:type="dxa" w:w="39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Question</w:t>
            </w:r>
          </w:p>
        </w:tc>
        <w:tc>
          <w:tcPr>
            <w:tcW w:type="dxa" w:w="45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Then</w:t>
            </w:r>
          </w:p>
        </w:tc>
      </w:tr>
      <w:tr>
        <w:trPr>
          <w:cantSplit/>
          <w:tblHeader w:val="false"/>
        </w:trPr>
        <w:tc>
          <w:tcPr>
            <w:tcW w:type="dxa" w:w="9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M1</w:t>
            </w:r>
          </w:p>
        </w:tc>
        <w:tc>
          <w:tcPr>
            <w:tcW w:type="dxa" w:w="3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Is MBSE used on this program?</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NO: record the verdict. YES: go to M2.</w:t>
            </w:r>
          </w:p>
        </w:tc>
      </w:tr>
      <w:tr>
        <w:trPr>
          <w:cantSplit/>
          <w:tblHeader w:val="false"/>
        </w:trPr>
        <w:tc>
          <w:tcPr>
            <w:tcW w:type="dxa" w:w="9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M2</w:t>
            </w:r>
          </w:p>
        </w:tc>
        <w:tc>
          <w:tcPr>
            <w:tcW w:type="dxa" w:w="39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the verdict match the current MBSE model representation?</w:t>
            </w:r>
          </w:p>
        </w:tc>
        <w:tc>
          <w:tcPr>
            <w:tcW w:type="dxa" w:w="45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YES: record the verdict. NO: hold. Route to Systems Engineering for model disposition before recording.</w:t>
            </w:r>
          </w:p>
        </w:tc>
      </w:tr>
    </w:tbl>
    <w:p>
      <w:pPr>
        <w:spacing w:after="120" w:before="0"/>
      </w:pPr>
    </w:p>
    <w:p>
      <w:pPr>
        <w:pStyle w:val="Heading3"/>
        <w:keepNext/>
      </w:pPr>
      <w:r>
        <w:rPr>
          <w:rFonts w:ascii="Calibri" w:cs="Calibri" w:eastAsia="Calibri" w:hAnsi="Calibri"/>
        </w:rPr>
        <w:t xml:space="preserve">D.5.4 Verdicts</w:t>
      </w:r>
    </w:p>
    <w:p>
      <w:pPr>
        <w:spacing w:after="120" w:line="264"/>
      </w:pPr>
      <w:r>
        <w:rPr>
          <w:rFonts w:ascii="Calibri" w:cs="Calibri" w:eastAsia="Calibri" w:hAnsi="Calibri"/>
          <w:b/>
          <w:bCs/>
        </w:rPr>
        <w:t xml:space="preserve">Not CI candidates.</w:t>
      </w:r>
      <w:r>
        <w:rPr>
          <w:rFonts w:ascii="Calibri" w:cs="Calibri" w:eastAsia="Calibri" w:hAnsi="Calibri"/>
        </w:rPr>
        <w:t xml:space="preserve"> Q1 fails. The items have no end-use function. Control them within the parent CI’s configuration documentation.</w:t>
      </w:r>
    </w:p>
    <w:p>
      <w:pPr>
        <w:spacing w:after="120" w:line="264"/>
      </w:pPr>
      <w:r>
        <w:rPr>
          <w:rFonts w:ascii="Calibri" w:cs="Calibri" w:eastAsia="Calibri" w:hAnsi="Calibri"/>
          <w:b/>
          <w:bCs/>
        </w:rPr>
        <w:t xml:space="preserve">Parts, not CIs.</w:t>
      </w:r>
      <w:r>
        <w:rPr>
          <w:rFonts w:ascii="Calibri" w:cs="Calibri" w:eastAsia="Calibri" w:hAnsi="Calibri"/>
        </w:rPr>
        <w:t xml:space="preserve"> Q2 fails. No selection criterion applies. Do not designate CIs to solve a part numbering question. The PINs already capture non-interchangeability. Record a do-not-designate rationale on the CI selection criteria checklist.</w:t>
      </w:r>
    </w:p>
    <w:p>
      <w:pPr>
        <w:spacing w:after="120" w:line="264"/>
      </w:pPr>
      <w:r>
        <w:rPr>
          <w:rFonts w:ascii="Calibri" w:cs="Calibri" w:eastAsia="Calibri" w:hAnsi="Calibri"/>
          <w:b/>
          <w:bCs/>
        </w:rPr>
        <w:t xml:space="preserve">Separate CIs.</w:t>
      </w:r>
      <w:r>
        <w:rPr>
          <w:rFonts w:ascii="Calibri" w:cs="Calibri" w:eastAsia="Calibri" w:hAnsi="Calibri"/>
        </w:rPr>
        <w:t xml:space="preserve"> Any trigger fires. Each item gets its own CI identifier. Each gets its own position in the hierarchy. Each gets a determination of its required configuration documentation. Each gets its own effectivity address and its own baseline management. Map each new CI’s interfaces in the interface register. Confirm with Systems Engineering that every interface between the new CIs is defined in an interface source.</w:t>
      </w:r>
    </w:p>
    <w:p>
      <w:pPr>
        <w:spacing w:after="120" w:line="264"/>
      </w:pPr>
      <w:r>
        <w:rPr>
          <w:rFonts w:ascii="Calibri" w:cs="Calibri" w:eastAsia="Calibri" w:hAnsi="Calibri"/>
          <w:b/>
          <w:bCs/>
        </w:rPr>
        <w:t xml:space="preserve">One CI, multiple PIN variants.</w:t>
      </w:r>
      <w:r>
        <w:rPr>
          <w:rFonts w:ascii="Calibri" w:cs="Calibri" w:eastAsia="Calibri" w:hAnsi="Calibri"/>
        </w:rPr>
        <w:t xml:space="preserve"> No trigger fires. One CI identifier covers the family. The PINs are carried as variants beneath it. Record the variant mapping in the CI index. Tabulate the specification by variant, including the interface callouts for each variant.</w:t>
      </w:r>
    </w:p>
    <w:p>
      <w:pPr>
        <w:pStyle w:val="Heading2"/>
        <w:keepNext/>
      </w:pPr>
      <w:r>
        <w:rPr>
          <w:rFonts w:ascii="Calibri" w:cs="Calibri" w:eastAsia="Calibri" w:hAnsi="Calibri"/>
        </w:rPr>
        <w:t xml:space="preserve">D.6 Decision Path B: One PIN in More Than One Place</w:t>
      </w:r>
    </w:p>
    <w:p>
      <w:pPr>
        <w:spacing w:after="120" w:line="264"/>
      </w:pPr>
      <w:r>
        <w:rPr>
          <w:rFonts w:ascii="Calibri" w:cs="Calibri" w:eastAsia="Calibri" w:hAnsi="Calibri"/>
        </w:rPr>
        <w:t xml:space="preserve">One part number is installed in more than one place. Decision Path A does not fit. It compares items against each other. Here there is one item.</w:t>
      </w:r>
    </w:p>
    <w:p>
      <w:pPr>
        <w:spacing w:after="120" w:line="264"/>
      </w:pPr>
      <w:r>
        <w:rPr>
          <w:rFonts w:ascii="Calibri" w:cs="Calibri" w:eastAsia="Calibri" w:hAnsi="Calibri"/>
        </w:rPr>
        <w:t xml:space="preserve">Run these triggers instead. Compare the item instances and their next-higher items (installed position) together, not the items alone. A quantity per next higher assembly greater than one is the cue to run this path.</w:t>
      </w:r>
    </w:p>
    <w:tbl>
      <w:tblPr>
        <w:tblW w:type="dxa" w:w="9360"/>
        <w:tblBorders>
          <w:top w:val="single" w:color="D6DCDF" w:sz="4"/>
          <w:left w:val="single" w:color="D6DCDF" w:sz="4"/>
          <w:bottom w:val="single" w:color="D6DCDF" w:sz="4"/>
          <w:right w:val="single" w:color="D6DCDF" w:sz="4"/>
          <w:insideH w:val="single" w:color="D6DCDF" w:sz="4"/>
          <w:insideV w:val="single" w:color="D6DCDF" w:sz="4"/>
        </w:tblBorders>
        <w:tblLayout w:type="fixed"/>
      </w:tblPr>
      <w:tblGrid>
        <w:gridCol w:w="1000"/>
        <w:gridCol w:w="6260"/>
        <w:gridCol w:w="2100"/>
      </w:tblGrid>
      <w:tr>
        <w:trPr>
          <w:cantSplit/>
          <w:tblHeader/>
        </w:trPr>
        <w:tc>
          <w:tcPr>
            <w:tcW w:type="dxa" w:w="10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Trigger</w:t>
            </w:r>
          </w:p>
        </w:tc>
        <w:tc>
          <w:tcPr>
            <w:tcW w:type="dxa" w:w="626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Question</w:t>
            </w:r>
          </w:p>
        </w:tc>
        <w:tc>
          <w:tcPr>
            <w:tcW w:type="dxa" w:w="2100"/>
            <w:shd w:fill="EDF0F1" w:color="auto" w:val="clear"/>
            <w:tcMar>
              <w:top w:type="dxa" w:w="60"/>
              <w:left w:type="dxa" w:w="90"/>
              <w:bottom w:type="dxa" w:w="60"/>
              <w:right w:type="dxa" w:w="90"/>
            </w:tcMar>
            <w:vAlign w:val="center"/>
          </w:tcPr>
          <w:p>
            <w:pPr>
              <w:spacing w:after="0" w:before="0" w:line="252"/>
            </w:pPr>
            <w:r>
              <w:rPr>
                <w:rFonts w:ascii="Calibri" w:cs="Calibri" w:eastAsia="Calibri" w:hAnsi="Calibri"/>
                <w:b/>
                <w:bCs/>
                <w:sz w:val="18"/>
                <w:szCs w:val="18"/>
              </w:rPr>
              <w:t xml:space="preserve">YES means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B1</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each item instance satisfy a different end-use function?</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B2</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each item instance sit under a different parent in the system or sub-system hierarchy?</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B3</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each item instance need its own change or maintenance effectivity address (e.g., cut-in time, separate next higher assembly, separate end item, maintenance or replacement intervals)?</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r>
        <w:trPr>
          <w:cantSplit/>
          <w:tblHeader w:val="false"/>
        </w:trPr>
        <w:tc>
          <w:tcPr>
            <w:tcW w:type="dxa" w:w="1000"/>
            <w:tcMar>
              <w:top w:type="dxa" w:w="60"/>
              <w:left w:type="dxa" w:w="90"/>
              <w:bottom w:type="dxa" w:w="60"/>
              <w:right w:type="dxa" w:w="90"/>
            </w:tcMar>
            <w:vAlign w:val="top"/>
          </w:tcPr>
          <w:p>
            <w:pPr>
              <w:spacing w:after="0" w:before="0" w:line="252"/>
            </w:pPr>
            <w:r>
              <w:rPr>
                <w:rFonts w:ascii="Calibri" w:cs="Calibri" w:eastAsia="Calibri" w:hAnsi="Calibri"/>
                <w:b/>
                <w:bCs/>
                <w:sz w:val="18"/>
                <w:szCs w:val="18"/>
              </w:rPr>
              <w:t xml:space="preserve">B4</w:t>
            </w:r>
          </w:p>
        </w:tc>
        <w:tc>
          <w:tcPr>
            <w:tcW w:type="dxa" w:w="626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Does one item instance meet criterion (b) when another does not?</w:t>
            </w:r>
          </w:p>
        </w:tc>
        <w:tc>
          <w:tcPr>
            <w:tcW w:type="dxa" w:w="2100"/>
            <w:tcMar>
              <w:top w:type="dxa" w:w="60"/>
              <w:left w:type="dxa" w:w="90"/>
              <w:bottom w:type="dxa" w:w="60"/>
              <w:right w:type="dxa" w:w="90"/>
            </w:tcMar>
            <w:vAlign w:val="top"/>
          </w:tcPr>
          <w:p>
            <w:pPr>
              <w:spacing w:after="0" w:before="0" w:line="252"/>
            </w:pPr>
            <w:r>
              <w:rPr>
                <w:rFonts w:ascii="Calibri" w:cs="Calibri" w:eastAsia="Calibri" w:hAnsi="Calibri"/>
                <w:sz w:val="18"/>
                <w:szCs w:val="18"/>
              </w:rPr>
              <w:t xml:space="preserve">Separate CIs</w:t>
            </w:r>
          </w:p>
        </w:tc>
      </w:tr>
    </w:tbl>
    <w:p>
      <w:pPr>
        <w:spacing w:after="120" w:before="0"/>
      </w:pPr>
    </w:p>
    <w:p>
      <w:pPr>
        <w:spacing w:after="120" w:line="264"/>
      </w:pPr>
      <w:r>
        <w:rPr>
          <w:rFonts w:ascii="Calibri" w:cs="Calibri" w:eastAsia="Calibri" w:hAnsi="Calibri"/>
        </w:rPr>
        <w:t xml:space="preserve">Any YES means separate CIs against one PIN. The qualifying gates and the model check still apply.</w:t>
      </w:r>
    </w:p>
    <w:p>
      <w:pPr>
        <w:spacing w:after="120" w:line="264"/>
      </w:pPr>
      <w:r>
        <w:rPr>
          <w:rFonts w:ascii="Calibri" w:cs="Calibri" w:eastAsia="Calibri" w:hAnsi="Calibri"/>
          <w:b/>
          <w:bCs/>
        </w:rPr>
        <w:t xml:space="preserve">State the cost before adopting this verdict.</w:t>
      </w:r>
      <w:r>
        <w:rPr>
          <w:rFonts w:ascii="Calibri" w:cs="Calibri" w:eastAsia="Calibri" w:hAnsi="Calibri"/>
        </w:rPr>
        <w:t xml:space="preserve"> One PIN under two CI identifiers carries a consequence for the life of the program. The CI identifier no longer resolves from the item alone. It resolves from the item and its installed position together. The as-built record must carry the CI identifier at the installation, not on the part. Configuration status accounting must key on the CI and the position together. Marking on the part cannot carry the CI identifier. The part is one part number.</w:t>
      </w:r>
    </w:p>
    <w:p>
      <w:pPr>
        <w:spacing w:after="120" w:line="264"/>
      </w:pPr>
      <w:r>
        <w:rPr>
          <w:rFonts w:ascii="Calibri" w:cs="Calibri" w:eastAsia="Calibri" w:hAnsi="Calibri"/>
        </w:rPr>
        <w:t xml:space="preserve">Confirm that the CSA system supports position-keyed CI identity before recording this verdict. Record that confirmation with the rationale.</w:t>
      </w:r>
    </w:p>
    <w:p>
      <w:pPr>
        <w:pStyle w:val="Heading2"/>
        <w:keepNext/>
      </w:pPr>
      <w:r>
        <w:rPr>
          <w:rFonts w:ascii="Calibri" w:cs="Calibri" w:eastAsia="Calibri" w:hAnsi="Calibri"/>
        </w:rPr>
        <w:t xml:space="preserve">D.7 Trigger Rationale and Cautions</w:t>
      </w:r>
    </w:p>
    <w:p>
      <w:pPr>
        <w:pStyle w:val="Heading3"/>
        <w:keepNext/>
      </w:pPr>
      <w:r>
        <w:rPr>
          <w:rFonts w:ascii="Calibri" w:cs="Calibri" w:eastAsia="Calibri" w:hAnsi="Calibri"/>
        </w:rPr>
        <w:t xml:space="preserve">D.7.1 S3: Safety, Either Item, Not Both</w:t>
      </w:r>
    </w:p>
    <w:p>
      <w:pPr>
        <w:spacing w:after="120" w:line="264"/>
      </w:pPr>
      <w:r>
        <w:rPr>
          <w:rFonts w:ascii="Calibri" w:cs="Calibri" w:eastAsia="Calibri" w:hAnsi="Calibri"/>
        </w:rPr>
        <w:t xml:space="preserve">Separate the CIs if any one item meets criterion (b). Do not wait for all of them to meet it.</w:t>
      </w:r>
    </w:p>
    <w:p>
      <w:pPr>
        <w:spacing w:after="120" w:line="264"/>
      </w:pPr>
      <w:r>
        <w:rPr>
          <w:rFonts w:ascii="Calibri" w:cs="Calibri" w:eastAsia="Calibri" w:hAnsi="Calibri"/>
        </w:rPr>
        <w:t xml:space="preserve">An item that meets criterion (b), sharing a CI identifier with an item that does not, produces one of two outcomes. The whole CI inherits the obligations of the safety criterion, and safety change control with it. Or the hazard-to-CI traceability blurs. Both outcomes are worse than a second CI number.</w:t>
      </w:r>
    </w:p>
    <w:p>
      <w:pPr>
        <w:spacing w:after="120" w:line="264"/>
      </w:pPr>
      <w:r>
        <w:rPr>
          <w:rFonts w:ascii="Calibri" w:cs="Calibri" w:eastAsia="Calibri" w:hAnsi="Calibri"/>
        </w:rPr>
        <w:t xml:space="preserve">Separate the CIs when each item meets criterion (b) too. Each one needs distinct hazard traceability. Each one needs an independent effectivity address for safety-driven changes.</w:t>
      </w:r>
    </w:p>
    <w:p>
      <w:pPr>
        <w:spacing w:after="120" w:line="264"/>
      </w:pPr>
      <w:r>
        <w:rPr>
          <w:rFonts w:ascii="Calibri" w:cs="Calibri" w:eastAsia="Calibri" w:hAnsi="Calibri"/>
        </w:rPr>
        <w:t xml:space="preserve">Do not consolidate an item that meets criterion (b) with an item that does not into a shared CI identifier without System Safety concurrence. The terms are the same as for any other decision not to designate an item that meets criterion (b) as a CI.</w:t>
      </w:r>
    </w:p>
    <w:p>
      <w:pPr>
        <w:pStyle w:val="Heading3"/>
        <w:keepNext/>
      </w:pPr>
      <w:r>
        <w:rPr>
          <w:rFonts w:ascii="Calibri" w:cs="Calibri" w:eastAsia="Calibri" w:hAnsi="Calibri"/>
        </w:rPr>
        <w:t xml:space="preserve">D.7.2 S4: The One-Specification Test and the ICD Caution</w:t>
      </w:r>
    </w:p>
    <w:p>
      <w:pPr>
        <w:spacing w:after="120" w:line="264"/>
      </w:pPr>
      <w:r>
        <w:rPr>
          <w:rFonts w:ascii="Calibri" w:cs="Calibri" w:eastAsia="Calibri" w:hAnsi="Calibri"/>
        </w:rPr>
        <w:t xml:space="preserve">One specification must define performance and interfaces for all variants. A tabulated specification is acceptable.</w:t>
      </w:r>
    </w:p>
    <w:p>
      <w:pPr>
        <w:spacing w:after="120" w:line="264"/>
      </w:pPr>
      <w:r>
        <w:rPr>
          <w:rFonts w:ascii="Calibri" w:cs="Calibri" w:eastAsia="Calibri" w:hAnsi="Calibri"/>
        </w:rPr>
        <w:t xml:space="preserve">Interfaces are where consolidation quietly fails. Apply this caution.</w:t>
      </w:r>
    </w:p>
    <w:p>
      <w:pPr>
        <w:spacing w:after="120" w:line="264"/>
      </w:pPr>
      <w:r>
        <w:rPr>
          <w:rFonts w:ascii="Calibri" w:cs="Calibri" w:eastAsia="Calibri" w:hAnsi="Calibri"/>
          <w:b/>
          <w:bCs/>
        </w:rPr>
        <w:t xml:space="preserve">Appearing on the same ICD is not evidence of a common interface.</w:t>
      </w:r>
      <w:r>
        <w:rPr>
          <w:rFonts w:ascii="Calibri" w:cs="Calibri" w:eastAsia="Calibri" w:hAnsi="Calibri"/>
        </w:rPr>
        <w:t xml:space="preserve"> Both items may appear in one ICD. The ICD may still call out separate interfaces for each item. That case requires analysis. Do not stop at “they are on the same ICD.”</w:t>
      </w:r>
    </w:p>
    <w:p>
      <w:pPr>
        <w:spacing w:after="120" w:line="264"/>
      </w:pPr>
      <w:r>
        <w:rPr>
          <w:rFonts w:ascii="Calibri" w:cs="Calibri" w:eastAsia="Calibri" w:hAnsi="Calibri"/>
        </w:rPr>
        <w:t xml:space="preserve">Determine whether one interface definition governs all variants. Determine whether the ICD is instead documenting different interfaces.</w:t>
      </w:r>
    </w:p>
    <w:p>
      <w:pPr>
        <w:spacing w:after="120" w:line="264"/>
      </w:pPr>
      <w:r>
        <w:rPr>
          <w:rFonts w:ascii="Calibri" w:cs="Calibri" w:eastAsia="Calibri" w:hAnsi="Calibri"/>
        </w:rPr>
        <w:t xml:space="preserve">Distinct interface callouts usually mean different mating definitions. They usually mean separate interface change traffic. Both are grounds for separate effectivity under S6. Both are grounds for separate CIs outright.</w:t>
      </w:r>
    </w:p>
    <w:p>
      <w:pPr>
        <w:spacing w:after="120" w:line="264"/>
      </w:pPr>
      <w:r>
        <w:rPr>
          <w:rFonts w:ascii="Calibri" w:cs="Calibri" w:eastAsia="Calibri" w:hAnsi="Calibri"/>
        </w:rPr>
        <w:t xml:space="preserve">Record the analysis outcome in the rationale. Make sure the interface register identifies which variant each interface row applies to.</w:t>
      </w:r>
    </w:p>
    <w:p>
      <w:pPr>
        <w:pStyle w:val="Heading3"/>
        <w:keepNext/>
      </w:pPr>
      <w:r>
        <w:rPr>
          <w:rFonts w:ascii="Calibri" w:cs="Calibri" w:eastAsia="Calibri" w:hAnsi="Calibri"/>
        </w:rPr>
        <w:t xml:space="preserve">D.7.3 S5: Verification</w:t>
      </w:r>
    </w:p>
    <w:p>
      <w:pPr>
        <w:spacing w:after="120" w:line="264"/>
      </w:pPr>
      <w:r>
        <w:rPr>
          <w:rFonts w:ascii="Calibri" w:cs="Calibri" w:eastAsia="Calibri" w:hAnsi="Calibri"/>
        </w:rPr>
        <w:t xml:space="preserve">One qualification and acceptance basis must cover all variants.</w:t>
      </w:r>
    </w:p>
    <w:p>
      <w:pPr>
        <w:spacing w:after="120" w:line="264"/>
      </w:pPr>
      <w:r>
        <w:rPr>
          <w:rFonts w:ascii="Calibri" w:cs="Calibri" w:eastAsia="Calibri" w:hAnsi="Calibri"/>
        </w:rPr>
        <w:t xml:space="preserve">Designate separately where variants need separate definition of performance and test requirements. Designate separately where variants must be verified independently, to different requirements or by different plans.</w:t>
      </w:r>
    </w:p>
    <w:p>
      <w:pPr>
        <w:spacing w:after="120" w:line="264"/>
      </w:pPr>
      <w:r>
        <w:rPr>
          <w:rFonts w:ascii="Calibri" w:cs="Calibri" w:eastAsia="Calibri" w:hAnsi="Calibri"/>
        </w:rPr>
        <w:t xml:space="preserve">The verification picture is often unknown early. Obtain it before deciding. This trigger is frequently the deciding fact.</w:t>
      </w:r>
    </w:p>
    <w:p>
      <w:pPr>
        <w:pStyle w:val="Heading3"/>
        <w:keepNext/>
      </w:pPr>
      <w:r>
        <w:rPr>
          <w:rFonts w:ascii="Calibri" w:cs="Calibri" w:eastAsia="Calibri" w:hAnsi="Calibri"/>
        </w:rPr>
        <w:t xml:space="preserve">D.7.4 S6: Change or Maintenance Effectivity Address</w:t>
      </w:r>
    </w:p>
    <w:p>
      <w:pPr>
        <w:spacing w:after="120" w:line="264"/>
      </w:pPr>
      <w:r>
        <w:rPr>
          <w:rFonts w:ascii="Calibri" w:cs="Calibri" w:eastAsia="Calibri" w:hAnsi="Calibri"/>
        </w:rPr>
        <w:t xml:space="preserve">This is the practical day-to-day discriminator.</w:t>
      </w:r>
    </w:p>
    <w:p>
      <w:pPr>
        <w:spacing w:after="120" w:line="264"/>
      </w:pPr>
      <w:r>
        <w:rPr>
          <w:rFonts w:ascii="Calibri" w:cs="Calibri" w:eastAsia="Calibri" w:hAnsi="Calibri"/>
        </w:rPr>
        <w:t xml:space="preserve">A change or maintenance interval to one item may need to be dispositioned, tracked, and cut in independently of the others. Where that is routine, each item needs its own effectivity address. That is a primary reason separate CIs exist.</w:t>
      </w:r>
    </w:p>
    <w:p>
      <w:pPr>
        <w:spacing w:after="120" w:line="264"/>
      </w:pPr>
      <w:r>
        <w:rPr>
          <w:rFonts w:ascii="Calibri" w:cs="Calibri" w:eastAsia="Calibri" w:hAnsi="Calibri"/>
        </w:rPr>
        <w:t xml:space="preserve">Where changes or maintenance tasking normally apply across the family, one CI is sufficient.</w:t>
      </w:r>
    </w:p>
    <w:p>
      <w:pPr>
        <w:spacing w:after="120" w:line="264"/>
      </w:pPr>
      <w:r>
        <w:rPr>
          <w:rFonts w:ascii="Calibri" w:cs="Calibri" w:eastAsia="Calibri" w:hAnsi="Calibri"/>
          <w:b/>
          <w:bCs/>
        </w:rPr>
        <w:t xml:space="preserve">The influencing part.</w:t>
      </w:r>
      <w:r>
        <w:rPr>
          <w:rFonts w:ascii="Calibri" w:cs="Calibri" w:eastAsia="Calibri" w:hAnsi="Calibri"/>
        </w:rPr>
        <w:t xml:space="preserve"> An influencing part carries no life limit of its own. Its own failure has no hazardous effect. It fails the safety criterion by its own definition. It still needs an independent effectivity address, because the approved lifing basis of the part it governs depends on its configuration. S3 will not catch it. S6 will. See the influencing part discussion in the criticality designations appendix.</w:t>
      </w:r>
    </w:p>
    <w:p>
      <w:pPr>
        <w:pStyle w:val="Heading2"/>
        <w:keepNext/>
      </w:pPr>
      <w:r>
        <w:rPr>
          <w:rFonts w:ascii="Calibri" w:cs="Calibri" w:eastAsia="Calibri" w:hAnsi="Calibri"/>
        </w:rPr>
        <w:t xml:space="preserve">D.8 MBSE Alignment</w:t>
      </w:r>
    </w:p>
    <w:p>
      <w:pPr>
        <w:spacing w:after="120" w:line="264"/>
      </w:pPr>
      <w:r>
        <w:rPr>
          <w:rFonts w:ascii="Calibri" w:cs="Calibri" w:eastAsia="Calibri" w:hAnsi="Calibri"/>
        </w:rPr>
        <w:t xml:space="preserve">Where MBSE is used, the CI structure mirrors the model decomposition. The two diverge only where Systems Engineering accepts a departure and CM records the reason. Three rules govern how this appendix interacts with the model.</w:t>
      </w:r>
    </w:p>
    <w:p>
      <w:pPr>
        <w:pStyle w:val="Heading3"/>
        <w:keepNext/>
      </w:pPr>
      <w:r>
        <w:rPr>
          <w:rFonts w:ascii="Calibri" w:cs="Calibri" w:eastAsia="Calibri" w:hAnsi="Calibri"/>
        </w:rPr>
        <w:t xml:space="preserve">D.8.1 The Model Informs. It Does Not Decide.</w:t>
      </w:r>
    </w:p>
    <w:p>
      <w:pPr>
        <w:spacing w:after="120" w:line="264"/>
      </w:pPr>
      <w:r>
        <w:rPr>
          <w:rFonts w:ascii="Calibri" w:cs="Calibri" w:eastAsia="Calibri" w:hAnsi="Calibri"/>
        </w:rPr>
        <w:t xml:space="preserve">Answer S2 from the model where a model exists.</w:t>
      </w:r>
    </w:p>
    <w:p>
      <w:pPr>
        <w:spacing w:after="120" w:line="264"/>
      </w:pPr>
      <w:r>
        <w:rPr>
          <w:rFonts w:ascii="Calibri" w:cs="Calibri" w:eastAsia="Calibri" w:hAnsi="Calibri"/>
        </w:rPr>
        <w:t xml:space="preserve">The model’s current abstraction of the candidate items is not itself a verdict. One element or sibling elements, either way, the abstraction is not the answer. SysML can legitimately represent a variant family either way. One logical block with multiple physical realizations is valid. Sibling blocks are valid.</w:t>
      </w:r>
    </w:p>
    <w:p>
      <w:pPr>
        <w:spacing w:after="120" w:line="264"/>
      </w:pPr>
      <w:r>
        <w:rPr>
          <w:rFonts w:ascii="Calibri" w:cs="Calibri" w:eastAsia="Calibri" w:hAnsi="Calibri"/>
        </w:rPr>
        <w:t xml:space="preserve">A mismatch between the model and this screen may mean only that the architect stopped abstracting at a different level. It does not mean either view is wrong. The screen result is engineering evidence for which representation is correct.</w:t>
      </w:r>
    </w:p>
    <w:p>
      <w:pPr>
        <w:pStyle w:val="Heading3"/>
        <w:keepNext/>
      </w:pPr>
      <w:r>
        <w:rPr>
          <w:rFonts w:ascii="Calibri" w:cs="Calibri" w:eastAsia="Calibri" w:hAnsi="Calibri"/>
        </w:rPr>
        <w:t xml:space="preserve">D.8.2 Adjudicating the CI Question May Drive Changes to the Model</w:t>
      </w:r>
    </w:p>
    <w:p>
      <w:pPr>
        <w:spacing w:after="120" w:line="264"/>
      </w:pPr>
      <w:r>
        <w:rPr>
          <w:rFonts w:ascii="Calibri" w:cs="Calibri" w:eastAsia="Calibri" w:hAnsi="Calibri"/>
        </w:rPr>
        <w:t xml:space="preserve">That is an expected outcome of the process. It is not a workaround.</w:t>
      </w:r>
    </w:p>
    <w:p>
      <w:pPr>
        <w:spacing w:after="120" w:line="264"/>
      </w:pPr>
      <w:r>
        <w:rPr>
          <w:rFonts w:ascii="Calibri" w:cs="Calibri" w:eastAsia="Calibri" w:hAnsi="Calibri"/>
        </w:rPr>
        <w:t xml:space="preserve">The screen may require separate CIs where the model shows one element. It may support one CI where the model shows siblings. CM raises the discrepancy to Systems Engineering as a model disposition item.</w:t>
      </w:r>
    </w:p>
    <w:p>
      <w:pPr>
        <w:spacing w:after="120" w:line="264"/>
      </w:pPr>
      <w:r>
        <w:rPr>
          <w:rFonts w:ascii="Calibri" w:cs="Calibri" w:eastAsia="Calibri" w:hAnsi="Calibri"/>
        </w:rPr>
        <w:t xml:space="preserve">Where SE concurs, the model is corrected. The decomposition change is itself a re-evaluation trigger. The process loops as designed.</w:t>
      </w:r>
    </w:p>
    <w:p>
      <w:pPr>
        <w:spacing w:after="120" w:line="264"/>
      </w:pPr>
      <w:r>
        <w:rPr>
          <w:rFonts w:ascii="Calibri" w:cs="Calibri" w:eastAsia="Calibri" w:hAnsi="Calibri"/>
        </w:rPr>
        <w:t xml:space="preserve">Where SE accepts the divergence instead, the CI structure departs from the model by decision. CM records the reason as a model alignment exception in the CI index.</w:t>
      </w:r>
    </w:p>
    <w:p>
      <w:pPr>
        <w:spacing w:after="120" w:line="264"/>
      </w:pPr>
      <w:r>
        <w:rPr>
          <w:rFonts w:ascii="Calibri" w:cs="Calibri" w:eastAsia="Calibri" w:hAnsi="Calibri"/>
        </w:rPr>
        <w:t xml:space="preserve">Where SE does not concur, the disagreement is a genuine engineering dispute. Resolve it at a technical review.</w:t>
      </w:r>
    </w:p>
    <w:p>
      <w:pPr>
        <w:spacing w:after="120" w:line="264"/>
      </w:pPr>
      <w:r>
        <w:rPr>
          <w:rFonts w:ascii="Calibri" w:cs="Calibri" w:eastAsia="Calibri" w:hAnsi="Calibri"/>
        </w:rPr>
        <w:t xml:space="preserve">CM does not override the architecture unilaterally. Systems Engineering does not silently overrule the CI screen.</w:t>
      </w:r>
    </w:p>
    <w:p>
      <w:pPr>
        <w:pStyle w:val="Heading3"/>
        <w:keepNext/>
      </w:pPr>
      <w:r>
        <w:rPr>
          <w:rFonts w:ascii="Calibri" w:cs="Calibri" w:eastAsia="Calibri" w:hAnsi="Calibri"/>
        </w:rPr>
        <w:t xml:space="preserve">D.8.3 Record Only After Model Disposition</w:t>
      </w:r>
    </w:p>
    <w:p>
      <w:pPr>
        <w:spacing w:after="120" w:line="264"/>
      </w:pPr>
      <w:r>
        <w:rPr>
          <w:rFonts w:ascii="Calibri" w:cs="Calibri" w:eastAsia="Calibri" w:hAnsi="Calibri"/>
        </w:rPr>
        <w:t xml:space="preserve">Do not designate two CIs against one model element, or consolidate two model elements under one CI, before Systems Engineering dispositions the mismatch.</w:t>
      </w:r>
    </w:p>
    <w:p>
      <w:pPr>
        <w:spacing w:after="120" w:line="264"/>
      </w:pPr>
      <w:r>
        <w:rPr>
          <w:rFonts w:ascii="Calibri" w:cs="Calibri" w:eastAsia="Calibri" w:hAnsi="Calibri"/>
        </w:rPr>
        <w:t xml:space="preserve">Disposition has two outcomes. Systems Engineering corrects the model, and the verdict is recorded normally. Or Systems Engineering accepts the divergence, and the verdict is recorded with the reason as a model alignment exception in the CI index. Recording before disposition creates an untraced second decomposition. The MBSE alignment guidance prohibits that.</w:t>
      </w:r>
    </w:p>
    <w:p>
      <w:pPr>
        <w:spacing w:after="120" w:line="264"/>
      </w:pPr>
      <w:r>
        <w:rPr>
          <w:rFonts w:ascii="Calibri" w:cs="Calibri" w:eastAsia="Calibri" w:hAnsi="Calibri"/>
        </w:rPr>
        <w:t xml:space="preserve">The model check enforces this. A verdict that mismatches the model is held. It is routed to Systems Engineering. It is recorded only after disposition.</w:t>
      </w:r>
    </w:p>
    <w:p>
      <w:pPr>
        <w:pStyle w:val="Heading2"/>
        <w:keepNext/>
      </w:pPr>
      <w:r>
        <w:rPr>
          <w:rFonts w:ascii="Calibri" w:cs="Calibri" w:eastAsia="Calibri" w:hAnsi="Calibri"/>
        </w:rPr>
        <w:t xml:space="preserve">D.9 Recording the Result</w:t>
      </w:r>
    </w:p>
    <w:p>
      <w:pPr>
        <w:pStyle w:val="ListParagraph"/>
        <w:numPr>
          <w:ilvl w:val="0"/>
          <w:numId w:val="2"/>
        </w:numPr>
        <w:spacing w:after="80" w:line="264"/>
      </w:pPr>
      <w:r>
        <w:rPr>
          <w:rFonts w:ascii="Calibri" w:cs="Calibri" w:eastAsia="Calibri" w:hAnsi="Calibri"/>
        </w:rPr>
        <w:t xml:space="preserve">Complete a CI selection criteria checklist for each item, or one for each consolidated CI. Cite every trigger that fired as the rationale.</w:t>
      </w:r>
    </w:p>
    <w:p>
      <w:pPr>
        <w:pStyle w:val="ListParagraph"/>
        <w:numPr>
          <w:ilvl w:val="0"/>
          <w:numId w:val="2"/>
        </w:numPr>
        <w:spacing w:after="80" w:line="264"/>
      </w:pPr>
      <w:r>
        <w:rPr>
          <w:rFonts w:ascii="Calibri" w:cs="Calibri" w:eastAsia="Calibri" w:hAnsi="Calibri"/>
        </w:rPr>
        <w:t xml:space="preserve">Apply the product unit record-structure test to each variant and to its component parts. One CI may contain parts of more than one product unit record structure. The product unit record structure follows that test. It does not follow CI status, and it does not follow the verdict reached here.</w:t>
      </w:r>
    </w:p>
    <w:p>
      <w:pPr>
        <w:pStyle w:val="ListParagraph"/>
        <w:numPr>
          <w:ilvl w:val="0"/>
          <w:numId w:val="2"/>
        </w:numPr>
        <w:spacing w:after="80" w:line="264"/>
      </w:pPr>
      <w:r>
        <w:rPr>
          <w:rFonts w:ascii="Calibri" w:cs="Calibri" w:eastAsia="Calibri" w:hAnsi="Calibri"/>
          <w:b/>
          <w:bCs/>
        </w:rPr>
        <w:t xml:space="preserve">One-CI verdicts.</w:t>
      </w:r>
      <w:r>
        <w:rPr>
          <w:rFonts w:ascii="Calibri" w:cs="Calibri" w:eastAsia="Calibri" w:hAnsi="Calibri"/>
        </w:rPr>
        <w:t xml:space="preserve"> Record the CI-to-PIN variant mapping in the CI index. Tabulate the specification by variant. Identify variant applicability on each interface register row.</w:t>
      </w:r>
    </w:p>
    <w:p>
      <w:pPr>
        <w:pStyle w:val="ListParagraph"/>
        <w:numPr>
          <w:ilvl w:val="0"/>
          <w:numId w:val="2"/>
        </w:numPr>
        <w:spacing w:after="80" w:line="264"/>
      </w:pPr>
      <w:r>
        <w:rPr>
          <w:rFonts w:ascii="Calibri" w:cs="Calibri" w:eastAsia="Calibri" w:hAnsi="Calibri"/>
          <w:b/>
          <w:bCs/>
        </w:rPr>
        <w:t xml:space="preserve">Separate-CI verdicts.</w:t>
      </w:r>
      <w:r>
        <w:rPr>
          <w:rFonts w:ascii="Calibri" w:cs="Calibri" w:eastAsia="Calibri" w:hAnsi="Calibri"/>
        </w:rPr>
        <w:t xml:space="preserve"> Map each new CI’s interfaces in the interface register. Confirm with Systems Engineering that every interface between the new CIs is defined in an interface source.</w:t>
      </w:r>
    </w:p>
    <w:p>
      <w:pPr>
        <w:pStyle w:val="ListParagraph"/>
        <w:numPr>
          <w:ilvl w:val="0"/>
          <w:numId w:val="2"/>
        </w:numPr>
        <w:spacing w:after="80" w:line="264"/>
      </w:pPr>
      <w:r>
        <w:rPr>
          <w:rFonts w:ascii="Calibri" w:cs="Calibri" w:eastAsia="Calibri" w:hAnsi="Calibri"/>
          <w:b/>
          <w:bCs/>
        </w:rPr>
        <w:t xml:space="preserve">One-PIN-multiple-CI verdicts.</w:t>
      </w:r>
      <w:r>
        <w:rPr>
          <w:rFonts w:ascii="Calibri" w:cs="Calibri" w:eastAsia="Calibri" w:hAnsi="Calibri"/>
        </w:rPr>
        <w:t xml:space="preserve"> In the CI index, record the next higher assembly PIN and the quantity per next higher assembly on each CI row. In CSA, key the CI identifier on the CI and the installed position together. Record the CSA confirmation with the rationale.</w:t>
      </w:r>
    </w:p>
    <w:p>
      <w:pPr>
        <w:pStyle w:val="ListParagraph"/>
        <w:numPr>
          <w:ilvl w:val="0"/>
          <w:numId w:val="2"/>
        </w:numPr>
        <w:spacing w:after="80" w:line="264"/>
      </w:pPr>
      <w:r>
        <w:rPr>
          <w:rFonts w:ascii="Calibri" w:cs="Calibri" w:eastAsia="Calibri" w:hAnsi="Calibri"/>
          <w:b/>
          <w:bCs/>
        </w:rPr>
        <w:t xml:space="preserve">All verdicts.</w:t>
      </w:r>
      <w:r>
        <w:rPr>
          <w:rFonts w:ascii="Calibri" w:cs="Calibri" w:eastAsia="Calibri" w:hAnsi="Calibri"/>
        </w:rPr>
        <w:t xml:space="preserve"> Submit for Acquirer concurrence. Record in the CSA system. Re-run this assessment on any trigger. A variant’s specification, verification, effectivity, or safety classification may diverge later. Each divergence is a trigger.</w:t>
      </w:r>
    </w:p>
    <w:p>
      <w:pPr>
        <w:pStyle w:val="Heading2"/>
        <w:keepNext/>
      </w:pPr>
      <w:r>
        <w:rPr>
          <w:rFonts w:ascii="Calibri" w:cs="Calibri" w:eastAsia="Calibri" w:hAnsi="Calibri"/>
        </w:rPr>
        <w:t xml:space="preserve">D.10 Splits and Consolidations</w:t>
      </w:r>
    </w:p>
    <w:p>
      <w:pPr>
        <w:spacing w:after="120" w:line="264"/>
      </w:pPr>
      <w:r>
        <w:rPr>
          <w:rFonts w:ascii="Calibri" w:cs="Calibri" w:eastAsia="Calibri" w:hAnsi="Calibri"/>
        </w:rPr>
        <w:t xml:space="preserve">A verdict sometimes changes a CI designation that already exists. One CI becomes two. Two CIs become one. Establish the current CI designation before running the gates. The same verdict means different work depending on where the assessment started.</w:t>
      </w:r>
    </w:p>
    <w:p>
      <w:pPr>
        <w:spacing w:after="120" w:line="264"/>
      </w:pPr>
      <w:r>
        <w:rPr>
          <w:rFonts w:ascii="Calibri" w:cs="Calibri" w:eastAsia="Calibri" w:hAnsi="Calibri"/>
        </w:rPr>
        <w:t xml:space="preserve">Both cases are selection changes. Submit both for Acquirer concurrence.</w:t>
      </w:r>
    </w:p>
    <w:p>
      <w:pPr>
        <w:pStyle w:val="Heading3"/>
        <w:keepNext/>
      </w:pPr>
      <w:r>
        <w:rPr>
          <w:rFonts w:ascii="Calibri" w:cs="Calibri" w:eastAsia="Calibri" w:hAnsi="Calibri"/>
        </w:rPr>
        <w:t xml:space="preserve">D.10.1 A Split</w:t>
      </w:r>
    </w:p>
    <w:p>
      <w:pPr>
        <w:spacing w:after="120" w:line="264"/>
      </w:pPr>
      <w:r>
        <w:rPr>
          <w:rFonts w:ascii="Calibri" w:cs="Calibri" w:eastAsia="Calibri" w:hAnsi="Calibri"/>
        </w:rPr>
        <w:t xml:space="preserve">One CI today. The gates return separate CIs.</w:t>
      </w:r>
    </w:p>
    <w:p>
      <w:pPr>
        <w:pStyle w:val="ListParagraph"/>
        <w:numPr>
          <w:ilvl w:val="0"/>
          <w:numId w:val="2"/>
        </w:numPr>
        <w:spacing w:after="80" w:line="264"/>
      </w:pPr>
      <w:r>
        <w:rPr>
          <w:rFonts w:ascii="Calibri" w:cs="Calibri" w:eastAsia="Calibri" w:hAnsi="Calibri"/>
        </w:rPr>
        <w:t xml:space="preserve">CI identifiers change. PINs move only on a non-interchangeable condition. Product unit identifiers never move. A modified unit keeps its original unit identifier even though the PIN changes.</w:t>
      </w:r>
    </w:p>
    <w:p>
      <w:pPr>
        <w:pStyle w:val="ListParagraph"/>
        <w:numPr>
          <w:ilvl w:val="0"/>
          <w:numId w:val="2"/>
        </w:numPr>
        <w:spacing w:after="80" w:line="264"/>
      </w:pPr>
      <w:r>
        <w:rPr>
          <w:rFonts w:ascii="Calibri" w:cs="Calibri" w:eastAsia="Calibri" w:hAnsi="Calibri"/>
        </w:rPr>
        <w:t xml:space="preserve">Re-map every interface register row that landed on the old CI, and supersede each old row with its re-mapped row. Re-map the old CI’s Internal rows too. A split creates boundaries that did not exist before, so an interface inside the old CI may now cross one. Ask Systems Engineering whether the new CIs exchange anything no interface source yet defines.</w:t>
      </w:r>
    </w:p>
    <w:p>
      <w:pPr>
        <w:pStyle w:val="ListParagraph"/>
        <w:numPr>
          <w:ilvl w:val="0"/>
          <w:numId w:val="2"/>
        </w:numPr>
        <w:spacing w:after="80" w:line="264"/>
      </w:pPr>
      <w:r>
        <w:rPr>
          <w:rFonts w:ascii="Calibri" w:cs="Calibri" w:eastAsia="Calibri" w:hAnsi="Calibri"/>
        </w:rPr>
        <w:t xml:space="preserve">Retain the old CI index row. Set its status to Superseded (split). Record the new CI identifiers against it, and the old identifier against each new row. Never delete it. The old identifier is the trace to everything recorded against it.</w:t>
      </w:r>
    </w:p>
    <w:p>
      <w:pPr>
        <w:pStyle w:val="Heading3"/>
        <w:keepNext/>
      </w:pPr>
      <w:r>
        <w:rPr>
          <w:rFonts w:ascii="Calibri" w:cs="Calibri" w:eastAsia="Calibri" w:hAnsi="Calibri"/>
        </w:rPr>
        <w:t xml:space="preserve">D.10.2 A Consolidation</w:t>
      </w:r>
    </w:p>
    <w:p>
      <w:pPr>
        <w:spacing w:after="120" w:line="264"/>
      </w:pPr>
      <w:r>
        <w:rPr>
          <w:rFonts w:ascii="Calibri" w:cs="Calibri" w:eastAsia="Calibri" w:hAnsi="Calibri"/>
        </w:rPr>
        <w:t xml:space="preserve">Separate CIs today. The gates return one CI.</w:t>
      </w:r>
    </w:p>
    <w:p>
      <w:pPr>
        <w:pStyle w:val="ListParagraph"/>
        <w:numPr>
          <w:ilvl w:val="0"/>
          <w:numId w:val="2"/>
        </w:numPr>
        <w:spacing w:after="80" w:line="264"/>
      </w:pPr>
      <w:r>
        <w:rPr>
          <w:rFonts w:ascii="Calibri" w:cs="Calibri" w:eastAsia="Calibri" w:hAnsi="Calibri"/>
        </w:rPr>
        <w:t xml:space="preserve">The interfaces between the old CIs now lie within one CI. Supersede each of those interface register rows with an Internal row, and record why. Never delete them. Do not leave a Mapped row pointing at a boundary that no longer exists.</w:t>
      </w:r>
    </w:p>
    <w:p>
      <w:pPr>
        <w:pStyle w:val="ListParagraph"/>
        <w:numPr>
          <w:ilvl w:val="0"/>
          <w:numId w:val="2"/>
        </w:numPr>
        <w:spacing w:after="80" w:line="264"/>
      </w:pPr>
      <w:r>
        <w:rPr>
          <w:rFonts w:ascii="Calibri" w:cs="Calibri" w:eastAsia="Calibri" w:hAnsi="Calibri"/>
        </w:rPr>
        <w:t xml:space="preserve">Retain the old CI index rows. Set their status to Superseded (consolidated), and record the new CI identifier against each.</w:t>
      </w:r>
    </w:p>
    <w:p>
      <w:pPr>
        <w:pStyle w:val="ListParagraph"/>
        <w:numPr>
          <w:ilvl w:val="0"/>
          <w:numId w:val="2"/>
        </w:numPr>
        <w:spacing w:after="80" w:line="264"/>
      </w:pPr>
      <w:r>
        <w:rPr>
          <w:rFonts w:ascii="Calibri" w:cs="Calibri" w:eastAsia="Calibri" w:hAnsi="Calibri"/>
        </w:rPr>
        <w:t xml:space="preserve">PINs do not merge. Each variant keeps its own PIN beneath the one CI. Consolidating the CI identifier does not make the variants interchangeable.</w:t>
      </w:r>
    </w:p>
    <w:p>
      <w:pPr>
        <w:pStyle w:val="Heading3"/>
        <w:keepNext/>
      </w:pPr>
      <w:r>
        <w:rPr>
          <w:rFonts w:ascii="Calibri" w:cs="Calibri" w:eastAsia="Calibri" w:hAnsi="Calibri"/>
        </w:rPr>
        <w:t xml:space="preserve">D.10.3 Both Cases</w:t>
      </w:r>
    </w:p>
    <w:p>
      <w:pPr>
        <w:spacing w:after="120" w:line="264"/>
      </w:pPr>
      <w:r>
        <w:rPr>
          <w:rFonts w:ascii="Calibri" w:cs="Calibri" w:eastAsia="Calibri" w:hAnsi="Calibri"/>
        </w:rPr>
        <w:t xml:space="preserve">Apply the product unit record-structure test again. The product unit record structure follows that test, not the CI structure. A split does not create a serialization obligation. A consolidation does not remove one.</w:t>
      </w:r>
    </w:p>
    <w:p>
      <w:pPr>
        <w:spacing w:after="120" w:line="264"/>
      </w:pPr>
      <w:r>
        <w:rPr>
          <w:rFonts w:ascii="Calibri" w:cs="Calibri" w:eastAsia="Calibri" w:hAnsi="Calibri"/>
        </w:rPr>
        <w:t xml:space="preserve">A change to the CI structure is a re-evaluation trigger in its own right. Where MBSE is used, the model check applies to the changed structure before it is recorded.</w:t>
      </w:r>
    </w:p>
    <w:p>
      <w:pPr>
        <w:pStyle w:val="Heading2"/>
        <w:keepNext/>
      </w:pPr>
      <w:r>
        <w:rPr>
          <w:rFonts w:ascii="Calibri" w:cs="Calibri" w:eastAsia="Calibri" w:hAnsi="Calibri"/>
        </w:rPr>
        <w:t xml:space="preserve">D.11 Worked Example: Three Relays</w:t>
      </w:r>
    </w:p>
    <w:p>
      <w:pPr>
        <w:spacing w:after="120" w:line="264"/>
      </w:pPr>
      <w:r>
        <w:rPr>
          <w:rFonts w:ascii="Calibri" w:cs="Calibri" w:eastAsia="Calibri" w:hAnsi="Calibri"/>
        </w:rPr>
        <w:t xml:space="preserve">Three relays carry different part numbers. They perform the same end-use function. They sit under the same parent. They come from the same vendor. They share maintenance requirements. None meets criterion (b). Their interfaces differ slightly. Verification requirements are unknown.</w:t>
      </w:r>
    </w:p>
    <w:p>
      <w:pPr>
        <w:spacing w:after="120" w:line="264"/>
      </w:pPr>
      <w:r>
        <w:rPr>
          <w:rFonts w:ascii="Calibri" w:cs="Calibri" w:eastAsia="Calibri" w:hAnsi="Calibri"/>
          <w:b/>
          <w:bCs/>
        </w:rPr>
        <w:t xml:space="preserve">Scope cautions.</w:t>
      </w:r>
      <w:r>
        <w:rPr>
          <w:rFonts w:ascii="Calibri" w:cs="Calibri" w:eastAsia="Calibri" w:hAnsi="Calibri"/>
        </w:rPr>
        <w:t xml:space="preserve"> The relays are vendor catalog items. The company procures each one as a unit. Compare them as procured. Do not decompose them.</w:t>
      </w:r>
    </w:p>
    <w:p>
      <w:pPr>
        <w:spacing w:after="120" w:line="264"/>
      </w:pPr>
      <w:r>
        <w:rPr>
          <w:rFonts w:ascii="Calibri" w:cs="Calibri" w:eastAsia="Calibri" w:hAnsi="Calibri"/>
          <w:b/>
          <w:bCs/>
        </w:rPr>
        <w:t xml:space="preserve">Q1 and Q2.</w:t>
      </w:r>
      <w:r>
        <w:rPr>
          <w:rFonts w:ascii="Calibri" w:cs="Calibri" w:eastAsia="Calibri" w:hAnsi="Calibri"/>
        </w:rPr>
        <w:t xml:space="preserve"> The relays pass the end-use function gate. Whether they meet a selection criterion is a separate question. Required logistics elements and Acquirer direction are the usual ones. Suppose no criterion applies. Then they are parts under the parent CI with three PINs. Stop there.</w:t>
      </w:r>
    </w:p>
    <w:p>
      <w:pPr>
        <w:spacing w:after="120" w:line="264"/>
      </w:pPr>
      <w:r>
        <w:rPr>
          <w:rFonts w:ascii="Calibri" w:cs="Calibri" w:eastAsia="Calibri" w:hAnsi="Calibri"/>
          <w:b/>
          <w:bCs/>
        </w:rPr>
        <w:t xml:space="preserve">S1 and S2.</w:t>
      </w:r>
      <w:r>
        <w:rPr>
          <w:rFonts w:ascii="Calibri" w:cs="Calibri" w:eastAsia="Calibri" w:hAnsi="Calibri"/>
        </w:rPr>
        <w:t xml:space="preserve"> Same function. Same parent. Neither triggers.</w:t>
      </w:r>
    </w:p>
    <w:p>
      <w:pPr>
        <w:spacing w:after="120" w:line="264"/>
      </w:pPr>
      <w:r>
        <w:rPr>
          <w:rFonts w:ascii="Calibri" w:cs="Calibri" w:eastAsia="Calibri" w:hAnsi="Calibri"/>
          <w:b/>
          <w:bCs/>
        </w:rPr>
        <w:t xml:space="preserve">S3.</w:t>
      </w:r>
      <w:r>
        <w:rPr>
          <w:rFonts w:ascii="Calibri" w:cs="Calibri" w:eastAsia="Calibri" w:hAnsi="Calibri"/>
        </w:rPr>
        <w:t xml:space="preserve"> No relay meets criterion (b). Does not trigger.</w:t>
      </w:r>
    </w:p>
    <w:p>
      <w:pPr>
        <w:spacing w:after="120" w:line="264"/>
      </w:pPr>
      <w:r>
        <w:rPr>
          <w:rFonts w:ascii="Calibri" w:cs="Calibri" w:eastAsia="Calibri" w:hAnsi="Calibri"/>
          <w:b/>
          <w:bCs/>
        </w:rPr>
        <w:t xml:space="preserve">S4.</w:t>
      </w:r>
      <w:r>
        <w:rPr>
          <w:rFonts w:ascii="Calibri" w:cs="Calibri" w:eastAsia="Calibri" w:hAnsi="Calibri"/>
        </w:rPr>
        <w:t xml:space="preserve"> Slightly different interfaces is exactly the ICD caution. One tabulated specification with per-variant interface callouts may genuinely govern all three. Then S4 does not trigger. The interface definitions may instead be distinct enough to need separate documents or separate interface change traffic. Then S4 triggers and the relays are separate CIs.</w:t>
      </w:r>
    </w:p>
    <w:p>
      <w:pPr>
        <w:spacing w:after="120" w:line="264"/>
      </w:pPr>
      <w:r>
        <w:rPr>
          <w:rFonts w:ascii="Calibri" w:cs="Calibri" w:eastAsia="Calibri" w:hAnsi="Calibri"/>
          <w:b/>
          <w:bCs/>
        </w:rPr>
        <w:t xml:space="preserve">S5.</w:t>
      </w:r>
      <w:r>
        <w:rPr>
          <w:rFonts w:ascii="Calibri" w:cs="Calibri" w:eastAsia="Calibri" w:hAnsi="Calibri"/>
        </w:rPr>
        <w:t xml:space="preserve"> Obtain the verification answer before deciding. This is the open deciding fact. Same qualification and acceptance basis, and S5 does not trigger. Different basis, and it does.</w:t>
      </w:r>
    </w:p>
    <w:p>
      <w:pPr>
        <w:spacing w:after="120" w:line="264"/>
      </w:pPr>
      <w:r>
        <w:rPr>
          <w:rFonts w:ascii="Calibri" w:cs="Calibri" w:eastAsia="Calibri" w:hAnsi="Calibri"/>
          <w:b/>
          <w:bCs/>
        </w:rPr>
        <w:t xml:space="preserve">S6 and S7.</w:t>
      </w:r>
      <w:r>
        <w:rPr>
          <w:rFonts w:ascii="Calibri" w:cs="Calibri" w:eastAsia="Calibri" w:hAnsi="Calibri"/>
        </w:rPr>
        <w:t xml:space="preserve"> Relay changes cut in family-wide. No external driver separates them. Neither triggers.</w:t>
      </w:r>
    </w:p>
    <w:p>
      <w:pPr>
        <w:spacing w:after="120" w:line="264"/>
      </w:pPr>
      <w:r>
        <w:rPr>
          <w:rFonts w:ascii="Calibri" w:cs="Calibri" w:eastAsia="Calibri" w:hAnsi="Calibri"/>
          <w:b/>
          <w:bCs/>
        </w:rPr>
        <w:t xml:space="preserve">Verdict.</w:t>
      </w:r>
      <w:r>
        <w:rPr>
          <w:rFonts w:ascii="Calibri" w:cs="Calibri" w:eastAsia="Calibri" w:hAnsi="Calibri"/>
        </w:rPr>
        <w:t xml:space="preserve"> No trigger fires. One CI with three PIN variants. Record the variant mapping in the CI index.</w:t>
      </w:r>
    </w:p>
    <w:p>
      <w:pPr>
        <w:spacing w:after="120" w:line="264"/>
      </w:pPr>
      <w:r>
        <w:rPr>
          <w:rFonts w:ascii="Calibri" w:cs="Calibri" w:eastAsia="Calibri" w:hAnsi="Calibri"/>
          <w:b/>
          <w:bCs/>
        </w:rPr>
        <w:t xml:space="preserve">Model check.</w:t>
      </w:r>
      <w:r>
        <w:rPr>
          <w:rFonts w:ascii="Calibri" w:cs="Calibri" w:eastAsia="Calibri" w:hAnsi="Calibri"/>
        </w:rPr>
        <w:t xml:space="preserve"> Verify the verdict against the MBSE model before recording.</w:t>
      </w:r>
    </w:p>
    <w:p>
      <w:pPr>
        <w:spacing w:after="120" w:line="264"/>
      </w:pPr>
      <w:r>
        <w:rPr>
          <w:rFonts w:ascii="Calibri" w:cs="Calibri" w:eastAsia="Calibri" w:hAnsi="Calibri"/>
          <w:b/>
          <w:bCs/>
        </w:rPr>
        <w:t xml:space="preserve">Product unit record structure.</w:t>
      </w:r>
      <w:r>
        <w:rPr>
          <w:rFonts w:ascii="Calibri" w:cs="Calibri" w:eastAsia="Calibri" w:hAnsi="Calibri"/>
        </w:rPr>
        <w:t xml:space="preserve"> Apply the product unit record-structure test to each of the three PINs. One CI with three variants may still hold parts of more than one record structure.</w:t>
      </w:r>
    </w:p>
    <w:p>
      <w:pPr>
        <w:spacing w:after="120" w:line="264"/>
      </w:pPr>
      <w:r>
        <w:rPr>
          <w:rFonts w:ascii="Calibri" w:cs="Calibri" w:eastAsia="Calibri" w:hAnsi="Calibri"/>
          <w:i/>
          <w:iCs/>
        </w:rPr>
        <w:t xml:space="preserve">Final CI designation authority rests with the Acquirer. This appendix is a decision aid. It does not substitute for engineering judgment. It does not substitute for contract requirements.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D78"/>
        <w:sz w:val="18"/>
        <w:szCs w:val="18"/>
      </w:rPr>
      <w:t xml:space="preserve">CI Identification Process | Page </w:t>
    </w:r>
    <w:r>
      <w:rPr>
        <w:rFonts w:ascii="Calibri" w:cs="Calibri" w:eastAsia="Calibri" w:hAnsi="Calibri"/>
        <w:color w:val="5C6D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6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262E"/>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E262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C38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Item (CI) Identification Process</dc:title>
  <dc:creator>Configuration Management</dc:creator>
  <cp:lastModifiedBy>Un-named</cp:lastModifiedBy>
  <cp:revision>1</cp:revision>
  <dcterms:created xsi:type="dcterms:W3CDTF">2026-10-14T17:57:01.399Z</dcterms:created>
  <dcterms:modified xsi:type="dcterms:W3CDTF">2026-10-14T17:57:01.399Z</dcterms:modified>
</cp:coreProperties>
</file>

<file path=docProps/custom.xml><?xml version="1.0" encoding="utf-8"?>
<Properties xmlns="http://schemas.openxmlformats.org/officeDocument/2006/custom-properties" xmlns:vt="http://schemas.openxmlformats.org/officeDocument/2006/docPropsVTypes"/>
</file>