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Calibri" w:cs="Calibri" w:eastAsia="Calibri" w:hAnsi="Calibri"/>
          <w:b/>
          <w:bCs/>
          <w:color w:val="1F3864"/>
          <w:sz w:val="24"/>
          <w:szCs w:val="24"/>
        </w:rPr>
        <w:t xml:space="preserve">CONFIGURATION MANAGEMENT PROCESS</w:t>
      </w:r>
    </w:p>
    <w:p>
      <w:pPr>
        <w:spacing w:after="200"/>
        <w:jc w:val="center"/>
      </w:pPr>
      <w:r>
        <w:rPr>
          <w:rFonts w:ascii="Calibri" w:cs="Calibri" w:eastAsia="Calibri" w:hAnsi="Calibri"/>
          <w:b/>
          <w:bCs/>
          <w:sz w:val="52"/>
          <w:szCs w:val="52"/>
        </w:rPr>
        <w:t xml:space="preserve">Configuration Item (CI) Identification Process</w:t>
      </w:r>
    </w:p>
    <w:p>
      <w:pPr>
        <w:spacing w:after="1200"/>
        <w:jc w:val="center"/>
      </w:pPr>
      <w:r>
        <w:rPr>
          <w:rFonts w:ascii="Calibri" w:cs="Calibri" w:eastAsia="Calibri" w:hAnsi="Calibri"/>
          <w:i/>
          <w:iCs/>
          <w:sz w:val="28"/>
          <w:szCs w:val="28"/>
        </w:rPr>
        <w:t xml:space="preserve">In Alignment with EIA-649-1A and GEIA-HB-649A</w:t>
      </w:r>
    </w:p>
    <w:p>
      <w:pPr>
        <w:spacing w:after="100"/>
        <w:jc w:val="center"/>
      </w:pPr>
      <w:r>
        <w:rPr>
          <w:rFonts w:ascii="Calibri" w:cs="Calibri" w:eastAsia="Calibri" w:hAnsi="Calibri"/>
          <w:sz w:val="22"/>
          <w:szCs w:val="22"/>
        </w:rPr>
        <w:t xml:space="preserve">Document No.: [XXX-CM-PROC-001]</w:t>
      </w:r>
    </w:p>
    <w:p>
      <w:pPr>
        <w:spacing w:after="100"/>
        <w:jc w:val="center"/>
      </w:pPr>
      <w:r>
        <w:rPr>
          <w:rFonts w:ascii="Calibri" w:cs="Calibri" w:eastAsia="Calibri" w:hAnsi="Calibri"/>
          <w:sz w:val="22"/>
          <w:szCs w:val="22"/>
        </w:rPr>
        <w:t xml:space="preserve">Revision: [Initial]        Date: [Date]</w:t>
      </w:r>
    </w:p>
    <w:p>
      <w:pPr>
        <w:spacing w:after="100"/>
        <w:jc w:val="center"/>
      </w:pPr>
      <w:r>
        <w:rPr>
          <w:rFonts w:ascii="Calibri" w:cs="Calibri" w:eastAsia="Calibri" w:hAnsi="Calibri"/>
          <w:sz w:val="22"/>
          <w:szCs w:val="22"/>
        </w:rPr>
        <w:t xml:space="preserve">Prepared by: Configuration Management        Approved by: [Approver]</w:t>
      </w:r>
    </w:p>
    <w:p>
      <w:r>
        <w:br w:type="page"/>
      </w:r>
    </w:p>
    <w:p>
      <w:pPr>
        <w:pStyle w:val="Heading1"/>
        <w:spacing w:after="160" w:before="320"/>
      </w:pPr>
      <w:r>
        <w:rPr>
          <w:rFonts w:ascii="Calibri" w:cs="Calibri" w:eastAsia="Calibri" w:hAnsi="Calibri"/>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Calibri" w:cs="Calibri" w:eastAsia="Calibri" w:hAnsi="Calibri"/>
        </w:rPr>
        <w:t xml:space="preserve">1. Purpose, Scope, and Applicability</w:t>
      </w:r>
    </w:p>
    <w:p>
      <w:pPr>
        <w:pStyle w:val="Heading2"/>
        <w:spacing w:after="120" w:before="260"/>
      </w:pPr>
      <w:r>
        <w:rPr>
          <w:rFonts w:ascii="Calibri" w:cs="Calibri" w:eastAsia="Calibri" w:hAnsi="Calibri"/>
        </w:rPr>
        <w:t xml:space="preserve">1.1 Purpose</w:t>
      </w:r>
    </w:p>
    <w:p>
      <w:pPr>
        <w:spacing w:after="120" w:line="276"/>
      </w:pPr>
      <w:r>
        <w:rPr>
          <w:rFonts w:ascii="Calibri" w:cs="Calibri" w:eastAsia="Calibri" w:hAnsi="Calibri"/>
          <w:sz w:val="22"/>
          <w:szCs w:val="22"/>
        </w:rPr>
        <w:t xml:space="preserve">This document instructs the Configuration Management (CM) team on how to perform configuration identification, including the selection and designation of Configuration Items (CIs), in alignment with EIA-649-1A (Configuration Management Requirements for Defense Contracts) and GEIA-HB-649A (Configuration Management Standard Implementation Guide).</w:t>
      </w:r>
    </w:p>
    <w:p>
      <w:pPr>
        <w:pStyle w:val="Heading2"/>
        <w:spacing w:after="120" w:before="260"/>
      </w:pPr>
      <w:r>
        <w:rPr>
          <w:rFonts w:ascii="Calibri" w:cs="Calibri" w:eastAsia="Calibri" w:hAnsi="Calibri"/>
        </w:rPr>
        <w:t xml:space="preserve">1.2 Scope</w:t>
      </w:r>
    </w:p>
    <w:p>
      <w:pPr>
        <w:spacing w:after="120" w:line="276"/>
      </w:pPr>
      <w:r>
        <w:rPr>
          <w:rFonts w:ascii="Calibri" w:cs="Calibri" w:eastAsia="Calibri" w:hAnsi="Calibri"/>
          <w:sz w:val="22"/>
          <w:szCs w:val="22"/>
        </w:rPr>
        <w:t xml:space="preserve">This process covers the full configuration identification function: candidate CI identification, application of CI selection criteria, establishment of the CI structure and hierarchy, interface identification, Acquirer review and concurrence, assignment of identifiers, determination of configuration documentation, establishment of configuration baselines, and ongoing maintenance of the configuration identification.</w:t>
      </w:r>
    </w:p>
    <w:p>
      <w:pPr>
        <w:spacing w:after="120" w:line="276"/>
      </w:pPr>
      <w:r>
        <w:rPr>
          <w:rFonts w:ascii="Calibri" w:cs="Calibri" w:eastAsia="Calibri" w:hAnsi="Calibri"/>
          <w:sz w:val="22"/>
          <w:szCs w:val="22"/>
        </w:rPr>
        <w:t xml:space="preserve">It applies to hardware, software, firmware, and associated configuration documentation.</w:t>
      </w:r>
    </w:p>
    <w:p>
      <w:pPr>
        <w:pStyle w:val="Heading2"/>
        <w:spacing w:after="120" w:before="260"/>
      </w:pPr>
      <w:r>
        <w:rPr>
          <w:rFonts w:ascii="Calibri" w:cs="Calibri" w:eastAsia="Calibri" w:hAnsi="Calibri"/>
        </w:rPr>
        <w:t xml:space="preserve">1.3 Applicability</w:t>
      </w:r>
    </w:p>
    <w:p>
      <w:pPr>
        <w:spacing w:after="120" w:line="276"/>
      </w:pPr>
      <w:r>
        <w:rPr>
          <w:rFonts w:ascii="Calibri" w:cs="Calibri" w:eastAsia="Calibri" w:hAnsi="Calibri"/>
          <w:sz w:val="22"/>
          <w:szCs w:val="22"/>
        </w:rPr>
        <w:t xml:space="preserve">This process applies to all programs where the company acts as a prime contractor (Supplier) to a Department of Defense (DoD) Acquirer, and to internal development items subject to configuration management. Where a contract imposes requirements that differ from this process, the contract governs; deviations shall be documented in the program Configuration Management Plan (CMP).</w:t>
      </w:r>
    </w:p>
    <w:p>
      <w:pPr>
        <w:spacing w:after="120" w:line="276"/>
      </w:pPr>
      <w:r>
        <w:rPr>
          <w:rFonts w:ascii="Calibri" w:cs="Calibri" w:eastAsia="Calibri" w:hAnsi="Calibri"/>
          <w:sz w:val="22"/>
          <w:szCs w:val="22"/>
        </w:rPr>
        <w:t xml:space="preserve">This process is tool-agnostic. It defines what must be accomplished; program CMPs define the specific tools (PLM, MBSE, CSA systems) used to accomplish it.</w:t>
      </w:r>
    </w:p>
    <w:p>
      <w:pPr>
        <w:pStyle w:val="Heading1"/>
        <w:spacing w:after="160" w:before="320"/>
      </w:pPr>
      <w:r>
        <w:rPr>
          <w:rFonts w:ascii="Calibri" w:cs="Calibri" w:eastAsia="Calibri" w:hAnsi="Calibri"/>
        </w:rPr>
        <w:t xml:space="preserve">2. References</w:t>
      </w:r>
    </w:p>
    <w:p>
      <w:pPr>
        <w:pStyle w:val="Heading2"/>
        <w:spacing w:after="120" w:before="260"/>
      </w:pPr>
      <w:r>
        <w:rPr>
          <w:rFonts w:ascii="Calibri" w:cs="Calibri" w:eastAsia="Calibri" w:hAnsi="Calibri"/>
        </w:rPr>
        <w:t xml:space="preserve">2.1 Governing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Document</w:t>
            </w:r>
          </w:p>
        </w:tc>
        <w:tc>
          <w:tcPr>
            <w:tcW w:type="dxa" w:w="71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Title</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EIA-649-1A</w:t>
            </w:r>
          </w:p>
        </w:tc>
        <w:tc>
          <w:tcPr>
            <w:tcW w:type="dxa" w:w="7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Management Requirements for Defense Contracts</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GEIA-HB-649A</w:t>
            </w:r>
          </w:p>
        </w:tc>
        <w:tc>
          <w:tcPr>
            <w:tcW w:type="dxa" w:w="7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Management Standard Implementation Guide</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ANSI/EIA-649</w:t>
            </w:r>
          </w:p>
        </w:tc>
        <w:tc>
          <w:tcPr>
            <w:tcW w:type="dxa" w:w="7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National Consensus Standard for Configuration Management (parent principles standard)</w:t>
            </w:r>
          </w:p>
        </w:tc>
      </w:tr>
    </w:tbl>
    <w:p>
      <w:pPr>
        <w:pStyle w:val="Heading2"/>
        <w:spacing w:after="120" w:before="260"/>
      </w:pPr>
      <w:r>
        <w:rPr>
          <w:rFonts w:ascii="Calibri" w:cs="Calibri" w:eastAsia="Calibri" w:hAnsi="Calibri"/>
        </w:rPr>
        <w:t xml:space="preserve">2.2 Related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Document</w:t>
            </w:r>
          </w:p>
        </w:tc>
        <w:tc>
          <w:tcPr>
            <w:tcW w:type="dxa" w:w="71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Title / Relevance</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SM-0001</w:t>
            </w:r>
          </w:p>
        </w:tc>
        <w:tc>
          <w:tcPr>
            <w:tcW w:type="dxa" w:w="7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Safety Management System (SMS) Standard. Hazard analyses and safety-critical item identifications produced under the SMS are inputs to CI candidate identification (see 5.1, 5.3).</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CM Floor Register</w:t>
            </w:r>
          </w:p>
        </w:tc>
        <w:tc>
          <w:tcPr>
            <w:tcW w:type="dxa" w:w="7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The EIA-649-1A requirements obligated through the SMS pathway on all safety-significant product lines regardless of contract flow-down. Floor items in this process: F01, F35–F38.</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CM Floor Operating Model</w:t>
            </w:r>
          </w:p>
        </w:tc>
        <w:tc>
          <w:tcPr>
            <w:tcW w:type="dxa" w:w="7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How floor items are dispositioned (perform / documented equivalent control / risk acceptance) via the tailoring gate defined in [XXX-CM-PROC-003] §5.1.1.</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MIL-STD-130</w:t>
            </w:r>
          </w:p>
        </w:tc>
        <w:tc>
          <w:tcPr>
            <w:tcW w:type="dxa" w:w="7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Identification Marking of U.S. Military Property (Item Unique Identification, IUID)</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ATA iSpec 2200 / S1000D</w:t>
            </w:r>
          </w:p>
        </w:tc>
        <w:tc>
          <w:tcPr>
            <w:tcW w:type="dxa" w:w="7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Industry decomposition and data schemes referenced for MBSE-aligned CI structuring (see 5.2 and Appendix B)</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DI-SESS-81254</w:t>
            </w:r>
          </w:p>
        </w:tc>
        <w:tc>
          <w:tcPr>
            <w:tcW w:type="dxa" w:w="7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Request for Nomenclature</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DI-SESS-81248</w:t>
            </w:r>
          </w:p>
        </w:tc>
        <w:tc>
          <w:tcPr>
            <w:tcW w:type="dxa" w:w="7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Interface Control Document (ICD)</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DI-SESS-82007</w:t>
            </w:r>
          </w:p>
        </w:tc>
        <w:tc>
          <w:tcPr>
            <w:tcW w:type="dxa" w:w="7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Item Documentation Recommendation</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DI-SESS-81121</w:t>
            </w:r>
          </w:p>
        </w:tc>
        <w:tc>
          <w:tcPr>
            <w:tcW w:type="dxa" w:w="7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Baseline Description Document</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DI-SESS-81011</w:t>
            </w:r>
          </w:p>
        </w:tc>
        <w:tc>
          <w:tcPr>
            <w:tcW w:type="dxa" w:w="7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Drawing/Model Number Assignment Report</w:t>
            </w:r>
          </w:p>
        </w:tc>
      </w:tr>
    </w:tbl>
    <w:p>
      <w:pPr>
        <w:spacing w:after="120" w:line="276"/>
        <w:rPr>
          <w:i/>
          <w:iCs/>
          <w:sz w:val="20"/>
          <w:szCs w:val="20"/>
        </w:rPr>
      </w:pPr>
      <w:r>
        <w:rPr>
          <w:rFonts w:ascii="Calibri" w:cs="Calibri" w:eastAsia="Calibri" w:hAnsi="Calibri"/>
          <w:i/>
          <w:iCs/>
          <w:sz w:val="20"/>
          <w:szCs w:val="20"/>
        </w:rPr>
        <w:t xml:space="preserve">Data Item Descriptions (DIDs) apply only where cited on contract via CDRL.</w:t>
      </w:r>
    </w:p>
    <w:p>
      <w:pPr>
        <w:pStyle w:val="Heading1"/>
        <w:spacing w:after="160" w:before="320"/>
      </w:pPr>
      <w:r>
        <w:rPr>
          <w:rFonts w:ascii="Calibri" w:cs="Calibri" w:eastAsia="Calibri" w:hAnsi="Calibri"/>
        </w:rPr>
        <w:t xml:space="preserve">3. Definitions and Acronyms</w:t>
      </w:r>
    </w:p>
    <w:p>
      <w:pPr>
        <w:pStyle w:val="Heading2"/>
        <w:spacing w:after="120" w:before="260"/>
      </w:pPr>
      <w:r>
        <w:rPr>
          <w:rFonts w:ascii="Calibri" w:cs="Calibri" w:eastAsia="Calibri" w:hAnsi="Calibri"/>
        </w:rPr>
        <w:t xml:space="preserve">3.1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Term</w:t>
            </w:r>
          </w:p>
        </w:tc>
        <w:tc>
          <w:tcPr>
            <w:tcW w:type="dxa" w:w="67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Definition</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Item (CI)</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Any hardware, software, firmware, or aggregation thereof that satisfies a system end-use function and is designated for separate configuration management. Designation includes establishing the CI’s requirements and verifying that its configuration meets those requirements and that its configuration documentation accurately describes its configuration.</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Identification</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The CM function that selects CIs, organizes the system into a hierarchical structure, determines the configuration documentation required for the system and its components, issues identifiers, releases CIs and their documentation, and establishes configuration baselines.</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Documentation</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Technical documentation whose primary purpose is to identify and define a product’s performance, functional, and physical attributes (e.g., specifications, drawings, models). Comprises functional, allocated, and product configuration documentation.</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Baseline</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An agreed-to definition of the attributes of a product at a point in time, identifying a known configuration to which changes are addressed. Baseline types are functional (FBL), allocated (ABL), and product (PBL).</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Part or Identifying Number (PIN)</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The identifier that, combined with the design activity CAGE code, uniquely identifies an item and its configuration. The PIN changes when a modification creates a non-interchangeable condition.</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Product Unit Identifier</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 serial, lot, or batch number that distinguishes one unit (or group of units) of a product from another. Unit identifiers are never revised or re-used once assigned, even when the PIN changes.</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Product Structure</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The hierarchical organization of a product and its components used to organize product configuration information over the lifecycle.</w:t>
            </w:r>
          </w:p>
        </w:tc>
      </w:tr>
    </w:tbl>
    <w:p>
      <w:pPr>
        <w:pStyle w:val="Heading2"/>
        <w:spacing w:after="120" w:before="260"/>
      </w:pPr>
      <w:r>
        <w:rPr>
          <w:rFonts w:ascii="Calibri" w:cs="Calibri" w:eastAsia="Calibri" w:hAnsi="Calibri"/>
        </w:rPr>
        <w:t xml:space="preserve">3.2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Acronym</w:t>
            </w:r>
          </w:p>
        </w:tc>
        <w:tc>
          <w:tcPr>
            <w:tcW w:type="dxa" w:w="67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Meaning</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ABL / FBL / PBL</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Allocated / Functional / Product Baseline</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CAGE</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Commercial and Government Entity (code)</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CDRL</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Contract Data Requirements List</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CI / CSCI</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Item / Computer Software Configuration Item</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CMP</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Management Plan</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CSA</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Status Accounting</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DID</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Data Item Description</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ICD</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Interface Control Document</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IUID / UII</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Item Unique Identification / Unique Item Identifier</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MBSE</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Model-Based Systems Engineering</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PIN</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Part or Identifying Number</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PLM</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Product Lifecycle Management</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SMS</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Safety Management System</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SNS</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Standard Numbering System (S1000D)</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SysML / UAF</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Systems Modeling Language / Unified Architecture Framework</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WBS</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Work Breakdown Structure</w:t>
            </w:r>
          </w:p>
        </w:tc>
      </w:tr>
    </w:tbl>
    <w:p>
      <w:pPr>
        <w:pStyle w:val="Heading1"/>
        <w:spacing w:after="160" w:before="320"/>
      </w:pPr>
      <w:r>
        <w:rPr>
          <w:rFonts w:ascii="Calibri" w:cs="Calibri" w:eastAsia="Calibri" w:hAnsi="Calibri"/>
        </w:rPr>
        <w:t xml:space="preserve">4.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Role</w:t>
            </w:r>
          </w:p>
        </w:tc>
        <w:tc>
          <w:tcPr>
            <w:tcW w:type="dxa" w:w="67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Responsibilities</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Management (CM)</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Owns this process. Facilitates candidate identification, administers the selection criteria assessment, maintains the CI index and selection rationale records, assigns/controls identifiers per program conventions, releases configuration documentation, and coordinates Acquirer concurrence submittals.</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Systems Engineering</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Provides the system architecture, product structure, and MBSE decomposition. Nominates candidate CIs from system analyses. Defines interfaces and allocates requirements to CIs.</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Design Engineering</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Nominates candidate CIs based on design considerations. Produces configuration documentation (specifications, drawings, models). Assigns PINs per design activity conventions.</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Logistics / Product Support</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Identifies items requiring logistics support elements (provisioning lists, technical manuals, test equipment, maintenance planning) that drive CI designation. Confirms CI selection supports the supportability strategy.</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System Safety (per SM-0001)</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Provides hazard analyses and safety-critical item identifications as inputs to CI candidate screening.</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Program Management</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Approves the proposed CI list for submittal. Resolves cost/schedule trades in CI selection level.</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Acquirer</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Reviews proposed CIs and provides selection concurrence. Holds final CI designation authority for Acquirer-controlled CIs. May designate items as CIs directly.</w:t>
            </w:r>
          </w:p>
        </w:tc>
      </w:tr>
    </w:tbl>
    <w:p>
      <w:pPr>
        <w:pStyle w:val="Heading1"/>
        <w:spacing w:after="160" w:before="320"/>
      </w:pPr>
      <w:r>
        <w:rPr>
          <w:rFonts w:ascii="Calibri" w:cs="Calibri" w:eastAsia="Calibri" w:hAnsi="Calibri"/>
        </w:rPr>
        <w:t xml:space="preserve">5. Process</w:t>
      </w:r>
    </w:p>
    <w:p>
      <w:pPr>
        <w:spacing w:after="120" w:line="276"/>
      </w:pPr>
      <w:r>
        <w:rPr>
          <w:rFonts w:ascii="Calibri" w:cs="Calibri" w:eastAsia="Calibri" w:hAnsi="Calibri"/>
          <w:sz w:val="22"/>
          <w:szCs w:val="22"/>
        </w:rPr>
        <w:t xml:space="preserve">The configuration identification process consists of the activities below. The process is iterative: CI selection begins early (typically before or at the system functional/requirements reviews) and is revisited as the design matures and at each baseline establishment.</w:t>
      </w:r>
    </w:p>
    <w:p>
      <w:pPr>
        <w:pStyle w:val="Heading2"/>
        <w:spacing w:after="120" w:before="260"/>
      </w:pPr>
      <w:r>
        <w:rPr>
          <w:rFonts w:ascii="Calibri" w:cs="Calibri" w:eastAsia="Calibri" w:hAnsi="Calibri"/>
        </w:rPr>
        <w:t xml:space="preserve">5.1 Inputs</w:t>
      </w:r>
    </w:p>
    <w:p>
      <w:pPr>
        <w:pStyle w:val="ListParagraph"/>
        <w:numPr>
          <w:ilvl w:val="0"/>
          <w:numId w:val="2"/>
        </w:numPr>
        <w:spacing w:after="80" w:line="276"/>
      </w:pPr>
      <w:r>
        <w:rPr>
          <w:rFonts w:ascii="Calibri" w:cs="Calibri" w:eastAsia="Calibri" w:hAnsi="Calibri"/>
          <w:sz w:val="22"/>
          <w:szCs w:val="22"/>
        </w:rPr>
        <w:t xml:space="preserve">System architecture and product structure, including the MBSE model where one exists</w:t>
      </w:r>
    </w:p>
    <w:p>
      <w:pPr>
        <w:pStyle w:val="ListParagraph"/>
        <w:numPr>
          <w:ilvl w:val="0"/>
          <w:numId w:val="2"/>
        </w:numPr>
        <w:spacing w:after="80" w:line="276"/>
      </w:pPr>
      <w:r>
        <w:rPr>
          <w:rFonts w:ascii="Calibri" w:cs="Calibri" w:eastAsia="Calibri" w:hAnsi="Calibri"/>
          <w:sz w:val="22"/>
          <w:szCs w:val="22"/>
        </w:rPr>
        <w:t xml:space="preserve">Program Work Breakdown Structure (WBS) and contract line items</w:t>
      </w:r>
    </w:p>
    <w:p>
      <w:pPr>
        <w:pStyle w:val="ListParagraph"/>
        <w:numPr>
          <w:ilvl w:val="0"/>
          <w:numId w:val="2"/>
        </w:numPr>
        <w:spacing w:after="80" w:line="276"/>
      </w:pPr>
      <w:r>
        <w:rPr>
          <w:rFonts w:ascii="Calibri" w:cs="Calibri" w:eastAsia="Calibri" w:hAnsi="Calibri"/>
          <w:sz w:val="22"/>
          <w:szCs w:val="22"/>
        </w:rPr>
        <w:t xml:space="preserve">System, item, and interface specifications; interface definitions</w:t>
      </w:r>
    </w:p>
    <w:p>
      <w:pPr>
        <w:pStyle w:val="ListParagraph"/>
        <w:numPr>
          <w:ilvl w:val="0"/>
          <w:numId w:val="2"/>
        </w:numPr>
        <w:spacing w:after="80" w:line="276"/>
      </w:pPr>
      <w:r>
        <w:rPr>
          <w:rFonts w:ascii="Calibri" w:cs="Calibri" w:eastAsia="Calibri" w:hAnsi="Calibri"/>
          <w:sz w:val="22"/>
          <w:szCs w:val="22"/>
        </w:rPr>
        <w:t xml:space="preserve">Contract requirements, SOW, and CDRLs (including any Acquirer-directed CI designations)</w:t>
      </w:r>
    </w:p>
    <w:p>
      <w:pPr>
        <w:pStyle w:val="ListParagraph"/>
        <w:numPr>
          <w:ilvl w:val="0"/>
          <w:numId w:val="2"/>
        </w:numPr>
        <w:spacing w:after="80" w:line="276"/>
      </w:pPr>
      <w:r>
        <w:rPr>
          <w:rFonts w:ascii="Calibri" w:cs="Calibri" w:eastAsia="Calibri" w:hAnsi="Calibri"/>
          <w:sz w:val="22"/>
          <w:szCs w:val="22"/>
        </w:rPr>
        <w:t xml:space="preserve">Hazard analyses and safety-critical item lists produced under the SMS (SM-0001)</w:t>
      </w:r>
    </w:p>
    <w:p>
      <w:pPr>
        <w:pStyle w:val="ListParagraph"/>
        <w:numPr>
          <w:ilvl w:val="0"/>
          <w:numId w:val="2"/>
        </w:numPr>
        <w:spacing w:after="80" w:line="276"/>
      </w:pPr>
      <w:r>
        <w:rPr>
          <w:rFonts w:ascii="Calibri" w:cs="Calibri" w:eastAsia="Calibri" w:hAnsi="Calibri"/>
          <w:sz w:val="22"/>
          <w:szCs w:val="22"/>
        </w:rPr>
        <w:t xml:space="preserve">Supportability/logistics planning products (provisioning strategy, maintenance concept)</w:t>
      </w:r>
    </w:p>
    <w:p>
      <w:pPr>
        <w:pStyle w:val="ListParagraph"/>
        <w:numPr>
          <w:ilvl w:val="0"/>
          <w:numId w:val="2"/>
        </w:numPr>
        <w:spacing w:after="80" w:line="276"/>
      </w:pPr>
      <w:r>
        <w:rPr>
          <w:rFonts w:ascii="Calibri" w:cs="Calibri" w:eastAsia="Calibri" w:hAnsi="Calibri"/>
          <w:sz w:val="22"/>
          <w:szCs w:val="22"/>
        </w:rPr>
        <w:t xml:space="preserve">Program CMP</w:t>
      </w:r>
    </w:p>
    <w:p>
      <w:pPr>
        <w:pStyle w:val="Heading2"/>
        <w:spacing w:after="120" w:before="260"/>
      </w:pPr>
      <w:r>
        <w:rPr>
          <w:rFonts w:ascii="Calibri" w:cs="Calibri" w:eastAsia="Calibri" w:hAnsi="Calibri"/>
        </w:rPr>
        <w:t xml:space="preserve">5.2 Candidate CI Identification</w:t>
      </w:r>
    </w:p>
    <w:p>
      <w:pPr>
        <w:spacing w:after="120" w:line="276"/>
      </w:pPr>
      <w:r>
        <w:rPr>
          <w:rFonts w:ascii="Calibri" w:cs="Calibri" w:eastAsia="Calibri" w:hAnsi="Calibri"/>
          <w:sz w:val="22"/>
          <w:szCs w:val="22"/>
        </w:rPr>
        <w:t xml:space="preserve">Identify candidate CIs by top-down decomposition of the product structure. Systems Engineering, Design Engineering, Logistics, and CM jointly nominate candidates; either the Acquirer or the Supplier may make initial top-level recommendations, but the Supplier is responsible for the comprehensive recommendation.</w:t>
      </w:r>
    </w:p>
    <w:p>
      <w:pPr>
        <w:spacing w:after="120" w:line="276"/>
      </w:pPr>
      <w:r>
        <w:rPr>
          <w:rFonts w:ascii="Calibri" w:cs="Calibri" w:eastAsia="Calibri" w:hAnsi="Calibri"/>
          <w:sz w:val="22"/>
          <w:szCs w:val="22"/>
        </w:rPr>
        <w:t xml:space="preserve">The top tier of candidates normally corresponds to contract line items and the WBS. Lower-level candidates are nominated where separate management is warranted (see selection criteria, 5.3).</w:t>
      </w:r>
    </w:p>
    <w:p>
      <w:pPr>
        <w:spacing w:after="120" w:line="276"/>
      </w:pPr>
      <w:r>
        <w:rPr>
          <w:rFonts w:ascii="Calibri" w:cs="Calibri" w:eastAsia="Calibri" w:hAnsi="Calibri"/>
          <w:sz w:val="22"/>
          <w:szCs w:val="22"/>
        </w:rPr>
        <w:t xml:space="preserve">Items flagged as safety-critical by SMS hazard analyses shall be included in the candidate set and screened per 5.3.</w:t>
      </w:r>
    </w:p>
    <w:p>
      <w:pPr>
        <w:pStyle w:val="Heading3"/>
        <w:spacing w:after="100" w:before="200"/>
      </w:pPr>
      <w:r>
        <w:rPr>
          <w:rFonts w:ascii="Calibri" w:cs="Calibri" w:eastAsia="Calibri" w:hAnsi="Calibri"/>
        </w:rPr>
        <w:t xml:space="preserve">5.2.1 MBSE Alignment Requirement</w:t>
      </w:r>
    </w:p>
    <w:p>
      <w:pPr>
        <w:spacing w:after="120" w:line="276"/>
      </w:pPr>
      <w:r>
        <w:rPr>
          <w:rFonts w:ascii="Calibri" w:cs="Calibri" w:eastAsia="Calibri" w:hAnsi="Calibri"/>
          <w:sz w:val="22"/>
          <w:szCs w:val="22"/>
        </w:rPr>
        <w:t xml:space="preserve">Where MBSE is used on the program, the CI structure (CI parent-child relationships) shall mirror the decomposition method of the MBSE architecture. The preferred decomposition schemes are the ATA chapter scheme or the S1000D SNS, implemented using SysML or UAF conventions. Where the program MBSE model uses a different decomposition scheme, the CI structure shall mirror that scheme; the CI hierarchy and the architecture model shall not diverge. See Appendix B.</w:t>
      </w:r>
    </w:p>
    <w:p>
      <w:pPr>
        <w:spacing w:after="120" w:line="276"/>
      </w:pPr>
      <w:r>
        <w:rPr>
          <w:rFonts w:ascii="Calibri" w:cs="Calibri" w:eastAsia="Calibri" w:hAnsi="Calibri"/>
          <w:sz w:val="22"/>
          <w:szCs w:val="22"/>
        </w:rPr>
        <w:t xml:space="preserve">Where no MBSE model exists, the CI structure follows the engineering product structure/bill of material hierarchy.</w:t>
      </w:r>
    </w:p>
    <w:p>
      <w:pPr>
        <w:pStyle w:val="Heading2"/>
        <w:spacing w:after="120" w:before="260"/>
      </w:pPr>
      <w:r>
        <w:rPr>
          <w:rFonts w:ascii="Calibri" w:cs="Calibri" w:eastAsia="Calibri" w:hAnsi="Calibri"/>
        </w:rPr>
        <w:t xml:space="preserve">5.3 Application of CI Selection Criteria</w:t>
      </w:r>
    </w:p>
    <w:p>
      <w:pPr>
        <w:spacing w:after="120" w:line="276"/>
      </w:pPr>
      <w:r>
        <w:rPr>
          <w:rFonts w:ascii="Calibri" w:cs="Calibri" w:eastAsia="Calibri" w:hAnsi="Calibri"/>
          <w:sz w:val="22"/>
          <w:szCs w:val="22"/>
        </w:rPr>
        <w:t xml:space="preserve">Screen each candidate in two steps:</w:t>
      </w:r>
    </w:p>
    <w:p>
      <w:pPr>
        <w:pStyle w:val="ListParagraph"/>
        <w:numPr>
          <w:ilvl w:val="0"/>
          <w:numId w:val="3"/>
        </w:numPr>
        <w:spacing w:after="80" w:line="276"/>
      </w:pPr>
      <w:r>
        <w:rPr>
          <w:rFonts w:ascii="Calibri" w:cs="Calibri" w:eastAsia="Calibri" w:hAnsi="Calibri"/>
          <w:sz w:val="22"/>
          <w:szCs w:val="22"/>
        </w:rPr>
        <w:t xml:space="preserve">End-use function gate. Confirm the item satisfies a system end-use function. Items with no end-use function (raw materials, bulk commodities, purely structural elements with no defined functional role) are not CIs and are controlled within their parent CI’s configuration documentation.</w:t>
      </w:r>
    </w:p>
    <w:p>
      <w:pPr>
        <w:pStyle w:val="ListParagraph"/>
        <w:numPr>
          <w:ilvl w:val="0"/>
          <w:numId w:val="3"/>
        </w:numPr>
        <w:spacing w:after="80" w:line="276"/>
      </w:pPr>
      <w:r>
        <w:rPr>
          <w:rFonts w:ascii="Calibri" w:cs="Calibri" w:eastAsia="Calibri" w:hAnsi="Calibri"/>
          <w:sz w:val="22"/>
          <w:szCs w:val="22"/>
        </w:rPr>
        <w:t xml:space="preserve">Criteria screen. Designate the item as a CI if it meets or impacts one or more of the EIA-649-1A §3.2.1 criteria listed in Table 5-1. Appendix A provides the assessment checklist; GEIA-HB-649A Appendix D provides an expanded criteria set that may be applied as supplemental screening at program discretion.</w:t>
      </w:r>
    </w:p>
    <w:p>
      <w:pPr>
        <w:spacing w:after="120" w:line="276"/>
        <w:rPr>
          <w:b/>
          <w:bCs/>
        </w:rPr>
      </w:pPr>
      <w:r>
        <w:rPr>
          <w:rFonts w:ascii="Calibri" w:cs="Calibri" w:eastAsia="Calibri" w:hAnsi="Calibri"/>
          <w:b/>
          <w:bCs/>
          <w:sz w:val="22"/>
          <w:szCs w:val="22"/>
        </w:rPr>
        <w:t xml:space="preserve">Table 5-1. CI Selection Criteria (EIA-649-1A §3.2.1(2))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Criterion</w:t>
            </w:r>
          </w:p>
        </w:tc>
        <w:tc>
          <w:tcPr>
            <w:tcW w:type="dxa" w:w="81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Description</w:t>
            </w:r>
          </w:p>
        </w:tc>
      </w:tr>
      <w:tr>
        <w:tc>
          <w:tcPr>
            <w:tcW w:type="dxa" w:w="1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w:t>
            </w:r>
          </w:p>
        </w:tc>
        <w:tc>
          <w:tcPr>
            <w:tcW w:type="dxa" w:w="8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The item is critical to the functioning of the system.</w:t>
            </w:r>
          </w:p>
        </w:tc>
      </w:tr>
      <w:tr>
        <w:tc>
          <w:tcPr>
            <w:tcW w:type="dxa" w:w="1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b</w:t>
            </w:r>
          </w:p>
        </w:tc>
        <w:tc>
          <w:tcPr>
            <w:tcW w:type="dxa" w:w="8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Failure of the item might result in serious injury, loss of life, or loss of primary system capability.</w:t>
            </w:r>
          </w:p>
        </w:tc>
      </w:tr>
      <w:tr>
        <w:tc>
          <w:tcPr>
            <w:tcW w:type="dxa" w:w="1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w:t>
            </w:r>
          </w:p>
        </w:tc>
        <w:tc>
          <w:tcPr>
            <w:tcW w:type="dxa" w:w="8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The item’s technology is complex, not well known, and critical to meeting acquisition, operational, or supportability goals of the program.</w:t>
            </w:r>
          </w:p>
        </w:tc>
      </w:tr>
      <w:tr>
        <w:tc>
          <w:tcPr>
            <w:tcW w:type="dxa" w:w="1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w:t>
            </w:r>
          </w:p>
        </w:tc>
        <w:tc>
          <w:tcPr>
            <w:tcW w:type="dxa" w:w="8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The item is under control as designated by the Acquirer.</w:t>
            </w:r>
          </w:p>
        </w:tc>
      </w:tr>
      <w:tr>
        <w:tc>
          <w:tcPr>
            <w:tcW w:type="dxa" w:w="1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w:t>
            </w:r>
          </w:p>
        </w:tc>
        <w:tc>
          <w:tcPr>
            <w:tcW w:type="dxa" w:w="8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The item requires separate type designation, versions, or nomenclatures.</w:t>
            </w:r>
          </w:p>
        </w:tc>
      </w:tr>
      <w:tr>
        <w:tc>
          <w:tcPr>
            <w:tcW w:type="dxa" w:w="1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w:t>
            </w:r>
          </w:p>
        </w:tc>
        <w:tc>
          <w:tcPr>
            <w:tcW w:type="dxa" w:w="8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The item is critical or high risk and failure would have significant financial impact.</w:t>
            </w:r>
          </w:p>
        </w:tc>
      </w:tr>
      <w:tr>
        <w:tc>
          <w:tcPr>
            <w:tcW w:type="dxa" w:w="1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g</w:t>
            </w:r>
          </w:p>
        </w:tc>
        <w:tc>
          <w:tcPr>
            <w:tcW w:type="dxa" w:w="8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The item requires one or more logistics elements (e.g., APL/AEL/ACL provisioning lists, test equipment, technical manuals, PMS MIP/MRC, danger/caution tag-out).</w:t>
            </w:r>
          </w:p>
        </w:tc>
      </w:tr>
    </w:tbl>
    <w:p>
      <w:pPr>
        <w:spacing w:after="120" w:line="276"/>
      </w:pPr>
      <w:r>
        <w:rPr>
          <w:rFonts w:ascii="Calibri" w:cs="Calibri" w:eastAsia="Calibri" w:hAnsi="Calibri"/>
          <w:sz w:val="22"/>
          <w:szCs w:val="22"/>
        </w:rPr>
        <w:t xml:space="preserve"/>
      </w:r>
    </w:p>
    <w:p>
      <w:pPr>
        <w:spacing w:after="120" w:line="276"/>
        <w:rPr>
          <w:b/>
          <w:bCs/>
        </w:rPr>
      </w:pPr>
      <w:r>
        <w:rPr>
          <w:rFonts w:ascii="Calibri" w:cs="Calibri" w:eastAsia="Calibri" w:hAnsi="Calibri"/>
          <w:b/>
          <w:bCs/>
          <w:sz w:val="22"/>
          <w:szCs w:val="22"/>
        </w:rPr>
        <w:t xml:space="preserve">Additional rules:</w:t>
      </w:r>
    </w:p>
    <w:p>
      <w:pPr>
        <w:pStyle w:val="ListParagraph"/>
        <w:numPr>
          <w:ilvl w:val="0"/>
          <w:numId w:val="2"/>
        </w:numPr>
        <w:spacing w:after="80" w:line="276"/>
      </w:pPr>
      <w:r>
        <w:rPr>
          <w:rFonts w:ascii="Calibri" w:cs="Calibri" w:eastAsia="Calibri" w:hAnsi="Calibri"/>
          <w:sz w:val="22"/>
          <w:szCs w:val="22"/>
        </w:rPr>
        <w:t xml:space="preserve">Software: computer software shall be designated as CIs (CSCIs). This includes assignment of product-unique identifiers to elements of the software development environment (compilers, linkers, loaders, developmental libraries, configuration settings, automation scripts) that are part of the system.</w:t>
      </w:r>
    </w:p>
    <w:p>
      <w:pPr>
        <w:pStyle w:val="ListParagraph"/>
        <w:numPr>
          <w:ilvl w:val="0"/>
          <w:numId w:val="2"/>
        </w:numPr>
        <w:spacing w:after="80" w:line="276"/>
      </w:pPr>
      <w:r>
        <w:rPr>
          <w:rFonts w:ascii="Calibri" w:cs="Calibri" w:eastAsia="Calibri" w:hAnsi="Calibri"/>
          <w:sz w:val="22"/>
          <w:szCs w:val="22"/>
        </w:rPr>
        <w:t xml:space="preserve">Safety linkage: any item identified as safety-critical under the SMS (SM-0001) is screened against criterion (b) and, where applicable, criterion (a). Such items will nearly always qualify; if a safety-critical item is not designated a CI, the rationale requires System Safety concurrence.</w:t>
      </w:r>
    </w:p>
    <w:p>
      <w:pPr>
        <w:pStyle w:val="ListParagraph"/>
        <w:numPr>
          <w:ilvl w:val="0"/>
          <w:numId w:val="2"/>
        </w:numPr>
        <w:spacing w:after="80" w:line="276"/>
      </w:pPr>
      <w:r>
        <w:rPr>
          <w:rFonts w:ascii="Calibri" w:cs="Calibri" w:eastAsia="Calibri" w:hAnsi="Calibri"/>
          <w:sz w:val="22"/>
          <w:szCs w:val="22"/>
        </w:rPr>
        <w:t xml:space="preserve">CM floor: criterion (b) is a CM floor requirement (Floor ID F01, barrier B1). On safety-significant product lines it is performed regardless of contract flow-down; any proposal not to perform it is dispositioned through the CM floor gate ([XXX-CM-PROC-003] §5.1.1) and recorded in the program CM Floor Compliance Matrix.</w:t>
      </w:r>
    </w:p>
    <w:p>
      <w:pPr>
        <w:pStyle w:val="ListParagraph"/>
        <w:numPr>
          <w:ilvl w:val="0"/>
          <w:numId w:val="2"/>
        </w:numPr>
        <w:spacing w:after="80" w:line="276"/>
      </w:pPr>
      <w:r>
        <w:rPr>
          <w:rFonts w:ascii="Calibri" w:cs="Calibri" w:eastAsia="Calibri" w:hAnsi="Calibri"/>
          <w:sz w:val="22"/>
          <w:szCs w:val="22"/>
        </w:rPr>
        <w:t xml:space="preserve">Rationale: document the assessment result and rationale for every candidate, whether designated or not. Retain per Section 6.</w:t>
      </w:r>
    </w:p>
    <w:p>
      <w:pPr>
        <w:pStyle w:val="ListParagraph"/>
        <w:numPr>
          <w:ilvl w:val="0"/>
          <w:numId w:val="2"/>
        </w:numPr>
        <w:spacing w:after="80" w:line="276"/>
      </w:pPr>
      <w:r>
        <w:rPr>
          <w:rFonts w:ascii="Calibri" w:cs="Calibri" w:eastAsia="Calibri" w:hAnsi="Calibri"/>
          <w:sz w:val="22"/>
          <w:szCs w:val="22"/>
        </w:rPr>
        <w:t xml:space="preserve">Level of selection: select CIs at the optimum level for both acquisition and support — the level at which items are specified, contracted, accepted, and at which logistics organizes and reports maintenance and modification actions. Avoid over-designation (unmanageable change traffic) and under-designation (loss of visibility and control).</w:t>
      </w:r>
    </w:p>
    <w:p>
      <w:pPr>
        <w:pStyle w:val="Heading2"/>
        <w:spacing w:after="120" w:before="260"/>
      </w:pPr>
      <w:r>
        <w:rPr>
          <w:rFonts w:ascii="Calibri" w:cs="Calibri" w:eastAsia="Calibri" w:hAnsi="Calibri"/>
        </w:rPr>
        <w:t xml:space="preserve">5.4 CI Structure and Hierarchy</w:t>
      </w:r>
    </w:p>
    <w:p>
      <w:pPr>
        <w:spacing w:after="120" w:line="276"/>
      </w:pPr>
      <w:r>
        <w:rPr>
          <w:rFonts w:ascii="Calibri" w:cs="Calibri" w:eastAsia="Calibri" w:hAnsi="Calibri"/>
          <w:sz w:val="22"/>
          <w:szCs w:val="22"/>
        </w:rPr>
        <w:t xml:space="preserve">Place each selected CI in the CI hierarchy, aligned per 5.2.1. For each CI, record its parent, children, and owning design activity.</w:t>
      </w:r>
    </w:p>
    <w:p>
      <w:pPr>
        <w:spacing w:after="120" w:line="276"/>
      </w:pPr>
      <w:r>
        <w:rPr>
          <w:rFonts w:ascii="Calibri" w:cs="Calibri" w:eastAsia="Calibri" w:hAnsi="Calibri"/>
          <w:sz w:val="22"/>
          <w:szCs w:val="22"/>
        </w:rPr>
        <w:t xml:space="preserve">Distinguish Acquirer-controlled CIs from lower-tier items subject to Supplier internal configuration management. Acquirer-controlled CIs are those the Acquirer specifies, baselines, and controls; below that level the Supplier determines items for internal CM and the documentation types to use. Subcontractor-developed items are CIs from the Supplier’s view and are flowed down with equivalent CM requirements.</w:t>
      </w:r>
    </w:p>
    <w:p>
      <w:pPr>
        <w:pStyle w:val="Heading2"/>
        <w:spacing w:after="120" w:before="260"/>
      </w:pPr>
      <w:r>
        <w:rPr>
          <w:rFonts w:ascii="Calibri" w:cs="Calibri" w:eastAsia="Calibri" w:hAnsi="Calibri"/>
        </w:rPr>
        <w:t xml:space="preserve">5.5 Interface Identification</w:t>
      </w:r>
    </w:p>
    <w:p>
      <w:pPr>
        <w:spacing w:after="120" w:line="276"/>
      </w:pPr>
      <w:r>
        <w:rPr>
          <w:rFonts w:ascii="Calibri" w:cs="Calibri" w:eastAsia="Calibri" w:hAnsi="Calibri"/>
          <w:sz w:val="22"/>
          <w:szCs w:val="22"/>
        </w:rPr>
        <w:t xml:space="preserve">Interfaces materialize at CI boundaries; identify them as soon as the CI structure (5.4) exists. For each CI, identify internal interface requirements (between CIs within the system) and external interface requirements (with other systems, facilities, and support equipment) per EIA-649-1A §3.2.5 (Floor ID F35). Every boundary between sibling CIs, between the system and external systems, and between Acquirer-controlled and Supplier-controlled levels is examined as a candidate interface.</w:t>
      </w:r>
    </w:p>
    <w:p>
      <w:pPr>
        <w:spacing w:after="120" w:line="276"/>
      </w:pPr>
      <w:r>
        <w:rPr>
          <w:rFonts w:ascii="Calibri" w:cs="Calibri" w:eastAsia="Calibri" w:hAnsi="Calibri"/>
          <w:sz w:val="22"/>
          <w:szCs w:val="22"/>
        </w:rPr>
        <w:t xml:space="preserve">Where MBSE is used, the model’s interface definitions (e.g., SysML ports, connectors, and interface blocks; UAF resource connectivity) are the primary input to interface identification; interfaces identified here and the model shall not diverge (see 5.2.1 and Appendix B).</w:t>
      </w:r>
    </w:p>
    <w:p>
      <w:pPr>
        <w:spacing w:after="120" w:line="276"/>
      </w:pPr>
      <w:r>
        <w:rPr>
          <w:rFonts w:ascii="Calibri" w:cs="Calibri" w:eastAsia="Calibri" w:hAnsi="Calibri"/>
          <w:sz w:val="22"/>
          <w:szCs w:val="22"/>
        </w:rPr>
        <w:t xml:space="preserve">Where the Acquirer operates an Interface Control Working Group (ICWG), provide a representative (Floor ID F38, conditional on an ICWG existing). Document interface requirements in interface specifications or Interface Control Documents (DI-SESS-81248 where contracted) as determined in 5.8.</w:t>
      </w:r>
    </w:p>
    <w:p>
      <w:pPr>
        <w:spacing w:after="120" w:line="276"/>
      </w:pPr>
      <w:r>
        <w:rPr>
          <w:rFonts w:ascii="Calibri" w:cs="Calibri" w:eastAsia="Calibri" w:hAnsi="Calibri"/>
          <w:sz w:val="22"/>
          <w:szCs w:val="22"/>
        </w:rPr>
        <w:t xml:space="preserve">F35 is a CM floor requirement: on safety-significant product lines it is performed regardless of contract flow-down or dispositioned through the CM floor gate ([XXX-CM-PROC-003] §5.1.1). Interface requirements identified here flow into configuration documentation (5.8, F36) and are controlled once baselined (5.9, F37).</w:t>
      </w:r>
    </w:p>
    <w:p>
      <w:pPr>
        <w:pStyle w:val="Heading2"/>
        <w:spacing w:after="120" w:before="260"/>
      </w:pPr>
      <w:r>
        <w:rPr>
          <w:rFonts w:ascii="Calibri" w:cs="Calibri" w:eastAsia="Calibri" w:hAnsi="Calibri"/>
        </w:rPr>
        <w:t xml:space="preserve">5.6 Acquirer Review and Concurrence</w:t>
      </w:r>
    </w:p>
    <w:p>
      <w:pPr>
        <w:spacing w:after="120" w:line="276"/>
      </w:pPr>
      <w:r>
        <w:rPr>
          <w:rFonts w:ascii="Calibri" w:cs="Calibri" w:eastAsia="Calibri" w:hAnsi="Calibri"/>
          <w:sz w:val="22"/>
          <w:szCs w:val="22"/>
        </w:rPr>
        <w:t xml:space="preserve">Submit the proposed CI list (candidates, selection results, and rationale) to the Acquirer for review and selection concurrence per EIA-649-1A §3.2.1(1). Where contracted, deliver via the applicable CDRLs (e.g., DI-SESS-82007 Configuration Item Documentation Recommendation; DI-SESS-81254 Request for Nomenclature).</w:t>
      </w:r>
    </w:p>
    <w:p>
      <w:pPr>
        <w:spacing w:after="120" w:line="276"/>
      </w:pPr>
      <w:r>
        <w:rPr>
          <w:rFonts w:ascii="Calibri" w:cs="Calibri" w:eastAsia="Calibri" w:hAnsi="Calibri"/>
          <w:sz w:val="22"/>
          <w:szCs w:val="22"/>
        </w:rPr>
        <w:t xml:space="preserve">CI selection is iterative. Resubmit for concurrence when the design evolves, when new candidates emerge, or when previously designated CIs are proposed for de-designation. Final designation authority for Acquirer-controlled CIs rests with the Acquirer.</w:t>
      </w:r>
    </w:p>
    <w:p>
      <w:pPr>
        <w:pStyle w:val="Heading2"/>
        <w:spacing w:after="120" w:before="260"/>
      </w:pPr>
      <w:r>
        <w:rPr>
          <w:rFonts w:ascii="Calibri" w:cs="Calibri" w:eastAsia="Calibri" w:hAnsi="Calibri"/>
        </w:rPr>
        <w:t xml:space="preserve">5.7 Identifier Assignment</w:t>
      </w:r>
    </w:p>
    <w:p>
      <w:pPr>
        <w:spacing w:after="120" w:line="276"/>
      </w:pPr>
      <w:r>
        <w:rPr>
          <w:rFonts w:ascii="Calibri" w:cs="Calibri" w:eastAsia="Calibri" w:hAnsi="Calibri"/>
          <w:sz w:val="22"/>
          <w:szCs w:val="22"/>
        </w:rPr>
        <w:t xml:space="preserve">Assign identifiers to each CI, its component parts, and its configuration documentation:</w:t>
      </w:r>
    </w:p>
    <w:p>
      <w:pPr>
        <w:pStyle w:val="ListParagraph"/>
        <w:numPr>
          <w:ilvl w:val="0"/>
          <w:numId w:val="2"/>
        </w:numPr>
        <w:spacing w:after="80" w:line="276"/>
      </w:pPr>
      <w:r>
        <w:rPr>
          <w:rFonts w:ascii="Calibri" w:cs="Calibri" w:eastAsia="Calibri" w:hAnsi="Calibri"/>
          <w:sz w:val="22"/>
          <w:szCs w:val="22"/>
        </w:rPr>
        <w:t xml:space="preserve">Enterprise identifier: include the design activity CAGE code on all CIs, subordinate parts and assemblies, configuration documentation, software media, and products.</w:t>
      </w:r>
    </w:p>
    <w:p>
      <w:pPr>
        <w:pStyle w:val="ListParagraph"/>
        <w:numPr>
          <w:ilvl w:val="0"/>
          <w:numId w:val="2"/>
        </w:numPr>
        <w:spacing w:after="80" w:line="276"/>
      </w:pPr>
      <w:r>
        <w:rPr>
          <w:rFonts w:ascii="Calibri" w:cs="Calibri" w:eastAsia="Calibri" w:hAnsi="Calibri"/>
          <w:sz w:val="22"/>
          <w:szCs w:val="22"/>
        </w:rPr>
        <w:t xml:space="preserve">Part or Identifying Number (PIN): assign to all CIs, parts, assemblies, units, and sets. The PIN is the same as, or contains, the design document number. When a modification creates a non-interchangeable condition, change the PIN (e.g., new dash number).</w:t>
      </w:r>
    </w:p>
    <w:p>
      <w:pPr>
        <w:pStyle w:val="ListParagraph"/>
        <w:numPr>
          <w:ilvl w:val="0"/>
          <w:numId w:val="2"/>
        </w:numPr>
        <w:spacing w:after="80" w:line="276"/>
      </w:pPr>
      <w:r>
        <w:rPr>
          <w:rFonts w:ascii="Calibri" w:cs="Calibri" w:eastAsia="Calibri" w:hAnsi="Calibri"/>
          <w:sz w:val="22"/>
          <w:szCs w:val="22"/>
        </w:rPr>
        <w:t xml:space="preserve">Product unit identifiers (serial/lot/batch numbers): assign where individual units or groups must be distinguished. Serial and lot numbers are unique, consecutive, and non-duplicating against a non-changing product-tracking base identifier. Once assigned, they are never revised or re-used — a modified unit retains its original unit identifier even though the PIN changes, preserving traceability to the original configuration.</w:t>
      </w:r>
    </w:p>
    <w:p>
      <w:pPr>
        <w:pStyle w:val="ListParagraph"/>
        <w:numPr>
          <w:ilvl w:val="0"/>
          <w:numId w:val="2"/>
        </w:numPr>
        <w:spacing w:after="80" w:line="276"/>
      </w:pPr>
      <w:r>
        <w:rPr>
          <w:rFonts w:ascii="Calibri" w:cs="Calibri" w:eastAsia="Calibri" w:hAnsi="Calibri"/>
          <w:sz w:val="22"/>
          <w:szCs w:val="22"/>
        </w:rPr>
        <w:t xml:space="preserve">Nomenclature: request military nomenclature where the contract specifies (DI-SESS-81254). Revise nomenclature when necessary to account for a non-interchangeable condition.</w:t>
      </w:r>
    </w:p>
    <w:p>
      <w:pPr>
        <w:pStyle w:val="ListParagraph"/>
        <w:numPr>
          <w:ilvl w:val="0"/>
          <w:numId w:val="2"/>
        </w:numPr>
        <w:spacing w:after="80" w:line="276"/>
      </w:pPr>
      <w:r>
        <w:rPr>
          <w:rFonts w:ascii="Calibri" w:cs="Calibri" w:eastAsia="Calibri" w:hAnsi="Calibri"/>
          <w:sz w:val="22"/>
          <w:szCs w:val="22"/>
        </w:rPr>
        <w:t xml:space="preserve">Software identifiers: assign each CSCI a unique identifier (name or number combined with CAGE code) and a version identifier for each version. Where embedded code and its hardware device are controlled via a single altered-item drawing, provide a part number representing the device with the embedded code; label the software medium with the Supplier code/name and mark it separately on the device.</w:t>
      </w:r>
    </w:p>
    <w:p>
      <w:pPr>
        <w:pStyle w:val="ListParagraph"/>
        <w:numPr>
          <w:ilvl w:val="0"/>
          <w:numId w:val="2"/>
        </w:numPr>
        <w:spacing w:after="80" w:line="276"/>
      </w:pPr>
      <w:r>
        <w:rPr>
          <w:rFonts w:ascii="Calibri" w:cs="Calibri" w:eastAsia="Calibri" w:hAnsi="Calibri"/>
          <w:sz w:val="22"/>
          <w:szCs w:val="22"/>
        </w:rPr>
        <w:t xml:space="preserve">IUID: apply Item Unique Identification marking per MIL-STD-130 for items bought, stocked, and used as spares by the DoD, as required by contract.</w:t>
      </w:r>
    </w:p>
    <w:p>
      <w:pPr>
        <w:pStyle w:val="ListParagraph"/>
        <w:numPr>
          <w:ilvl w:val="0"/>
          <w:numId w:val="2"/>
        </w:numPr>
        <w:spacing w:after="80" w:line="276"/>
      </w:pPr>
      <w:r>
        <w:rPr>
          <w:rFonts w:ascii="Calibri" w:cs="Calibri" w:eastAsia="Calibri" w:hAnsi="Calibri"/>
          <w:sz w:val="22"/>
          <w:szCs w:val="22"/>
        </w:rPr>
        <w:t xml:space="preserve">Document identifiers: uniquely identify each item of product configuration information so it can be referenced precisely and retrieved.</w:t>
      </w:r>
    </w:p>
    <w:p>
      <w:pPr>
        <w:pStyle w:val="Heading2"/>
        <w:spacing w:after="120" w:before="260"/>
      </w:pPr>
      <w:r>
        <w:rPr>
          <w:rFonts w:ascii="Calibri" w:cs="Calibri" w:eastAsia="Calibri" w:hAnsi="Calibri"/>
        </w:rPr>
        <w:t xml:space="preserve">5.8 Configuration Documentation Determination</w:t>
      </w:r>
    </w:p>
    <w:p>
      <w:pPr>
        <w:spacing w:after="120" w:line="276"/>
      </w:pPr>
      <w:r>
        <w:rPr>
          <w:rFonts w:ascii="Calibri" w:cs="Calibri" w:eastAsia="Calibri" w:hAnsi="Calibri"/>
          <w:sz w:val="22"/>
          <w:szCs w:val="22"/>
        </w:rPr>
        <w:t xml:space="preserve">For each CI, determine the configuration documentation that defines its performance, functional, and physical attributes, including internal and external interfaces. Documentation type depends on item maturity, ownership, and the control level: performance specifications at Acquirer-controlled levels on performance-based contracts; detail specifications, drawings, and models where design disclosure is required; commercial item descriptions or form-fit-function data for privately developed items.</w:t>
      </w:r>
    </w:p>
    <w:p>
      <w:pPr>
        <w:spacing w:after="120" w:line="276"/>
      </w:pPr>
      <w:r>
        <w:rPr>
          <w:rFonts w:ascii="Calibri" w:cs="Calibri" w:eastAsia="Calibri" w:hAnsi="Calibri"/>
          <w:sz w:val="22"/>
          <w:szCs w:val="22"/>
        </w:rPr>
        <w:t xml:space="preserve">Incorporate the interface information identified in 5.5 into the functional, allocated, and product configuration documentation (FCD/ACD/PCD) as each is developed (Floor ID F36) — in the applicable specifications directly or via referenced interface specifications/ICDs. F36 is a CM floor requirement, dispositioned per [XXX-CM-PROC-003] §5.1.1 where not performed.</w:t>
      </w:r>
    </w:p>
    <w:p>
      <w:pPr>
        <w:spacing w:after="120" w:line="276"/>
      </w:pPr>
      <w:r>
        <w:rPr>
          <w:rFonts w:ascii="Calibri" w:cs="Calibri" w:eastAsia="Calibri" w:hAnsi="Calibri"/>
          <w:sz w:val="22"/>
          <w:szCs w:val="22"/>
        </w:rPr>
        <w:t xml:space="preserve">Place each item of configuration documentation — including item, material, and process specifications, software specifications, and Software Version Descriptions (SVDs) — under configuration control upon release through the engineering release system.</w:t>
      </w:r>
    </w:p>
    <w:p>
      <w:pPr>
        <w:pStyle w:val="Heading2"/>
        <w:spacing w:after="120" w:before="260"/>
      </w:pPr>
      <w:r>
        <w:rPr>
          <w:rFonts w:ascii="Calibri" w:cs="Calibri" w:eastAsia="Calibri" w:hAnsi="Calibri"/>
        </w:rPr>
        <w:t xml:space="preserve">5.9 Baseline Establishment</w:t>
      </w:r>
    </w:p>
    <w:p>
      <w:pPr>
        <w:spacing w:after="120" w:line="276"/>
      </w:pPr>
      <w:r>
        <w:rPr>
          <w:rFonts w:ascii="Calibri" w:cs="Calibri" w:eastAsia="Calibri" w:hAnsi="Calibri"/>
          <w:sz w:val="22"/>
          <w:szCs w:val="22"/>
        </w:rPr>
        <w:t xml:space="preserve">Establish and manage the functional, allocated, and product baselines at the appropriate points in each CI’s lifecycle:</w:t>
      </w:r>
    </w:p>
    <w:p>
      <w:pPr>
        <w:pStyle w:val="ListParagraph"/>
        <w:numPr>
          <w:ilvl w:val="0"/>
          <w:numId w:val="2"/>
        </w:numPr>
        <w:spacing w:after="80" w:line="276"/>
      </w:pPr>
      <w:r>
        <w:rPr>
          <w:rFonts w:ascii="Calibri" w:cs="Calibri" w:eastAsia="Calibri" w:hAnsi="Calibri"/>
          <w:sz w:val="22"/>
          <w:szCs w:val="22"/>
        </w:rPr>
        <w:t xml:space="preserve">Functional baseline (FBL): system-level performance requirements and verification; typically established at/after the system functional review.</w:t>
      </w:r>
    </w:p>
    <w:p>
      <w:pPr>
        <w:pStyle w:val="ListParagraph"/>
        <w:numPr>
          <w:ilvl w:val="0"/>
          <w:numId w:val="2"/>
        </w:numPr>
        <w:spacing w:after="80" w:line="276"/>
      </w:pPr>
      <w:r>
        <w:rPr>
          <w:rFonts w:ascii="Calibri" w:cs="Calibri" w:eastAsia="Calibri" w:hAnsi="Calibri"/>
          <w:sz w:val="22"/>
          <w:szCs w:val="22"/>
        </w:rPr>
        <w:t xml:space="preserve">Allocated baseline (ABL): performance requirements allocated to each CI; typically established at/after preliminary design review for the CI.</w:t>
      </w:r>
    </w:p>
    <w:p>
      <w:pPr>
        <w:pStyle w:val="ListParagraph"/>
        <w:numPr>
          <w:ilvl w:val="0"/>
          <w:numId w:val="2"/>
        </w:numPr>
        <w:spacing w:after="80" w:line="276"/>
      </w:pPr>
      <w:r>
        <w:rPr>
          <w:rFonts w:ascii="Calibri" w:cs="Calibri" w:eastAsia="Calibri" w:hAnsi="Calibri"/>
          <w:sz w:val="22"/>
          <w:szCs w:val="22"/>
        </w:rPr>
        <w:t xml:space="preserve">Product baseline (PBL): the complete released design documentation describing the CI’s physical and functional attributes and acceptance test requirements; initially established at completion of CDR and formalized no later than first production unit delivery or physical configuration audit completion.</w:t>
      </w:r>
    </w:p>
    <w:p>
      <w:pPr>
        <w:spacing w:after="120" w:line="276"/>
      </w:pPr>
      <w:r>
        <w:rPr>
          <w:rFonts w:ascii="Calibri" w:cs="Calibri" w:eastAsia="Calibri" w:hAnsi="Calibri"/>
          <w:sz w:val="22"/>
          <w:szCs w:val="22"/>
        </w:rPr>
        <w:t xml:space="preserve">A baseline plus its approved changes is the current approved configuration. Interface control documentation is part of the functional and/or allocated baselines to the extent referenced in the applicable specifications. Maintain configuration control of baselined interface requirements (Floor ID F37, a CM floor requirement); changes to baselined interfaces are processed through formal change action.</w:t>
      </w:r>
    </w:p>
    <w:p>
      <w:pPr>
        <w:pStyle w:val="Heading2"/>
        <w:spacing w:after="120" w:before="260"/>
      </w:pPr>
      <w:r>
        <w:rPr>
          <w:rFonts w:ascii="Calibri" w:cs="Calibri" w:eastAsia="Calibri" w:hAnsi="Calibri"/>
        </w:rPr>
        <w:t xml:space="preserve">5.10 Maintenance and Iteration</w:t>
      </w:r>
    </w:p>
    <w:p>
      <w:pPr>
        <w:spacing w:after="120" w:line="276"/>
      </w:pPr>
      <w:r>
        <w:rPr>
          <w:rFonts w:ascii="Calibri" w:cs="Calibri" w:eastAsia="Calibri" w:hAnsi="Calibri"/>
          <w:sz w:val="22"/>
          <w:szCs w:val="22"/>
        </w:rPr>
        <w:t xml:space="preserve">Maintain the configuration identification throughout the lifecycle. Re-evaluate CI selection and structure upon any of the following triggers:</w:t>
      </w:r>
    </w:p>
    <w:p>
      <w:pPr>
        <w:pStyle w:val="ListParagraph"/>
        <w:numPr>
          <w:ilvl w:val="0"/>
          <w:numId w:val="2"/>
        </w:numPr>
        <w:spacing w:after="80" w:line="276"/>
      </w:pPr>
      <w:r>
        <w:rPr>
          <w:rFonts w:ascii="Calibri" w:cs="Calibri" w:eastAsia="Calibri" w:hAnsi="Calibri"/>
          <w:sz w:val="22"/>
          <w:szCs w:val="22"/>
        </w:rPr>
        <w:t xml:space="preserve">Design evolution introducing new items, new end-use functions, or new interfaces</w:t>
      </w:r>
    </w:p>
    <w:p>
      <w:pPr>
        <w:pStyle w:val="ListParagraph"/>
        <w:numPr>
          <w:ilvl w:val="0"/>
          <w:numId w:val="2"/>
        </w:numPr>
        <w:spacing w:after="80" w:line="276"/>
      </w:pPr>
      <w:r>
        <w:rPr>
          <w:rFonts w:ascii="Calibri" w:cs="Calibri" w:eastAsia="Calibri" w:hAnsi="Calibri"/>
          <w:sz w:val="22"/>
          <w:szCs w:val="22"/>
        </w:rPr>
        <w:t xml:space="preserve">Changes to the MBSE architecture decomposition (the CI structure is re-aligned per 5.2.1)</w:t>
      </w:r>
    </w:p>
    <w:p>
      <w:pPr>
        <w:pStyle w:val="ListParagraph"/>
        <w:numPr>
          <w:ilvl w:val="0"/>
          <w:numId w:val="2"/>
        </w:numPr>
        <w:spacing w:after="80" w:line="276"/>
      </w:pPr>
      <w:r>
        <w:rPr>
          <w:rFonts w:ascii="Calibri" w:cs="Calibri" w:eastAsia="Calibri" w:hAnsi="Calibri"/>
          <w:sz w:val="22"/>
          <w:szCs w:val="22"/>
        </w:rPr>
        <w:t xml:space="preserve">New or revised hazard analyses identifying safety-critical items (SM-0001)</w:t>
      </w:r>
    </w:p>
    <w:p>
      <w:pPr>
        <w:pStyle w:val="ListParagraph"/>
        <w:numPr>
          <w:ilvl w:val="0"/>
          <w:numId w:val="2"/>
        </w:numPr>
        <w:spacing w:after="80" w:line="276"/>
      </w:pPr>
      <w:r>
        <w:rPr>
          <w:rFonts w:ascii="Calibri" w:cs="Calibri" w:eastAsia="Calibri" w:hAnsi="Calibri"/>
          <w:sz w:val="22"/>
          <w:szCs w:val="22"/>
        </w:rPr>
        <w:t xml:space="preserve">Changes to supportability strategy, provisioning, or separate procurement decisions</w:t>
      </w:r>
    </w:p>
    <w:p>
      <w:pPr>
        <w:pStyle w:val="ListParagraph"/>
        <w:numPr>
          <w:ilvl w:val="0"/>
          <w:numId w:val="2"/>
        </w:numPr>
        <w:spacing w:after="80" w:line="276"/>
      </w:pPr>
      <w:r>
        <w:rPr>
          <w:rFonts w:ascii="Calibri" w:cs="Calibri" w:eastAsia="Calibri" w:hAnsi="Calibri"/>
          <w:sz w:val="22"/>
          <w:szCs w:val="22"/>
        </w:rPr>
        <w:t xml:space="preserve">Contract changes, including Acquirer direction designating or de-designating CIs</w:t>
      </w:r>
    </w:p>
    <w:p>
      <w:pPr>
        <w:pStyle w:val="ListParagraph"/>
        <w:numPr>
          <w:ilvl w:val="0"/>
          <w:numId w:val="2"/>
        </w:numPr>
        <w:spacing w:after="80" w:line="276"/>
      </w:pPr>
      <w:r>
        <w:rPr>
          <w:rFonts w:ascii="Calibri" w:cs="Calibri" w:eastAsia="Calibri" w:hAnsi="Calibri"/>
          <w:sz w:val="22"/>
          <w:szCs w:val="22"/>
        </w:rPr>
        <w:t xml:space="preserve">Non-interchangeable modifications requiring PIN change and identifier updates</w:t>
      </w:r>
    </w:p>
    <w:p>
      <w:pPr>
        <w:spacing w:after="120" w:line="276"/>
      </w:pPr>
      <w:r>
        <w:rPr>
          <w:rFonts w:ascii="Calibri" w:cs="Calibri" w:eastAsia="Calibri" w:hAnsi="Calibri"/>
          <w:sz w:val="22"/>
          <w:szCs w:val="22"/>
        </w:rPr>
        <w:t xml:space="preserve">Record all CI designations, identifier assignments, baseline establishments, and changes in the Configuration Status Accounting (CSA) system.</w:t>
      </w:r>
    </w:p>
    <w:p>
      <w:pPr>
        <w:pStyle w:val="Heading1"/>
        <w:spacing w:after="160" w:before="320"/>
      </w:pPr>
      <w:r>
        <w:rPr>
          <w:rFonts w:ascii="Calibri" w:cs="Calibri" w:eastAsia="Calibri" w:hAnsi="Calibri"/>
        </w:rPr>
        <w:t xml:space="preserve">6. Records and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Record / Output</w:t>
            </w:r>
          </w:p>
        </w:tc>
        <w:tc>
          <w:tcPr>
            <w:tcW w:type="dxa" w:w="61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Content and Retention</w:t>
            </w:r>
          </w:p>
        </w:tc>
      </w:tr>
      <w:tr>
        <w:tc>
          <w:tcPr>
            <w:tcW w:type="dxa" w:w="3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CI Index (CI list)</w:t>
            </w:r>
          </w:p>
        </w:tc>
        <w:tc>
          <w:tcPr>
            <w:tcW w:type="dxa" w:w="6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All designated CIs with hierarchy (parent/child), owning design activity, CAGE, PIN, nomenclature, controlling baseline status, and Acquirer/Supplier control designation. Maintained current in the CSA system for the program life.</w:t>
            </w:r>
          </w:p>
        </w:tc>
      </w:tr>
      <w:tr>
        <w:tc>
          <w:tcPr>
            <w:tcW w:type="dxa" w:w="3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CI Selection Rationale Records</w:t>
            </w:r>
          </w:p>
        </w:tc>
        <w:tc>
          <w:tcPr>
            <w:tcW w:type="dxa" w:w="6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Completed selection criteria assessments (Appendix A) for every candidate, including items not designated, with rationale. Retained for the program life.</w:t>
            </w:r>
          </w:p>
        </w:tc>
      </w:tr>
      <w:tr>
        <w:tc>
          <w:tcPr>
            <w:tcW w:type="dxa" w:w="3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Acquirer Concurrence Records</w:t>
            </w:r>
          </w:p>
        </w:tc>
        <w:tc>
          <w:tcPr>
            <w:tcW w:type="dxa" w:w="6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Submittals and Acquirer concurrence/direction on CI selection, including CDRL deliveries.</w:t>
            </w:r>
          </w:p>
        </w:tc>
      </w:tr>
      <w:tr>
        <w:tc>
          <w:tcPr>
            <w:tcW w:type="dxa" w:w="3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Identifier Registers</w:t>
            </w:r>
          </w:p>
        </w:tc>
        <w:tc>
          <w:tcPr>
            <w:tcW w:type="dxa" w:w="6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PIN assignment logs, serial/lot number registers against product-tracking base identifiers, software version identifier records, nomenclature assignments, document identifier registers.</w:t>
            </w:r>
          </w:p>
        </w:tc>
      </w:tr>
      <w:tr>
        <w:tc>
          <w:tcPr>
            <w:tcW w:type="dxa" w:w="3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Baseline Records</w:t>
            </w:r>
          </w:p>
        </w:tc>
        <w:tc>
          <w:tcPr>
            <w:tcW w:type="dxa" w:w="6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Baseline definition documents/indices for FBL, ABL, PBL per CI, with approved change status.</w:t>
            </w:r>
          </w:p>
        </w:tc>
      </w:tr>
    </w:tbl>
    <w:p>
      <w:r>
        <w:br w:type="page"/>
      </w:r>
    </w:p>
    <w:p>
      <w:pPr>
        <w:pStyle w:val="Heading1"/>
        <w:spacing w:after="160" w:before="320"/>
      </w:pPr>
      <w:r>
        <w:rPr>
          <w:rFonts w:ascii="Calibri" w:cs="Calibri" w:eastAsia="Calibri" w:hAnsi="Calibri"/>
        </w:rPr>
        <w:t xml:space="preserve">Appendix A — CI Selection Criteria Checklist</w:t>
      </w:r>
    </w:p>
    <w:p>
      <w:pPr>
        <w:spacing w:after="120" w:line="276"/>
      </w:pPr>
      <w:r>
        <w:rPr>
          <w:rFonts w:ascii="Calibri" w:cs="Calibri" w:eastAsia="Calibri" w:hAnsi="Calibri"/>
          <w:sz w:val="22"/>
          <w:szCs w:val="22"/>
        </w:rPr>
        <w:t xml:space="preserve">Complete one checklist per candidate item. Attach to the CI Selection Rationale Record.</w:t>
      </w:r>
    </w:p>
    <w:p>
      <w:pPr>
        <w:spacing w:after="120" w:line="276"/>
      </w:pPr>
      <w:r>
        <w:rPr>
          <w:rFonts w:ascii="Calibri" w:cs="Calibri" w:eastAsia="Calibri" w:hAnsi="Calibri"/>
          <w:sz w:val="22"/>
          <w:szCs w:val="22"/>
        </w:rPr>
        <w:t xml:space="preserve">Candidate item: ____________________    PIN/Model ref: ____________________    Assessor/date: ____________________</w:t>
      </w:r>
    </w:p>
    <w:p>
      <w:pPr>
        <w:spacing w:after="120" w:line="276"/>
        <w:rPr>
          <w:b/>
          <w:bCs/>
        </w:rPr>
      </w:pPr>
      <w:r>
        <w:rPr>
          <w:rFonts w:ascii="Calibri" w:cs="Calibri" w:eastAsia="Calibri" w:hAnsi="Calibri"/>
          <w:b/>
          <w:bCs/>
          <w:sz w:val="22"/>
          <w:szCs w:val="22"/>
        </w:rPr>
        <w:t xml:space="preserve">Step 1 — End-Use Function Gate</w:t>
      </w:r>
    </w:p>
    <w:p>
      <w:pPr>
        <w:spacing w:after="120" w:line="276"/>
      </w:pPr>
      <w:r>
        <w:rPr>
          <w:rFonts w:ascii="Calibri" w:cs="Calibri" w:eastAsia="Calibri" w:hAnsi="Calibri"/>
          <w:sz w:val="22"/>
          <w:szCs w:val="22"/>
        </w:rPr>
        <w:t xml:space="preserve">Does the item satisfy a system end-use function?  YES ☐   NO ☐   — If NO, the item is not a CI candidate. Record rationale and identify the parent CI under which the item is controlled. Stop.</w:t>
      </w:r>
    </w:p>
    <w:p>
      <w:pPr>
        <w:spacing w:after="120" w:line="276"/>
        <w:rPr>
          <w:b/>
          <w:bCs/>
        </w:rPr>
      </w:pPr>
      <w:r>
        <w:rPr>
          <w:rFonts w:ascii="Calibri" w:cs="Calibri" w:eastAsia="Calibri" w:hAnsi="Calibri"/>
          <w:b/>
          <w:bCs/>
          <w:sz w:val="22"/>
          <w:szCs w:val="22"/>
        </w:rPr>
        <w:t xml:space="preserve">Step 2 — Criteria Screen (EIA-649-1A §3.2.1(2)). One or more YES answers requires CI designation and submittal for Acquirer concurrence.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860"/>
        <w:gridCol w:w="800"/>
        <w:gridCol w:w="800"/>
        <w:gridCol w:w="1000"/>
      </w:tblGrid>
      <w:tr>
        <w:trPr>
          <w:tblHeader/>
        </w:trPr>
        <w:tc>
          <w:tcPr>
            <w:tcW w:type="dxa" w:w="9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Ref</w:t>
            </w:r>
          </w:p>
        </w:tc>
        <w:tc>
          <w:tcPr>
            <w:tcW w:type="dxa" w:w="58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Criterion</w:t>
            </w:r>
          </w:p>
        </w:tc>
        <w:tc>
          <w:tcPr>
            <w:tcW w:type="dxa" w:w="8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Yes</w:t>
            </w:r>
          </w:p>
        </w:tc>
        <w:tc>
          <w:tcPr>
            <w:tcW w:type="dxa" w:w="8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No</w:t>
            </w:r>
          </w:p>
        </w:tc>
        <w:tc>
          <w:tcPr>
            <w:tcW w:type="dxa" w:w="10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N/A</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w:t>
            </w:r>
          </w:p>
        </w:tc>
        <w:tc>
          <w:tcPr>
            <w:tcW w:type="dxa" w:w="58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Critical to the functioning of the system</w:t>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10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(b)</w:t>
            </w:r>
          </w:p>
        </w:tc>
        <w:tc>
          <w:tcPr>
            <w:tcW w:type="dxa" w:w="58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Failure might result in serious injury, loss of life, or loss of primary system capability (screen all SMS/SM-0001 safety-critical items here)</w:t>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10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w:t>
            </w:r>
          </w:p>
        </w:tc>
        <w:tc>
          <w:tcPr>
            <w:tcW w:type="dxa" w:w="58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Technology is complex, not well known, and critical to acquisition, operational, or supportability goals</w:t>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10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w:t>
            </w:r>
          </w:p>
        </w:tc>
        <w:tc>
          <w:tcPr>
            <w:tcW w:type="dxa" w:w="58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Under control as designated by the Acquirer</w:t>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10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w:t>
            </w:r>
          </w:p>
        </w:tc>
        <w:tc>
          <w:tcPr>
            <w:tcW w:type="dxa" w:w="58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Requires separate type designation, versions, or nomenclatures</w:t>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10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w:t>
            </w:r>
          </w:p>
        </w:tc>
        <w:tc>
          <w:tcPr>
            <w:tcW w:type="dxa" w:w="58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Critical or high risk; failure would have significant financial impact</w:t>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10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(g)</w:t>
            </w:r>
          </w:p>
        </w:tc>
        <w:tc>
          <w:tcPr>
            <w:tcW w:type="dxa" w:w="58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Requires logistics elements (APL/AEL/ACL, test equipment, technical manuals, PMS MIP/MRC, tag-out)</w:t>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10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SW</w:t>
            </w:r>
          </w:p>
        </w:tc>
        <w:tc>
          <w:tcPr>
            <w:tcW w:type="dxa" w:w="58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Item is computer software (designate as CSCI)</w:t>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10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Supplemental screening (optional, per GEIA-HB-649A App. D / §7.9): independent end-use function; separate change effectivity address; common to several systems; interfaces with an existing CI; interchangeability level; separate delivery/installation; separate performance and test requirements; independently testable; configurable item requiring accurate record of configured state; requires change request approval to modify; new or modified design; critical to top-down identification of lower-tier CIs.</w:t>
      </w:r>
    </w:p>
    <w:p>
      <w:pPr>
        <w:spacing w:after="120" w:line="276"/>
      </w:pPr>
      <w:r>
        <w:rPr>
          <w:rFonts w:ascii="Calibri" w:cs="Calibri" w:eastAsia="Calibri" w:hAnsi="Calibri"/>
          <w:sz w:val="22"/>
          <w:szCs w:val="22"/>
        </w:rPr>
        <w:t xml:space="preserve">Result:  DESIGNATE AS CI ☐    DO NOT DESIGNATE ☐</w:t>
      </w:r>
    </w:p>
    <w:p>
      <w:pPr>
        <w:spacing w:after="120" w:line="276"/>
      </w:pPr>
      <w:r>
        <w:rPr>
          <w:rFonts w:ascii="Calibri" w:cs="Calibri" w:eastAsia="Calibri" w:hAnsi="Calibri"/>
          <w:sz w:val="22"/>
          <w:szCs w:val="22"/>
        </w:rPr>
        <w:t xml:space="preserve">Rationale: ________________________________________________________________________</w:t>
      </w:r>
    </w:p>
    <w:p>
      <w:pPr>
        <w:spacing w:after="120" w:line="276"/>
      </w:pPr>
      <w:r>
        <w:rPr>
          <w:rFonts w:ascii="Calibri" w:cs="Calibri" w:eastAsia="Calibri" w:hAnsi="Calibri"/>
          <w:sz w:val="22"/>
          <w:szCs w:val="22"/>
        </w:rPr>
        <w:t xml:space="preserve">System Safety concurrence (required if safety-critical and not designated): ____________________</w:t>
      </w:r>
    </w:p>
    <w:p>
      <w:r>
        <w:br w:type="page"/>
      </w:r>
    </w:p>
    <w:p>
      <w:pPr>
        <w:pStyle w:val="Heading1"/>
        <w:spacing w:after="160" w:before="320"/>
      </w:pPr>
      <w:r>
        <w:rPr>
          <w:rFonts w:ascii="Calibri" w:cs="Calibri" w:eastAsia="Calibri" w:hAnsi="Calibri"/>
        </w:rPr>
        <w:t xml:space="preserve">Appendix B — MBSE-to-CI Structure Alignment Guidance</w:t>
      </w:r>
    </w:p>
    <w:p>
      <w:pPr>
        <w:pStyle w:val="Heading2"/>
        <w:spacing w:after="120" w:before="260"/>
      </w:pPr>
      <w:r>
        <w:rPr>
          <w:rFonts w:ascii="Calibri" w:cs="Calibri" w:eastAsia="Calibri" w:hAnsi="Calibri"/>
        </w:rPr>
        <w:t xml:space="preserve">B.1 Rule</w:t>
      </w:r>
    </w:p>
    <w:p>
      <w:pPr>
        <w:spacing w:after="120" w:line="276"/>
      </w:pPr>
      <w:r>
        <w:rPr>
          <w:rFonts w:ascii="Calibri" w:cs="Calibri" w:eastAsia="Calibri" w:hAnsi="Calibri"/>
          <w:sz w:val="22"/>
          <w:szCs w:val="22"/>
        </w:rPr>
        <w:t xml:space="preserve">Where MBSE is used, the CI parent-child hierarchy shall mirror the decomposition method of the MBSE architecture model. The CI structure and the architecture model are two views of one decomposition; they shall not diverge.</w:t>
      </w:r>
    </w:p>
    <w:p>
      <w:pPr>
        <w:pStyle w:val="Heading2"/>
        <w:spacing w:after="120" w:before="260"/>
      </w:pPr>
      <w:r>
        <w:rPr>
          <w:rFonts w:ascii="Calibri" w:cs="Calibri" w:eastAsia="Calibri" w:hAnsi="Calibri"/>
        </w:rPr>
        <w:t xml:space="preserve">B.2 Preferred Decomposition Schemes</w:t>
      </w:r>
    </w:p>
    <w:p>
      <w:pPr>
        <w:pStyle w:val="ListParagraph"/>
        <w:numPr>
          <w:ilvl w:val="0"/>
          <w:numId w:val="2"/>
        </w:numPr>
        <w:spacing w:after="80" w:line="276"/>
      </w:pPr>
      <w:r>
        <w:rPr>
          <w:rFonts w:ascii="Calibri" w:cs="Calibri" w:eastAsia="Calibri" w:hAnsi="Calibri"/>
          <w:sz w:val="22"/>
          <w:szCs w:val="22"/>
        </w:rPr>
        <w:t xml:space="preserve">ATA chapter scheme (ATA iSpec 2200): decompose the air vehicle by ATA chapter/section; CIs at each level carry the corresponding ATA reference as an attribute in the CI index.</w:t>
      </w:r>
    </w:p>
    <w:p>
      <w:pPr>
        <w:pStyle w:val="ListParagraph"/>
        <w:numPr>
          <w:ilvl w:val="0"/>
          <w:numId w:val="2"/>
        </w:numPr>
        <w:spacing w:after="80" w:line="276"/>
      </w:pPr>
      <w:r>
        <w:rPr>
          <w:rFonts w:ascii="Calibri" w:cs="Calibri" w:eastAsia="Calibri" w:hAnsi="Calibri"/>
          <w:sz w:val="22"/>
          <w:szCs w:val="22"/>
        </w:rPr>
        <w:t xml:space="preserve">S1000D SNS: decompose using the Standard Numbering System; CI identifiers cross-reference the SNS codes used in the technical data suite.</w:t>
      </w:r>
    </w:p>
    <w:p>
      <w:pPr>
        <w:spacing w:after="120" w:line="276"/>
      </w:pPr>
      <w:r>
        <w:rPr>
          <w:rFonts w:ascii="Calibri" w:cs="Calibri" w:eastAsia="Calibri" w:hAnsi="Calibri"/>
          <w:sz w:val="22"/>
          <w:szCs w:val="22"/>
        </w:rPr>
        <w:t xml:space="preserve">Implement the model in SysML or UAF. The model element type used for decomposition (e.g., SysML block hierarchies / part properties; UAF resource structures) is recorded in the program CMP.</w:t>
      </w:r>
    </w:p>
    <w:p>
      <w:pPr>
        <w:pStyle w:val="Heading2"/>
        <w:spacing w:after="120" w:before="260"/>
      </w:pPr>
      <w:r>
        <w:rPr>
          <w:rFonts w:ascii="Calibri" w:cs="Calibri" w:eastAsia="Calibri" w:hAnsi="Calibri"/>
        </w:rPr>
        <w:t xml:space="preserve">B.3 When the Model Uses a Different Scheme</w:t>
      </w:r>
    </w:p>
    <w:p>
      <w:pPr>
        <w:spacing w:after="120" w:line="276"/>
      </w:pPr>
      <w:r>
        <w:rPr>
          <w:rFonts w:ascii="Calibri" w:cs="Calibri" w:eastAsia="Calibri" w:hAnsi="Calibri"/>
          <w:sz w:val="22"/>
          <w:szCs w:val="22"/>
        </w:rPr>
        <w:t xml:space="preserve">If the program MBSE model decomposes by another method (functional thread, zonal, WBS-based), the CI structure mirrors that method. Do not maintain a second, independent CI decomposition. Record the mapping convention in the CMP and note any contract-driven exceptions (e.g., Acquirer-directed CI levels) explicitly in the CI index.</w:t>
      </w:r>
    </w:p>
    <w:p>
      <w:pPr>
        <w:pStyle w:val="Heading2"/>
        <w:spacing w:after="120" w:before="260"/>
      </w:pPr>
      <w:r>
        <w:rPr>
          <w:rFonts w:ascii="Calibri" w:cs="Calibri" w:eastAsia="Calibri" w:hAnsi="Calibri"/>
        </w:rPr>
        <w:t xml:space="preserve">B.4 Practices</w:t>
      </w:r>
    </w:p>
    <w:p>
      <w:pPr>
        <w:pStyle w:val="ListParagraph"/>
        <w:numPr>
          <w:ilvl w:val="0"/>
          <w:numId w:val="2"/>
        </w:numPr>
        <w:spacing w:after="80" w:line="276"/>
      </w:pPr>
      <w:r>
        <w:rPr>
          <w:rFonts w:ascii="Calibri" w:cs="Calibri" w:eastAsia="Calibri" w:hAnsi="Calibri"/>
          <w:sz w:val="22"/>
          <w:szCs w:val="22"/>
        </w:rPr>
        <w:t xml:space="preserve">Assign each CI a persistent cross-reference to its corresponding model element (model element ID recorded in the CI index; CI identifier recorded as a model element property).</w:t>
      </w:r>
    </w:p>
    <w:p>
      <w:pPr>
        <w:pStyle w:val="ListParagraph"/>
        <w:numPr>
          <w:ilvl w:val="0"/>
          <w:numId w:val="2"/>
        </w:numPr>
        <w:spacing w:after="80" w:line="276"/>
      </w:pPr>
      <w:r>
        <w:rPr>
          <w:rFonts w:ascii="Calibri" w:cs="Calibri" w:eastAsia="Calibri" w:hAnsi="Calibri"/>
          <w:sz w:val="22"/>
          <w:szCs w:val="22"/>
        </w:rPr>
        <w:t xml:space="preserve">Treat changes to the model decomposition as triggers for CI structure re-evaluation (5.10); process structural changes through configuration control once baselined.</w:t>
      </w:r>
    </w:p>
    <w:p>
      <w:pPr>
        <w:pStyle w:val="ListParagraph"/>
        <w:numPr>
          <w:ilvl w:val="0"/>
          <w:numId w:val="2"/>
        </w:numPr>
        <w:spacing w:after="80" w:line="276"/>
      </w:pPr>
      <w:r>
        <w:rPr>
          <w:rFonts w:ascii="Calibri" w:cs="Calibri" w:eastAsia="Calibri" w:hAnsi="Calibri"/>
          <w:sz w:val="22"/>
          <w:szCs w:val="22"/>
        </w:rPr>
        <w:t xml:space="preserve">Verify alignment at each technical review and prior to each baseline establishment: every Acquirer-controlled CI resolves to a model element, and every model element at the CI-designation level has been screened per 5.3.</w:t>
      </w:r>
    </w:p>
    <w:p>
      <w:pPr>
        <w:pStyle w:val="ListParagraph"/>
        <w:numPr>
          <w:ilvl w:val="0"/>
          <w:numId w:val="2"/>
        </w:numPr>
        <w:spacing w:after="80" w:line="276"/>
      </w:pPr>
      <w:r>
        <w:rPr>
          <w:rFonts w:ascii="Calibri" w:cs="Calibri" w:eastAsia="Calibri" w:hAnsi="Calibri"/>
          <w:sz w:val="22"/>
          <w:szCs w:val="22"/>
        </w:rPr>
        <w:t xml:space="preserve">For hybrid programs (partial MBSE coverage), the modeled portion of the product structure follows this appendix; the unmodeled portion follows the engineering BOM hierarchy, with the seam documented in the CMP.</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CI Identification Process — [XXX-CM-PROC-001] — Page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1F3864"/>
      <w:sz w:val="30"/>
      <w:szCs w:val="30"/>
    </w:rPr>
  </w:style>
  <w:style w:type="paragraph" w:styleId="Heading2">
    <w:name w:val="Heading 2"/>
    <w:basedOn w:val="Normal"/>
    <w:next w:val="Normal"/>
    <w:qFormat/>
    <w:pPr>
      <w:spacing w:after="120" w:before="260"/>
    </w:pPr>
    <w:rPr>
      <w:rFonts w:ascii="Calibri" w:cs="Calibri" w:eastAsia="Calibri" w:hAnsi="Calibri"/>
      <w:b/>
      <w:bCs/>
      <w:color w:val="1F3864"/>
      <w:sz w:val="26"/>
      <w:szCs w:val="26"/>
    </w:rPr>
  </w:style>
  <w:style w:type="paragraph" w:styleId="Heading3">
    <w:name w:val="Heading 3"/>
    <w:basedOn w:val="Normal"/>
    <w:next w:val="Normal"/>
    <w:qFormat/>
    <w:pPr>
      <w:spacing w:after="100" w:before="200"/>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2026-07-14T01:06:38.471Z</dcterms:created>
  <dcterms:modified xsi:type="dcterms:W3CDTF">2026-07-14T01:06:38.487Z</dcterms:modified>
</cp:coreProperties>
</file>

<file path=docProps/custom.xml><?xml version="1.0" encoding="utf-8"?>
<Properties xmlns="http://schemas.openxmlformats.org/officeDocument/2006/custom-properties" xmlns:vt="http://schemas.openxmlformats.org/officeDocument/2006/docPropsVTypes"/>
</file>