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pPr>
      <w:r>
        <w:rPr>
          <w:b/>
          <w:bCs/>
          <w:sz w:val="26"/>
          <w:szCs w:val="26"/>
        </w:rPr>
        <w:t xml:space="preserve">PART NOTE CODES FOR TRACEABLE PARTS AND PRODUCT-UNIT RECORDS REQUIRING CONFIGURATION STATUS ACCOUNTING RECONCILIATION</w:t>
      </w:r>
    </w:p>
    <w:p>
      <w:pPr>
        <w:pStyle w:val="Heading1"/>
        <w:spacing w:after="160" w:before="360"/>
      </w:pPr>
      <w:r>
        <w:rPr>
          <w:b/>
          <w:bCs/>
          <w:color w:val="000000"/>
          <w:sz w:val="26"/>
          <w:szCs w:val="26"/>
        </w:rPr>
        <w:t xml:space="preserve">6.1	Overview</w:t>
      </w:r>
    </w:p>
    <w:p>
      <w:pPr>
        <w:spacing w:after="160" w:line="276"/>
      </w:pPr>
      <w:r>
        <w:rPr>
          <w:sz w:val="22"/>
          <w:szCs w:val="22"/>
        </w:rPr>
        <w:t xml:space="preserve">Certain part note codes capture part traceability documentation requirements and product-unit record requirements. This section identifies those part note codes. It establishes how Design Engineering imposes them on a parts list. Configuration Management is accountable for reconciling these part note codes on the design with the traceability documentation and product-unit records captured in the build environment.</w:t>
      </w:r>
    </w:p>
    <w:p>
      <w:pPr>
        <w:spacing w:after="160" w:line="276"/>
      </w:pPr>
      <w:r>
        <w:rPr>
          <w:sz w:val="22"/>
          <w:szCs w:val="22"/>
        </w:rPr>
        <w:t xml:space="preserve">This section is organized in three parts.</w:t>
      </w:r>
    </w:p>
    <w:p>
      <w:pPr>
        <w:pStyle w:val="ListParagraph"/>
        <w:numPr>
          <w:ilvl w:val="0"/>
          <w:numId w:val="2"/>
        </w:numPr>
        <w:spacing w:after="120" w:line="276"/>
      </w:pPr>
      <w:r>
        <w:rPr>
          <w:b/>
          <w:bCs/>
          <w:sz w:val="22"/>
          <w:szCs w:val="22"/>
        </w:rPr>
        <w:t xml:space="preserve">Section 6.2 Requirement Sources</w:t>
      </w:r>
      <w:r>
        <w:rPr>
          <w:sz w:val="22"/>
          <w:szCs w:val="22"/>
        </w:rPr>
        <w:t xml:space="preserve"> defines each item category that drives a part note code. Each category is defined once. Each definition carries its governing citation.</w:t>
      </w:r>
    </w:p>
    <w:p>
      <w:pPr>
        <w:pStyle w:val="ListParagraph"/>
        <w:numPr>
          <w:ilvl w:val="0"/>
          <w:numId w:val="2"/>
        </w:numPr>
        <w:spacing w:after="120" w:line="276"/>
      </w:pPr>
      <w:r>
        <w:rPr>
          <w:b/>
          <w:bCs/>
          <w:sz w:val="22"/>
          <w:szCs w:val="22"/>
        </w:rPr>
        <w:t xml:space="preserve">Sections 6.3 through 6.7</w:t>
      </w:r>
      <w:r>
        <w:rPr>
          <w:sz w:val="22"/>
          <w:szCs w:val="22"/>
        </w:rPr>
        <w:t xml:space="preserve"> define each part note code. Each code section carries the exact note text to apply. Section 6.6 carries the cascade scope, which is how far traceability runs up the product tree.</w:t>
      </w:r>
    </w:p>
    <w:p>
      <w:pPr>
        <w:pStyle w:val="ListParagraph"/>
        <w:numPr>
          <w:ilvl w:val="0"/>
          <w:numId w:val="2"/>
        </w:numPr>
        <w:spacing w:after="120" w:line="276"/>
      </w:pPr>
      <w:r>
        <w:rPr>
          <w:b/>
          <w:bCs/>
          <w:sz w:val="22"/>
          <w:szCs w:val="22"/>
        </w:rPr>
        <w:t xml:space="preserve">Section 6.8 Application Matrix</w:t>
      </w:r>
      <w:r>
        <w:rPr>
          <w:sz w:val="22"/>
          <w:szCs w:val="22"/>
        </w:rPr>
        <w:t xml:space="preserve"> joins the two. Start there when you know the item and need the codes.</w:t>
      </w:r>
    </w:p>
    <w:p>
      <w:pPr>
        <w:spacing w:after="160" w:line="276"/>
      </w:pPr>
      <w:r>
        <w:rPr>
          <w:sz w:val="22"/>
          <w:szCs w:val="22"/>
        </w:rPr>
        <w:t xml:space="preserve">Eight part note codes are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60"/>
        <w:gridCol w:w="4200"/>
        <w:gridCol w:w="1300"/>
      </w:tblGrid>
      <w:tr>
        <w:trPr>
          <w:tblHeader/>
        </w:trPr>
        <w:tc>
          <w:tcPr>
            <w:tcW w:type="dxa" w:w="1000"/>
            <w:shd w:fill="E7E7E7" w:val="clear"/>
            <w:tcMar>
              <w:top w:type="dxa" w:w="60"/>
              <w:left w:type="dxa" w:w="90"/>
              <w:bottom w:type="dxa" w:w="60"/>
              <w:right w:type="dxa" w:w="90"/>
            </w:tcMar>
            <w:vAlign w:val="top"/>
          </w:tcPr>
          <w:p>
            <w:pPr>
              <w:spacing w:after="0" w:line="240"/>
            </w:pPr>
            <w:r>
              <w:rPr>
                <w:b/>
                <w:bCs/>
                <w:sz w:val="19"/>
                <w:szCs w:val="19"/>
              </w:rPr>
              <w:t xml:space="preserve">Code</w:t>
            </w:r>
          </w:p>
        </w:tc>
        <w:tc>
          <w:tcPr>
            <w:tcW w:type="dxa" w:w="2860"/>
            <w:shd w:fill="E7E7E7" w:val="clear"/>
            <w:tcMar>
              <w:top w:type="dxa" w:w="60"/>
              <w:left w:type="dxa" w:w="90"/>
              <w:bottom w:type="dxa" w:w="60"/>
              <w:right w:type="dxa" w:w="90"/>
            </w:tcMar>
            <w:vAlign w:val="top"/>
          </w:tcPr>
          <w:p>
            <w:pPr>
              <w:spacing w:after="0" w:line="240"/>
            </w:pPr>
            <w:r>
              <w:rPr>
                <w:b/>
                <w:bCs/>
                <w:sz w:val="19"/>
                <w:szCs w:val="19"/>
              </w:rPr>
              <w:t xml:space="preserve">Name</w:t>
            </w:r>
          </w:p>
        </w:tc>
        <w:tc>
          <w:tcPr>
            <w:tcW w:type="dxa" w:w="4200"/>
            <w:shd w:fill="E7E7E7" w:val="clear"/>
            <w:tcMar>
              <w:top w:type="dxa" w:w="60"/>
              <w:left w:type="dxa" w:w="90"/>
              <w:bottom w:type="dxa" w:w="60"/>
              <w:right w:type="dxa" w:w="90"/>
            </w:tcMar>
            <w:vAlign w:val="top"/>
          </w:tcPr>
          <w:p>
            <w:pPr>
              <w:spacing w:after="0" w:line="240"/>
            </w:pPr>
            <w:r>
              <w:rPr>
                <w:b/>
                <w:bCs/>
                <w:sz w:val="19"/>
                <w:szCs w:val="19"/>
              </w:rPr>
              <w:t xml:space="preserve">What the code drives</w:t>
            </w:r>
          </w:p>
        </w:tc>
        <w:tc>
          <w:tcPr>
            <w:tcW w:type="dxa" w:w="1300"/>
            <w:shd w:fill="E7E7E7" w:val="clear"/>
            <w:tcMar>
              <w:top w:type="dxa" w:w="60"/>
              <w:left w:type="dxa" w:w="90"/>
              <w:bottom w:type="dxa" w:w="60"/>
              <w:right w:type="dxa" w:w="90"/>
            </w:tcMar>
            <w:vAlign w:val="top"/>
          </w:tcPr>
          <w:p>
            <w:pPr>
              <w:spacing w:after="0" w:line="240"/>
            </w:pPr>
            <w:r>
              <w:rPr>
                <w:b/>
                <w:bCs/>
                <w:sz w:val="19"/>
                <w:szCs w:val="19"/>
              </w:rPr>
              <w:t xml:space="preserve">Section</w:t>
            </w:r>
          </w:p>
        </w:tc>
      </w:tr>
      <w:tr>
        <w:tc>
          <w:tcPr>
            <w:tcW w:type="dxa" w:w="1000"/>
            <w:tcMar>
              <w:top w:type="dxa" w:w="60"/>
              <w:left w:type="dxa" w:w="90"/>
              <w:bottom w:type="dxa" w:w="60"/>
              <w:right w:type="dxa" w:w="90"/>
            </w:tcMar>
            <w:vAlign w:val="top"/>
          </w:tcPr>
          <w:p>
            <w:pPr>
              <w:spacing w:after="0" w:line="240"/>
            </w:pPr>
            <w:r>
              <w:rPr>
                <w:b w:val="false"/>
                <w:bCs w:val="false"/>
                <w:sz w:val="19"/>
                <w:szCs w:val="19"/>
              </w:rPr>
              <w:t xml:space="preserve">SER</w:t>
            </w:r>
          </w:p>
        </w:tc>
        <w:tc>
          <w:tcPr>
            <w:tcW w:type="dxa" w:w="2860"/>
            <w:tcMar>
              <w:top w:type="dxa" w:w="60"/>
              <w:left w:type="dxa" w:w="90"/>
              <w:bottom w:type="dxa" w:w="60"/>
              <w:right w:type="dxa" w:w="90"/>
            </w:tcMar>
            <w:vAlign w:val="top"/>
          </w:tcPr>
          <w:p>
            <w:pPr>
              <w:spacing w:after="0" w:line="240"/>
            </w:pPr>
            <w:r>
              <w:rPr>
                <w:b w:val="false"/>
                <w:bCs w:val="false"/>
                <w:sz w:val="19"/>
                <w:szCs w:val="19"/>
              </w:rPr>
              <w:t xml:space="preserve">Serialization Recording Required</w:t>
            </w:r>
          </w:p>
        </w:tc>
        <w:tc>
          <w:tcPr>
            <w:tcW w:type="dxa" w:w="4200"/>
            <w:tcMar>
              <w:top w:type="dxa" w:w="60"/>
              <w:left w:type="dxa" w:w="90"/>
              <w:bottom w:type="dxa" w:w="60"/>
              <w:right w:type="dxa" w:w="90"/>
            </w:tcMar>
            <w:vAlign w:val="top"/>
          </w:tcPr>
          <w:p>
            <w:pPr>
              <w:spacing w:after="0" w:line="240"/>
            </w:pPr>
            <w:r>
              <w:rPr>
                <w:b w:val="false"/>
                <w:bCs w:val="false"/>
                <w:sz w:val="19"/>
                <w:szCs w:val="19"/>
              </w:rPr>
              <w:t xml:space="preserve">Record serial numbers, or apply and record serial numbers</w:t>
            </w:r>
          </w:p>
        </w:tc>
        <w:tc>
          <w:tcPr>
            <w:tcW w:type="dxa" w:w="1300"/>
            <w:tcMar>
              <w:top w:type="dxa" w:w="60"/>
              <w:left w:type="dxa" w:w="90"/>
              <w:bottom w:type="dxa" w:w="60"/>
              <w:right w:type="dxa" w:w="90"/>
            </w:tcMar>
            <w:vAlign w:val="top"/>
          </w:tcPr>
          <w:p>
            <w:pPr>
              <w:spacing w:after="0" w:line="240"/>
            </w:pPr>
            <w:r>
              <w:rPr>
                <w:b w:val="false"/>
                <w:bCs w:val="false"/>
                <w:sz w:val="19"/>
                <w:szCs w:val="19"/>
              </w:rPr>
              <w:t xml:space="preserve">6.3</w:t>
            </w:r>
          </w:p>
        </w:tc>
      </w:tr>
      <w:tr>
        <w:tc>
          <w:tcPr>
            <w:tcW w:type="dxa" w:w="1000"/>
            <w:tcMar>
              <w:top w:type="dxa" w:w="60"/>
              <w:left w:type="dxa" w:w="90"/>
              <w:bottom w:type="dxa" w:w="60"/>
              <w:right w:type="dxa" w:w="90"/>
            </w:tcMar>
            <w:vAlign w:val="top"/>
          </w:tcPr>
          <w:p>
            <w:pPr>
              <w:spacing w:after="0" w:line="240"/>
            </w:pPr>
            <w:r>
              <w:rPr>
                <w:b w:val="false"/>
                <w:bCs w:val="false"/>
                <w:sz w:val="19"/>
                <w:szCs w:val="19"/>
              </w:rPr>
              <w:t xml:space="preserve">LOT</w:t>
            </w:r>
          </w:p>
        </w:tc>
        <w:tc>
          <w:tcPr>
            <w:tcW w:type="dxa" w:w="2860"/>
            <w:tcMar>
              <w:top w:type="dxa" w:w="60"/>
              <w:left w:type="dxa" w:w="90"/>
              <w:bottom w:type="dxa" w:w="60"/>
              <w:right w:type="dxa" w:w="90"/>
            </w:tcMar>
            <w:vAlign w:val="top"/>
          </w:tcPr>
          <w:p>
            <w:pPr>
              <w:spacing w:after="0" w:line="240"/>
            </w:pPr>
            <w:r>
              <w:rPr>
                <w:b w:val="false"/>
                <w:bCs w:val="false"/>
                <w:sz w:val="19"/>
                <w:szCs w:val="19"/>
              </w:rPr>
              <w:t xml:space="preserve">Lot/Batch Recording Required</w:t>
            </w:r>
          </w:p>
        </w:tc>
        <w:tc>
          <w:tcPr>
            <w:tcW w:type="dxa" w:w="4200"/>
            <w:tcMar>
              <w:top w:type="dxa" w:w="60"/>
              <w:left w:type="dxa" w:w="90"/>
              <w:bottom w:type="dxa" w:w="60"/>
              <w:right w:type="dxa" w:w="90"/>
            </w:tcMar>
            <w:vAlign w:val="top"/>
          </w:tcPr>
          <w:p>
            <w:pPr>
              <w:spacing w:after="0" w:line="240"/>
            </w:pPr>
            <w:r>
              <w:rPr>
                <w:b w:val="false"/>
                <w:bCs w:val="false"/>
                <w:sz w:val="19"/>
                <w:szCs w:val="19"/>
              </w:rPr>
              <w:t xml:space="preserve">Record lot/batch numbers, or apply and record lot/batch numbers</w:t>
            </w:r>
          </w:p>
        </w:tc>
        <w:tc>
          <w:tcPr>
            <w:tcW w:type="dxa" w:w="1300"/>
            <w:tcMar>
              <w:top w:type="dxa" w:w="60"/>
              <w:left w:type="dxa" w:w="90"/>
              <w:bottom w:type="dxa" w:w="60"/>
              <w:right w:type="dxa" w:w="90"/>
            </w:tcMar>
            <w:vAlign w:val="top"/>
          </w:tcPr>
          <w:p>
            <w:pPr>
              <w:spacing w:after="0" w:line="240"/>
            </w:pPr>
            <w:r>
              <w:rPr>
                <w:b w:val="false"/>
                <w:bCs w:val="false"/>
                <w:sz w:val="19"/>
                <w:szCs w:val="19"/>
              </w:rPr>
              <w:t xml:space="preserve">6.4</w:t>
            </w:r>
          </w:p>
        </w:tc>
      </w:tr>
      <w:tr>
        <w:tc>
          <w:tcPr>
            <w:tcW w:type="dxa" w:w="1000"/>
            <w:tcMar>
              <w:top w:type="dxa" w:w="60"/>
              <w:left w:type="dxa" w:w="90"/>
              <w:bottom w:type="dxa" w:w="60"/>
              <w:right w:type="dxa" w:w="90"/>
            </w:tcMar>
            <w:vAlign w:val="top"/>
          </w:tcPr>
          <w:p>
            <w:pPr>
              <w:spacing w:after="0" w:line="240"/>
            </w:pPr>
            <w:r>
              <w:rPr>
                <w:b w:val="false"/>
                <w:bCs w:val="false"/>
                <w:sz w:val="19"/>
                <w:szCs w:val="19"/>
              </w:rPr>
              <w:t xml:space="preserve">IUID</w:t>
            </w:r>
          </w:p>
        </w:tc>
        <w:tc>
          <w:tcPr>
            <w:tcW w:type="dxa" w:w="2860"/>
            <w:tcMar>
              <w:top w:type="dxa" w:w="60"/>
              <w:left w:type="dxa" w:w="90"/>
              <w:bottom w:type="dxa" w:w="60"/>
              <w:right w:type="dxa" w:w="90"/>
            </w:tcMar>
            <w:vAlign w:val="top"/>
          </w:tcPr>
          <w:p>
            <w:pPr>
              <w:spacing w:after="0" w:line="240"/>
            </w:pPr>
            <w:r>
              <w:rPr>
                <w:b w:val="false"/>
                <w:bCs w:val="false"/>
                <w:sz w:val="19"/>
                <w:szCs w:val="19"/>
              </w:rPr>
              <w:t xml:space="preserve">Item Unique Identification Required</w:t>
            </w:r>
          </w:p>
        </w:tc>
        <w:tc>
          <w:tcPr>
            <w:tcW w:type="dxa" w:w="4200"/>
            <w:tcMar>
              <w:top w:type="dxa" w:w="60"/>
              <w:left w:type="dxa" w:w="90"/>
              <w:bottom w:type="dxa" w:w="60"/>
              <w:right w:type="dxa" w:w="90"/>
            </w:tcMar>
            <w:vAlign w:val="top"/>
          </w:tcPr>
          <w:p>
            <w:pPr>
              <w:spacing w:after="0" w:line="240"/>
            </w:pPr>
            <w:r>
              <w:rPr>
                <w:b w:val="false"/>
                <w:bCs w:val="false"/>
                <w:sz w:val="19"/>
                <w:szCs w:val="19"/>
              </w:rPr>
              <w:t xml:space="preserve">Mark the item with a unique item identifier and report it to the DoD IUID Registry</w:t>
            </w:r>
          </w:p>
        </w:tc>
        <w:tc>
          <w:tcPr>
            <w:tcW w:type="dxa" w:w="1300"/>
            <w:tcMar>
              <w:top w:type="dxa" w:w="60"/>
              <w:left w:type="dxa" w:w="90"/>
              <w:bottom w:type="dxa" w:w="60"/>
              <w:right w:type="dxa" w:w="90"/>
            </w:tcMar>
            <w:vAlign w:val="top"/>
          </w:tcPr>
          <w:p>
            <w:pPr>
              <w:spacing w:after="0" w:line="240"/>
            </w:pPr>
            <w:r>
              <w:rPr>
                <w:b w:val="false"/>
                <w:bCs w:val="false"/>
                <w:sz w:val="19"/>
                <w:szCs w:val="19"/>
              </w:rPr>
              <w:t xml:space="preserve">6.5</w:t>
            </w:r>
          </w:p>
        </w:tc>
      </w:tr>
      <w:tr>
        <w:tc>
          <w:tcPr>
            <w:tcW w:type="dxa" w:w="1000"/>
            <w:tcMar>
              <w:top w:type="dxa" w:w="60"/>
              <w:left w:type="dxa" w:w="90"/>
              <w:bottom w:type="dxa" w:w="60"/>
              <w:right w:type="dxa" w:w="90"/>
            </w:tcMar>
            <w:vAlign w:val="top"/>
          </w:tcPr>
          <w:p>
            <w:pPr>
              <w:spacing w:after="0" w:line="240"/>
            </w:pPr>
            <w:r>
              <w:rPr>
                <w:b w:val="false"/>
                <w:bCs w:val="false"/>
                <w:sz w:val="19"/>
                <w:szCs w:val="19"/>
              </w:rPr>
              <w:t xml:space="preserve">TR</w:t>
            </w:r>
          </w:p>
        </w:tc>
        <w:tc>
          <w:tcPr>
            <w:tcW w:type="dxa" w:w="2860"/>
            <w:tcMar>
              <w:top w:type="dxa" w:w="60"/>
              <w:left w:type="dxa" w:w="90"/>
              <w:bottom w:type="dxa" w:w="60"/>
              <w:right w:type="dxa" w:w="90"/>
            </w:tcMar>
            <w:vAlign w:val="top"/>
          </w:tcPr>
          <w:p>
            <w:pPr>
              <w:spacing w:after="0" w:line="240"/>
            </w:pPr>
            <w:r>
              <w:rPr>
                <w:b w:val="false"/>
                <w:bCs w:val="false"/>
                <w:sz w:val="19"/>
                <w:szCs w:val="19"/>
              </w:rPr>
              <w:t xml:space="preserve">Traceability Records Required</w:t>
            </w:r>
          </w:p>
        </w:tc>
        <w:tc>
          <w:tcPr>
            <w:tcW w:type="dxa" w:w="4200"/>
            <w:tcMar>
              <w:top w:type="dxa" w:w="60"/>
              <w:left w:type="dxa" w:w="90"/>
              <w:bottom w:type="dxa" w:w="60"/>
              <w:right w:type="dxa" w:w="90"/>
            </w:tcMar>
            <w:vAlign w:val="top"/>
          </w:tcPr>
          <w:p>
            <w:pPr>
              <w:spacing w:after="0" w:line="240"/>
            </w:pPr>
            <w:r>
              <w:rPr>
                <w:b w:val="false"/>
                <w:bCs w:val="false"/>
                <w:sz w:val="19"/>
                <w:szCs w:val="19"/>
              </w:rPr>
              <w:t xml:space="preserve">Generate the parent-child traceability records of items in the product tree</w:t>
            </w:r>
          </w:p>
        </w:tc>
        <w:tc>
          <w:tcPr>
            <w:tcW w:type="dxa" w:w="1300"/>
            <w:tcMar>
              <w:top w:type="dxa" w:w="60"/>
              <w:left w:type="dxa" w:w="90"/>
              <w:bottom w:type="dxa" w:w="60"/>
              <w:right w:type="dxa" w:w="90"/>
            </w:tcMar>
            <w:vAlign w:val="top"/>
          </w:tcPr>
          <w:p>
            <w:pPr>
              <w:spacing w:after="0" w:line="240"/>
            </w:pPr>
            <w:r>
              <w:rPr>
                <w:b w:val="false"/>
                <w:bCs w:val="false"/>
                <w:sz w:val="19"/>
                <w:szCs w:val="19"/>
              </w:rPr>
              <w:t xml:space="preserve">6.6</w:t>
            </w:r>
          </w:p>
        </w:tc>
      </w:tr>
      <w:tr>
        <w:tc>
          <w:tcPr>
            <w:tcW w:type="dxa" w:w="1000"/>
            <w:tcMar>
              <w:top w:type="dxa" w:w="60"/>
              <w:left w:type="dxa" w:w="90"/>
              <w:bottom w:type="dxa" w:w="60"/>
              <w:right w:type="dxa" w:w="90"/>
            </w:tcMar>
            <w:vAlign w:val="top"/>
          </w:tcPr>
          <w:p>
            <w:pPr>
              <w:spacing w:after="0" w:line="240"/>
            </w:pPr>
            <w:r>
              <w:rPr>
                <w:b w:val="false"/>
                <w:bCs w:val="false"/>
                <w:sz w:val="19"/>
                <w:szCs w:val="19"/>
              </w:rPr>
              <w:t xml:space="preserve">LL</w:t>
            </w:r>
          </w:p>
        </w:tc>
        <w:tc>
          <w:tcPr>
            <w:tcW w:type="dxa" w:w="2860"/>
            <w:tcMar>
              <w:top w:type="dxa" w:w="60"/>
              <w:left w:type="dxa" w:w="90"/>
              <w:bottom w:type="dxa" w:w="60"/>
              <w:right w:type="dxa" w:w="90"/>
            </w:tcMar>
            <w:vAlign w:val="top"/>
          </w:tcPr>
          <w:p>
            <w:pPr>
              <w:spacing w:after="0" w:line="240"/>
            </w:pPr>
            <w:r>
              <w:rPr>
                <w:b w:val="false"/>
                <w:bCs w:val="false"/>
                <w:sz w:val="19"/>
                <w:szCs w:val="19"/>
              </w:rPr>
              <w:t xml:space="preserve">Life Limited</w:t>
            </w:r>
          </w:p>
        </w:tc>
        <w:tc>
          <w:tcPr>
            <w:tcW w:type="dxa" w:w="4200"/>
            <w:tcMar>
              <w:top w:type="dxa" w:w="60"/>
              <w:left w:type="dxa" w:w="90"/>
              <w:bottom w:type="dxa" w:w="60"/>
              <w:right w:type="dxa" w:w="90"/>
            </w:tcMar>
            <w:vAlign w:val="top"/>
          </w:tcPr>
          <w:p>
            <w:pPr>
              <w:spacing w:after="0" w:line="240"/>
            </w:pPr>
            <w:r>
              <w:rPr>
                <w:b w:val="false"/>
                <w:bCs w:val="false"/>
                <w:sz w:val="19"/>
                <w:szCs w:val="19"/>
              </w:rPr>
              <w:t xml:space="preserve">Identify the item as life-limited and state its limit</w:t>
            </w:r>
          </w:p>
        </w:tc>
        <w:tc>
          <w:tcPr>
            <w:tcW w:type="dxa" w:w="1300"/>
            <w:tcMar>
              <w:top w:type="dxa" w:w="60"/>
              <w:left w:type="dxa" w:w="90"/>
              <w:bottom w:type="dxa" w:w="60"/>
              <w:right w:type="dxa" w:w="90"/>
            </w:tcMar>
            <w:vAlign w:val="top"/>
          </w:tcPr>
          <w:p>
            <w:pPr>
              <w:spacing w:after="0" w:line="240"/>
            </w:pPr>
            <w:r>
              <w:rPr>
                <w:b w:val="false"/>
                <w:bCs w:val="false"/>
                <w:sz w:val="19"/>
                <w:szCs w:val="19"/>
              </w:rPr>
              <w:t xml:space="preserve">6.7.1</w:t>
            </w:r>
          </w:p>
        </w:tc>
      </w:tr>
      <w:tr>
        <w:tc>
          <w:tcPr>
            <w:tcW w:type="dxa" w:w="1000"/>
            <w:tcMar>
              <w:top w:type="dxa" w:w="60"/>
              <w:left w:type="dxa" w:w="90"/>
              <w:bottom w:type="dxa" w:w="60"/>
              <w:right w:type="dxa" w:w="90"/>
            </w:tcMar>
            <w:vAlign w:val="top"/>
          </w:tcPr>
          <w:p>
            <w:pPr>
              <w:spacing w:after="0" w:line="240"/>
            </w:pPr>
            <w:r>
              <w:rPr>
                <w:b w:val="false"/>
                <w:bCs w:val="false"/>
                <w:sz w:val="19"/>
                <w:szCs w:val="19"/>
              </w:rPr>
              <w:t xml:space="preserve">SH</w:t>
            </w:r>
          </w:p>
        </w:tc>
        <w:tc>
          <w:tcPr>
            <w:tcW w:type="dxa" w:w="2860"/>
            <w:tcMar>
              <w:top w:type="dxa" w:w="60"/>
              <w:left w:type="dxa" w:w="90"/>
              <w:bottom w:type="dxa" w:w="60"/>
              <w:right w:type="dxa" w:w="90"/>
            </w:tcMar>
            <w:vAlign w:val="top"/>
          </w:tcPr>
          <w:p>
            <w:pPr>
              <w:spacing w:after="0" w:line="240"/>
            </w:pPr>
            <w:r>
              <w:rPr>
                <w:b w:val="false"/>
                <w:bCs w:val="false"/>
                <w:sz w:val="19"/>
                <w:szCs w:val="19"/>
              </w:rPr>
              <w:t xml:space="preserve">Special Handling Required</w:t>
            </w:r>
          </w:p>
        </w:tc>
        <w:tc>
          <w:tcPr>
            <w:tcW w:type="dxa" w:w="4200"/>
            <w:tcMar>
              <w:top w:type="dxa" w:w="60"/>
              <w:left w:type="dxa" w:w="90"/>
              <w:bottom w:type="dxa" w:w="60"/>
              <w:right w:type="dxa" w:w="90"/>
            </w:tcMar>
            <w:vAlign w:val="top"/>
          </w:tcPr>
          <w:p>
            <w:pPr>
              <w:spacing w:after="0" w:line="240"/>
            </w:pPr>
            <w:r>
              <w:rPr>
                <w:b w:val="false"/>
                <w:bCs w:val="false"/>
                <w:sz w:val="19"/>
                <w:szCs w:val="19"/>
              </w:rPr>
              <w:t xml:space="preserve">State the handling, packaging, or environmental control required</w:t>
            </w:r>
          </w:p>
        </w:tc>
        <w:tc>
          <w:tcPr>
            <w:tcW w:type="dxa" w:w="1300"/>
            <w:tcMar>
              <w:top w:type="dxa" w:w="60"/>
              <w:left w:type="dxa" w:w="90"/>
              <w:bottom w:type="dxa" w:w="60"/>
              <w:right w:type="dxa" w:w="90"/>
            </w:tcMar>
            <w:vAlign w:val="top"/>
          </w:tcPr>
          <w:p>
            <w:pPr>
              <w:spacing w:after="0" w:line="240"/>
            </w:pPr>
            <w:r>
              <w:rPr>
                <w:b w:val="false"/>
                <w:bCs w:val="false"/>
                <w:sz w:val="19"/>
                <w:szCs w:val="19"/>
              </w:rPr>
              <w:t xml:space="preserve">6.7.2</w:t>
            </w:r>
          </w:p>
        </w:tc>
      </w:tr>
      <w:tr>
        <w:tc>
          <w:tcPr>
            <w:tcW w:type="dxa" w:w="1000"/>
            <w:tcMar>
              <w:top w:type="dxa" w:w="60"/>
              <w:left w:type="dxa" w:w="90"/>
              <w:bottom w:type="dxa" w:w="60"/>
              <w:right w:type="dxa" w:w="90"/>
            </w:tcMar>
            <w:vAlign w:val="top"/>
          </w:tcPr>
          <w:p>
            <w:pPr>
              <w:spacing w:after="0" w:line="240"/>
            </w:pPr>
            <w:r>
              <w:rPr>
                <w:b w:val="false"/>
                <w:bCs w:val="false"/>
                <w:sz w:val="19"/>
                <w:szCs w:val="19"/>
              </w:rPr>
              <w:t xml:space="preserve">CSI</w:t>
            </w:r>
          </w:p>
        </w:tc>
        <w:tc>
          <w:tcPr>
            <w:tcW w:type="dxa" w:w="2860"/>
            <w:tcMar>
              <w:top w:type="dxa" w:w="60"/>
              <w:left w:type="dxa" w:w="90"/>
              <w:bottom w:type="dxa" w:w="60"/>
              <w:right w:type="dxa" w:w="90"/>
            </w:tcMar>
            <w:vAlign w:val="top"/>
          </w:tcPr>
          <w:p>
            <w:pPr>
              <w:spacing w:after="0" w:line="240"/>
            </w:pPr>
            <w:r>
              <w:rPr>
                <w:b w:val="false"/>
                <w:bCs w:val="false"/>
                <w:sz w:val="19"/>
                <w:szCs w:val="19"/>
              </w:rPr>
              <w:t xml:space="preserve">Critical Safety Item</w:t>
            </w:r>
          </w:p>
        </w:tc>
        <w:tc>
          <w:tcPr>
            <w:tcW w:type="dxa" w:w="4200"/>
            <w:tcMar>
              <w:top w:type="dxa" w:w="60"/>
              <w:left w:type="dxa" w:w="90"/>
              <w:bottom w:type="dxa" w:w="60"/>
              <w:right w:type="dxa" w:w="90"/>
            </w:tcMar>
            <w:vAlign w:val="top"/>
          </w:tcPr>
          <w:p>
            <w:pPr>
              <w:spacing w:after="0" w:line="240"/>
            </w:pPr>
            <w:r>
              <w:rPr>
                <w:b w:val="false"/>
                <w:bCs w:val="false"/>
                <w:sz w:val="19"/>
                <w:szCs w:val="19"/>
              </w:rPr>
              <w:t xml:space="preserve">Identify the item as a Critical Safety Item</w:t>
            </w:r>
          </w:p>
        </w:tc>
        <w:tc>
          <w:tcPr>
            <w:tcW w:type="dxa" w:w="1300"/>
            <w:tcMar>
              <w:top w:type="dxa" w:w="60"/>
              <w:left w:type="dxa" w:w="90"/>
              <w:bottom w:type="dxa" w:w="60"/>
              <w:right w:type="dxa" w:w="90"/>
            </w:tcMar>
            <w:vAlign w:val="top"/>
          </w:tcPr>
          <w:p>
            <w:pPr>
              <w:spacing w:after="0" w:line="240"/>
            </w:pPr>
            <w:r>
              <w:rPr>
                <w:b w:val="false"/>
                <w:bCs w:val="false"/>
                <w:sz w:val="19"/>
                <w:szCs w:val="19"/>
              </w:rPr>
              <w:t xml:space="preserve">6.7.5</w:t>
            </w:r>
          </w:p>
        </w:tc>
      </w:tr>
      <w:tr>
        <w:tc>
          <w:tcPr>
            <w:tcW w:type="dxa" w:w="1000"/>
            <w:tcMar>
              <w:top w:type="dxa" w:w="60"/>
              <w:left w:type="dxa" w:w="90"/>
              <w:bottom w:type="dxa" w:w="60"/>
              <w:right w:type="dxa" w:w="90"/>
            </w:tcMar>
            <w:vAlign w:val="top"/>
          </w:tcPr>
          <w:p>
            <w:pPr>
              <w:spacing w:after="0" w:line="240"/>
            </w:pPr>
            <w:r>
              <w:rPr>
                <w:b w:val="false"/>
                <w:bCs w:val="false"/>
                <w:sz w:val="19"/>
                <w:szCs w:val="19"/>
              </w:rPr>
              <w:t xml:space="preserve">FC</w:t>
            </w:r>
          </w:p>
        </w:tc>
        <w:tc>
          <w:tcPr>
            <w:tcW w:type="dxa" w:w="2860"/>
            <w:tcMar>
              <w:top w:type="dxa" w:w="60"/>
              <w:left w:type="dxa" w:w="90"/>
              <w:bottom w:type="dxa" w:w="60"/>
              <w:right w:type="dxa" w:w="90"/>
            </w:tcMar>
            <w:vAlign w:val="top"/>
          </w:tcPr>
          <w:p>
            <w:pPr>
              <w:spacing w:after="0" w:line="240"/>
            </w:pPr>
            <w:r>
              <w:rPr>
                <w:b w:val="false"/>
                <w:bCs w:val="false"/>
                <w:sz w:val="19"/>
                <w:szCs w:val="19"/>
              </w:rPr>
              <w:t xml:space="preserve">Fracture-Critical Item</w:t>
            </w:r>
          </w:p>
        </w:tc>
        <w:tc>
          <w:tcPr>
            <w:tcW w:type="dxa" w:w="4200"/>
            <w:tcMar>
              <w:top w:type="dxa" w:w="60"/>
              <w:left w:type="dxa" w:w="90"/>
              <w:bottom w:type="dxa" w:w="60"/>
              <w:right w:type="dxa" w:w="90"/>
            </w:tcMar>
            <w:vAlign w:val="top"/>
          </w:tcPr>
          <w:p>
            <w:pPr>
              <w:spacing w:after="0" w:line="240"/>
            </w:pPr>
            <w:r>
              <w:rPr>
                <w:b w:val="false"/>
                <w:bCs w:val="false"/>
                <w:sz w:val="19"/>
                <w:szCs w:val="19"/>
              </w:rPr>
              <w:t xml:space="preserve">Identify the item as a Fracture-Critical Traceable Part</w:t>
            </w:r>
          </w:p>
        </w:tc>
        <w:tc>
          <w:tcPr>
            <w:tcW w:type="dxa" w:w="1300"/>
            <w:tcMar>
              <w:top w:type="dxa" w:w="60"/>
              <w:left w:type="dxa" w:w="90"/>
              <w:bottom w:type="dxa" w:w="60"/>
              <w:right w:type="dxa" w:w="90"/>
            </w:tcMar>
            <w:vAlign w:val="top"/>
          </w:tcPr>
          <w:p>
            <w:pPr>
              <w:spacing w:after="0" w:line="240"/>
            </w:pPr>
            <w:r>
              <w:rPr>
                <w:b w:val="false"/>
                <w:bCs w:val="false"/>
                <w:sz w:val="19"/>
                <w:szCs w:val="19"/>
              </w:rPr>
              <w:t xml:space="preserve">6.7.6</w:t>
            </w:r>
          </w:p>
        </w:tc>
      </w:tr>
    </w:tbl>
    <w:p>
      <w:pPr>
        <w:spacing w:after="200"/>
      </w:pPr>
    </w:p>
    <w:p>
      <w:pPr>
        <w:spacing w:after="160" w:line="276"/>
      </w:pPr>
      <w:r>
        <w:rPr>
          <w:sz w:val="22"/>
          <w:szCs w:val="22"/>
        </w:rPr>
        <w:t xml:space="preserve">SER, LOT, and IUID establish identity. TR links those identities into parent-child records. LL, SH, CSI, and FC identify a condition. They do not create records on their own.</w:t>
      </w:r>
    </w:p>
    <w:p>
      <w:pPr>
        <w:pStyle w:val="Heading1"/>
        <w:spacing w:after="160" w:before="360"/>
      </w:pPr>
      <w:r>
        <w:rPr>
          <w:b/>
          <w:bCs/>
          <w:color w:val="000000"/>
          <w:sz w:val="26"/>
          <w:szCs w:val="26"/>
        </w:rPr>
        <w:t xml:space="preserve">6.2	Requirement Sources</w:t>
      </w:r>
    </w:p>
    <w:p>
      <w:pPr>
        <w:spacing w:after="160" w:line="276"/>
      </w:pPr>
      <w:r>
        <w:rPr>
          <w:sz w:val="22"/>
          <w:szCs w:val="22"/>
        </w:rPr>
        <w:t xml:space="preserve">Numerous items have traceability and product-unit record requirements. These requirements come from different sources. This section defines each source. Each subsection closes with the part note codes that source drives.</w:t>
      </w:r>
    </w:p>
    <w:p>
      <w:pPr>
        <w:pStyle w:val="Heading2"/>
        <w:spacing w:after="140" w:before="300"/>
      </w:pPr>
      <w:r>
        <w:rPr>
          <w:b/>
          <w:bCs/>
          <w:color w:val="000000"/>
          <w:sz w:val="24"/>
          <w:szCs w:val="24"/>
        </w:rPr>
        <w:t xml:space="preserve">6.2.1	Life-Limited Parts</w:t>
      </w:r>
    </w:p>
    <w:p>
      <w:pPr>
        <w:spacing w:after="160" w:line="276"/>
      </w:pPr>
      <w:r>
        <w:rPr>
          <w:sz w:val="22"/>
          <w:szCs w:val="22"/>
        </w:rPr>
        <w:t xml:space="preserve">14 CFR 43.10 defines a life-limited part as “any part for which a mandatory replacement limit is specified in the type design, the Instructions for Continued Airworthiness, or the maintenance manual.” It defines life status as “the accumulated cycles, hours, or any other mandatory replacement limit of a life-limited part.” The limit may be expressed in cycles, hours, or calendar time.</w:t>
      </w:r>
    </w:p>
    <w:p>
      <w:pPr>
        <w:spacing w:after="160" w:line="276"/>
      </w:pPr>
      <w:r>
        <w:rPr>
          <w:sz w:val="22"/>
          <w:szCs w:val="22"/>
        </w:rPr>
        <w:t xml:space="preserve">14 CFR 43.10 requires each person who removes a life-limited part from a type-certificated product to control that part by a method that deters installation after the part reaches its life limit. Acceptable methods are a record keeping system, a tag or record attached to the part, non-permanent marking, permanent marking, segregation, mutilation, or another method approved or accepted by the FAA. When the part is later sold or transferred, the mark, tag, or record must go with it, unless the part is mutilated first.</w:t>
      </w:r>
    </w:p>
    <w:p>
      <w:pPr>
        <w:spacing w:after="160" w:line="276"/>
      </w:pPr>
      <w:r>
        <w:rPr>
          <w:sz w:val="22"/>
          <w:szCs w:val="22"/>
        </w:rPr>
        <w:t xml:space="preserve">Most of these methods require a part number and a serial number. Serialization is what makes 14 CFR 43.10 compliance workable. The serialization requirement itself comes from 14 CFR 45.15(c) when the limit appears in the Airworthiness Limitations Section.</w:t>
      </w:r>
    </w:p>
    <w:p>
      <w:pPr>
        <w:spacing w:after="160" w:line="276"/>
      </w:pPr>
      <w:r>
        <w:rPr>
          <w:sz w:val="22"/>
          <w:szCs w:val="22"/>
        </w:rPr>
        <w:t xml:space="preserve">There are two categories of life-limited parts.</w:t>
      </w:r>
    </w:p>
    <w:p>
      <w:pPr>
        <w:pStyle w:val="ListParagraph"/>
        <w:numPr>
          <w:ilvl w:val="0"/>
          <w:numId w:val="2"/>
        </w:numPr>
        <w:spacing w:after="120" w:line="276"/>
      </w:pPr>
      <w:r>
        <w:rPr>
          <w:b/>
          <w:bCs/>
          <w:sz w:val="22"/>
          <w:szCs w:val="22"/>
        </w:rPr>
        <w:t xml:space="preserve">Cycle/Usage-Controlled Life-Limited Item:</w:t>
      </w:r>
      <w:r>
        <w:rPr>
          <w:sz w:val="22"/>
          <w:szCs w:val="22"/>
        </w:rPr>
        <w:t xml:space="preserve"> an item life-limited by cycles or operating hours. It is serialized because remaining life is a per-unit quantity.</w:t>
      </w:r>
    </w:p>
    <w:p>
      <w:pPr>
        <w:pStyle w:val="ListParagraph"/>
        <w:numPr>
          <w:ilvl w:val="1"/>
          <w:numId w:val="2"/>
        </w:numPr>
        <w:spacing w:after="120" w:line="276"/>
      </w:pPr>
      <w:r>
        <w:rPr>
          <w:sz w:val="22"/>
          <w:szCs w:val="22"/>
        </w:rPr>
        <w:t xml:space="preserve">Common examples requiring serialization: landing gear assemblies, main gear shock struts and oleo cylinders, main wheel axles, side stays and drag braces, flap and slat actuator ball screws, auxiliary power unit components, air cycle machine turbines, air cycle machine compressors, ram air turbine deploy actuators, turbine disks, compressor disks, turbine blades, primary bleed air valves, and pitch change actuator piston assemblies.</w:t>
      </w:r>
    </w:p>
    <w:p>
      <w:pPr>
        <w:pStyle w:val="ListParagraph"/>
        <w:numPr>
          <w:ilvl w:val="0"/>
          <w:numId w:val="2"/>
        </w:numPr>
        <w:spacing w:after="120" w:line="276"/>
      </w:pPr>
      <w:r>
        <w:rPr>
          <w:b/>
          <w:bCs/>
          <w:sz w:val="22"/>
          <w:szCs w:val="22"/>
        </w:rPr>
        <w:t xml:space="preserve">Age/Shelf-Life-Controlled Life-Limited Item:</w:t>
      </w:r>
      <w:r>
        <w:rPr>
          <w:sz w:val="22"/>
          <w:szCs w:val="22"/>
        </w:rPr>
        <w:t xml:space="preserve"> an item life-limited by shelf life, cure date, or storage age. It is lot/batch recorded with a date code, because the limit attaches to the manufacturing lot/batch rather than to the individual unit.</w:t>
      </w:r>
    </w:p>
    <w:p>
      <w:pPr>
        <w:pStyle w:val="ListParagraph"/>
        <w:numPr>
          <w:ilvl w:val="1"/>
          <w:numId w:val="2"/>
        </w:numPr>
        <w:spacing w:after="120" w:line="276"/>
      </w:pPr>
      <w:r>
        <w:rPr>
          <w:sz w:val="22"/>
          <w:szCs w:val="22"/>
        </w:rPr>
        <w:t xml:space="preserve">Common examples requiring lot/batch recording: O-rings, gaskets, rubber-based hoses such as hydraulic hoses and fuel hoses, electronic components (EEE), microchips, capacitors, diodes, lithium batteries, standard circuit breakers, relays, epoxy resins used in structural bonding, carbon fiber or fiberglass sheets pre-impregnated with a synthetic resin matrix (prepregs), polysulfide or polythioether gap and fuel tank sealants, polyurethane topcoats, chromate and non-chromate primers, synthetic grease used on actuator screws or landing gear pivots or bearings, emergency oxygen candles, fire extinguisher squibs, oxygen mask rebreather bags, medical kits, life vests, life jackets, and filters.</w:t>
      </w:r>
    </w:p>
    <w:p>
      <w:pPr>
        <w:spacing w:after="160" w:line="276"/>
      </w:pPr>
      <w:r>
        <w:rPr>
          <w:sz w:val="22"/>
          <w:szCs w:val="22"/>
        </w:rPr>
        <w:t xml:space="preserve">A shelf life, cure date, or storage age limit on material held in storage is not, by itself, a 14 CFR 43.10 mandatory replacement limit.</w:t>
      </w:r>
    </w:p>
    <w:p>
      <w:pPr>
        <w:spacing w:after="160" w:line="276"/>
      </w:pPr>
      <w:r>
        <w:rPr>
          <w:sz w:val="22"/>
          <w:szCs w:val="22"/>
        </w:rPr>
        <w:t xml:space="preserve">Specialized metallic fasteners have no shelf life. They carry heat and lot traceability. Treat them as lot/batch recording items under Section 6.2.9, not as life-limited items.</w:t>
      </w:r>
    </w:p>
    <w:p>
      <w:pPr>
        <w:pBdr>
          <w:left w:val="single" w:color="808080" w:sz="12" w:space="8"/>
        </w:pBdr>
        <w:spacing w:after="200" w:before="60" w:line="264"/>
        <w:ind w:left="504"/>
      </w:pPr>
      <w:r>
        <w:rPr>
          <w:i/>
          <w:iCs/>
          <w:sz w:val="21"/>
          <w:szCs w:val="21"/>
        </w:rPr>
        <w:t xml:space="preserve">Codes: LL and SER for a Cycle/Usage-Controlled Life-Limited Item. LL and LOT for an Age/Shelf-Life-Controlled Life-Limited Item. See Sections 6.7.1, 6.3, and 6.4.</w:t>
      </w:r>
    </w:p>
    <w:p>
      <w:pPr>
        <w:pStyle w:val="Heading2"/>
        <w:spacing w:after="140" w:before="300"/>
      </w:pPr>
      <w:r>
        <w:rPr>
          <w:b/>
          <w:bCs/>
          <w:color w:val="000000"/>
          <w:sz w:val="24"/>
          <w:szCs w:val="24"/>
        </w:rPr>
        <w:t xml:space="preserve">6.2.2	Airworthiness Limitation Items</w:t>
      </w:r>
    </w:p>
    <w:p>
      <w:pPr>
        <w:spacing w:after="160" w:line="276"/>
      </w:pPr>
      <w:r>
        <w:rPr>
          <w:sz w:val="22"/>
          <w:szCs w:val="22"/>
        </w:rPr>
        <w:t xml:space="preserve">An Airworthiness Limitation Item (ALI) is an item holding a mandatory replacement time, structural inspection interval, or related procedure approved as part of the type design and published in the Airworthiness Limitations Section (ALS) of the Instructions for Continued Airworthiness (ICA). 14 CFR 25.1529 requires ICA prepared in accordance with Appendix H to Part 25. Paragraph H25.4 of Appendix H establishes the content of the ALS.</w:t>
      </w:r>
    </w:p>
    <w:p>
      <w:pPr>
        <w:spacing w:after="160" w:line="276"/>
      </w:pPr>
      <w:r>
        <w:rPr>
          <w:sz w:val="22"/>
          <w:szCs w:val="22"/>
        </w:rPr>
        <w:t xml:space="preserve">14 CFR 45.15(c) requires each person who manufactures a part for which a replacement time, inspection interval, or related procedure is specified in the ALS to permanently and legibly mark that part with a serial number, or equivalent, unique to that part. This requirement applies whether the limit is expressed in cycles, hours, or calendar time.</w:t>
      </w:r>
    </w:p>
    <w:p>
      <w:pPr>
        <w:spacing w:after="160" w:line="276"/>
      </w:pPr>
      <w:r>
        <w:rPr>
          <w:sz w:val="22"/>
          <w:szCs w:val="22"/>
        </w:rPr>
        <w:t xml:space="preserve">Four cases follow from that rule.</w:t>
      </w:r>
    </w:p>
    <w:p>
      <w:pPr>
        <w:pStyle w:val="ListParagraph"/>
        <w:numPr>
          <w:ilvl w:val="0"/>
          <w:numId w:val="2"/>
        </w:numPr>
        <w:spacing w:after="120" w:line="276"/>
      </w:pPr>
      <w:r>
        <w:rPr>
          <w:b/>
          <w:bCs/>
          <w:sz w:val="22"/>
          <w:szCs w:val="22"/>
        </w:rPr>
        <w:t xml:space="preserve">ALI with a mandatory replacement time on a discrete part.</w:t>
      </w:r>
      <w:r>
        <w:rPr>
          <w:sz w:val="22"/>
          <w:szCs w:val="22"/>
        </w:rPr>
        <w:t xml:space="preserve"> The part requires serialization under 14 CFR 45.15(c). It is also a life-limited part under 14 CFR 43.10. An ALI dictated by flight cycles, landings, or flight hours is cycle/usage-controlled, because fatigue damage accrues as the aircraft operates. An ALI governed by calendar time, such as replace every 5 years, is age and shelf-life controlled, because environmental degradation or corrosion is the primary threat. Fuel tank rubber seals and oxygen cylinders are examples.</w:t>
      </w:r>
    </w:p>
    <w:p>
      <w:pPr>
        <w:pStyle w:val="ListParagraph"/>
        <w:numPr>
          <w:ilvl w:val="0"/>
          <w:numId w:val="2"/>
        </w:numPr>
        <w:spacing w:after="120" w:line="276"/>
      </w:pPr>
      <w:r>
        <w:rPr>
          <w:b/>
          <w:bCs/>
          <w:sz w:val="22"/>
          <w:szCs w:val="22"/>
        </w:rPr>
        <w:t xml:space="preserve">ALI with an inspection interval only, on a discrete part.</w:t>
      </w:r>
      <w:r>
        <w:rPr>
          <w:sz w:val="22"/>
          <w:szCs w:val="22"/>
        </w:rPr>
        <w:t xml:space="preserve"> The part requires serialization under 14 CFR 45.15(c). It is not a life-limited part under 14 CFR 43.10, because it carries no mandatory replacement limit. Apply SER without LL.</w:t>
      </w:r>
    </w:p>
    <w:p>
      <w:pPr>
        <w:pStyle w:val="ListParagraph"/>
        <w:numPr>
          <w:ilvl w:val="0"/>
          <w:numId w:val="2"/>
        </w:numPr>
        <w:spacing w:after="120" w:line="276"/>
      </w:pPr>
      <w:r>
        <w:rPr>
          <w:b/>
          <w:bCs/>
          <w:sz w:val="22"/>
          <w:szCs w:val="22"/>
        </w:rPr>
        <w:t xml:space="preserve">ALI expressed against a manufactured lot/batch.</w:t>
      </w:r>
      <w:r>
        <w:rPr>
          <w:sz w:val="22"/>
          <w:szCs w:val="22"/>
        </w:rPr>
        <w:t xml:space="preserve"> Lot/batch recording applies where the limitation attaches to the lot/batch rather than to an individual unit, and the material is not a discrete part.</w:t>
      </w:r>
    </w:p>
    <w:p>
      <w:pPr>
        <w:pStyle w:val="ListParagraph"/>
        <w:numPr>
          <w:ilvl w:val="0"/>
          <w:numId w:val="2"/>
        </w:numPr>
        <w:spacing w:after="120" w:line="276"/>
      </w:pPr>
      <w:r>
        <w:rPr>
          <w:b/>
          <w:bCs/>
          <w:sz w:val="22"/>
          <w:szCs w:val="22"/>
        </w:rPr>
        <w:t xml:space="preserve">ALI as a zonal or structural inspection task.</w:t>
      </w:r>
      <w:r>
        <w:rPr>
          <w:sz w:val="22"/>
          <w:szCs w:val="22"/>
        </w:rPr>
        <w:t xml:space="preserve"> No part note code applies. There is no associated part.</w:t>
      </w:r>
    </w:p>
    <w:p>
      <w:pPr>
        <w:spacing w:after="160" w:line="276"/>
      </w:pPr>
      <w:r>
        <w:rPr>
          <w:sz w:val="22"/>
          <w:szCs w:val="22"/>
        </w:rPr>
        <w:t xml:space="preserve">Some ALI parts are too small to mark. When the FAA finds a part too small or otherwise impractical to mark, 14 CFR 45.15(d) requires the manufacturer to attach the required information to the part or its container. The part still carries a unique serial number. Lot/batch recording does not replace that serial number.</w:t>
      </w:r>
    </w:p>
    <w:p>
      <w:pPr>
        <w:pBdr>
          <w:left w:val="single" w:color="808080" w:sz="12" w:space="8"/>
        </w:pBdr>
        <w:spacing w:after="200" w:before="60" w:line="264"/>
        <w:ind w:left="504"/>
      </w:pPr>
      <w:r>
        <w:rPr>
          <w:i/>
          <w:iCs/>
          <w:sz w:val="21"/>
          <w:szCs w:val="21"/>
        </w:rPr>
        <w:t xml:space="preserve">Codes: SER, and LL when a mandatory replacement time applies. LOT for lot/batch-expressed limitations on material that is not a discrete part. See Sections 6.3, 6.4, and 6.7.1.</w:t>
      </w:r>
    </w:p>
    <w:p>
      <w:pPr>
        <w:pStyle w:val="Heading2"/>
        <w:spacing w:after="140" w:before="300"/>
      </w:pPr>
      <w:r>
        <w:rPr>
          <w:b/>
          <w:bCs/>
          <w:color w:val="000000"/>
          <w:sz w:val="24"/>
          <w:szCs w:val="24"/>
        </w:rPr>
        <w:t xml:space="preserve">6.2.3	Principal Structural Elements</w:t>
      </w:r>
    </w:p>
    <w:p>
      <w:pPr>
        <w:spacing w:after="160" w:line="276"/>
      </w:pPr>
      <w:r>
        <w:rPr>
          <w:sz w:val="22"/>
          <w:szCs w:val="22"/>
        </w:rPr>
        <w:t xml:space="preserve">A Safe-Life Principal Structural Element (PSE) is a PSE for which the applicant establishes that compliance with the damage-tolerance requirements is impractical. Under 14 CFR 25.571(c), that structure must instead be shown by analysis supported by test evidence to withstand the repeated loads of variable magnitude expected during its service life without detectable cracks. The resulting safe-life limit is published as an ALS mandatory replacement time in flight cycles or flight hours.</w:t>
      </w:r>
    </w:p>
    <w:p>
      <w:pPr>
        <w:spacing w:after="160" w:line="276"/>
      </w:pPr>
      <w:r>
        <w:rPr>
          <w:sz w:val="22"/>
          <w:szCs w:val="22"/>
        </w:rPr>
        <w:t xml:space="preserve">A safe-life PSE is a Cycle/Usage-Controlled Life-Limited Item under 14 CFR 43.10. Serialization recording is required for a safe-life PSE that is a discrete part with an ALS mandatory replacement time, per 14 CFR 45.15(c).</w:t>
      </w:r>
    </w:p>
    <w:p>
      <w:pPr>
        <w:spacing w:after="160" w:line="276"/>
      </w:pPr>
      <w:r>
        <w:rPr>
          <w:sz w:val="22"/>
          <w:szCs w:val="22"/>
        </w:rPr>
        <w:t xml:space="preserve">Do not confuse a safe-life replacement time with the Limit of Validity (LOV). The LOV bounds the engineering data that supports the airplane’s structural maintenance program. It applies to the airplane. It is not a part replacement time.</w:t>
      </w:r>
    </w:p>
    <w:p>
      <w:pPr>
        <w:spacing w:after="160" w:line="276"/>
      </w:pPr>
      <w:r>
        <w:rPr>
          <w:sz w:val="22"/>
          <w:szCs w:val="22"/>
        </w:rPr>
        <w:t xml:space="preserve">Lot/batch recording applies to the raw material heat and lot of the safe-life PSE part’s underlying detail parts. It does not apply to the safe-life PSE part itself.</w:t>
      </w:r>
    </w:p>
    <w:p>
      <w:pPr>
        <w:spacing w:after="160" w:line="276"/>
      </w:pPr>
      <w:r>
        <w:rPr>
          <w:sz w:val="22"/>
          <w:szCs w:val="22"/>
        </w:rPr>
        <w:t xml:space="preserve">PSE constituent materials that are too small to serialize are age and shelf-life limited before installation. These include composite resins, structural adhesives, and prepregs. They are lot/batch recorded. Once installed, they inherit the cycle and usage life of their higher-level assembly.</w:t>
      </w:r>
    </w:p>
    <w:p>
      <w:pPr>
        <w:spacing w:after="160" w:line="276"/>
      </w:pPr>
      <w:r>
        <w:rPr>
          <w:sz w:val="22"/>
          <w:szCs w:val="22"/>
        </w:rPr>
        <w:t xml:space="preserve">A damage-tolerant PSE is treated two ways. A damage-tolerant PSE whose ALS entry is a structural inspection at an airframe location with no separately manufactured part does not require serialization. Such PSEs are tracked by airplane and structural location. A damage-tolerant PSE that is a discrete, separately manufactured part with an ALS inspection interval does require serialization, per 14 CFR 45.15(c).</w:t>
      </w:r>
    </w:p>
    <w:p>
      <w:pPr>
        <w:pBdr>
          <w:left w:val="single" w:color="808080" w:sz="12" w:space="8"/>
        </w:pBdr>
        <w:spacing w:after="200" w:before="60" w:line="264"/>
        <w:ind w:left="504"/>
      </w:pPr>
      <w:r>
        <w:rPr>
          <w:i/>
          <w:iCs/>
          <w:sz w:val="21"/>
          <w:szCs w:val="21"/>
        </w:rPr>
        <w:t xml:space="preserve">Codes: LL and SER for a safe-life PSE. LOT for its detail parts and constituent materials. SER for a discrete damage-tolerant PSE part. No code for a location-based damage-tolerant PSE inspection. See Sections 6.3, 6.4, and 6.7.1.</w:t>
      </w:r>
    </w:p>
    <w:p>
      <w:pPr>
        <w:pStyle w:val="Heading2"/>
        <w:spacing w:after="140" w:before="300"/>
      </w:pPr>
      <w:r>
        <w:rPr>
          <w:b/>
          <w:bCs/>
          <w:color w:val="000000"/>
          <w:sz w:val="24"/>
          <w:szCs w:val="24"/>
        </w:rPr>
        <w:t xml:space="preserve">6.2.4	Critical Safety Items</w:t>
      </w:r>
    </w:p>
    <w:p>
      <w:pPr>
        <w:spacing w:after="160" w:line="276"/>
      </w:pPr>
      <w:r>
        <w:rPr>
          <w:sz w:val="22"/>
          <w:szCs w:val="22"/>
        </w:rPr>
        <w:t xml:space="preserve">DFARS 209.270-2 defines an aviation critical safety item as a part, an assembly, installation equipment, launch equipment, recovery equipment, or support equipment for an aircraft or aviation weapon system if the part, assembly, or equipment contains a characteristic any failure, malfunction, or absence of which could cause any of the following:</w:t>
      </w:r>
    </w:p>
    <w:p>
      <w:pPr>
        <w:pStyle w:val="ListParagraph"/>
        <w:numPr>
          <w:ilvl w:val="0"/>
          <w:numId w:val="2"/>
        </w:numPr>
        <w:spacing w:after="120" w:line="276"/>
      </w:pPr>
      <w:r>
        <w:rPr>
          <w:sz w:val="22"/>
          <w:szCs w:val="22"/>
        </w:rPr>
        <w:t xml:space="preserve">“(1) A catastrophic or critical failure resulting in the loss of or serious damage to the aircraft or weapon system;”</w:t>
      </w:r>
    </w:p>
    <w:p>
      <w:pPr>
        <w:pStyle w:val="ListParagraph"/>
        <w:numPr>
          <w:ilvl w:val="0"/>
          <w:numId w:val="2"/>
        </w:numPr>
        <w:spacing w:after="120" w:line="276"/>
      </w:pPr>
      <w:r>
        <w:rPr>
          <w:sz w:val="22"/>
          <w:szCs w:val="22"/>
        </w:rPr>
        <w:t xml:space="preserve">“(2) An unacceptable risk of personal injury or loss of life; or”</w:t>
      </w:r>
    </w:p>
    <w:p>
      <w:pPr>
        <w:pStyle w:val="ListParagraph"/>
        <w:numPr>
          <w:ilvl w:val="0"/>
          <w:numId w:val="2"/>
        </w:numPr>
        <w:spacing w:after="120" w:line="276"/>
      </w:pPr>
      <w:r>
        <w:rPr>
          <w:sz w:val="22"/>
          <w:szCs w:val="22"/>
        </w:rPr>
        <w:t xml:space="preserve">“(3) An uncommanded engine shutdown that jeopardizes safety.”</w:t>
      </w:r>
    </w:p>
    <w:p>
      <w:pPr>
        <w:spacing w:after="160" w:line="276"/>
      </w:pPr>
      <w:r>
        <w:rPr>
          <w:sz w:val="22"/>
          <w:szCs w:val="22"/>
        </w:rPr>
        <w:t xml:space="preserve">Section 802 of Public Law 108-136 is the statutory basis. DFARS 209.270 and DFARS PGI 209.270 establish the qualification requirements, source approval, and procedures. The contract clause at DFARS 252.209-7010, also published at 48 CFR 252.209-7010, carries the definitions and the heightened quality assurance surveillance requirement.</w:t>
      </w:r>
    </w:p>
    <w:p>
      <w:pPr>
        <w:spacing w:after="160" w:line="276"/>
      </w:pPr>
      <w:r>
        <w:rPr>
          <w:sz w:val="22"/>
          <w:szCs w:val="22"/>
        </w:rPr>
        <w:t xml:space="preserve">The design control activity designates Critical Safety Items. DFARS 252.209-7010 defines the design control activity, for an aviation critical safety item, as “the systems command of a military department that is specifically responsible for ensuring the airworthiness of an aviation system or equipment, in which an aviation critical safety item is to be used.” Systems Safety and engineering support provide inputs to that designation.</w:t>
      </w:r>
    </w:p>
    <w:p>
      <w:pPr>
        <w:spacing w:after="160" w:line="276"/>
      </w:pPr>
      <w:r>
        <w:rPr>
          <w:sz w:val="22"/>
          <w:szCs w:val="22"/>
        </w:rPr>
        <w:t xml:space="preserve">Critical Safety Item identification does not apply to aircraft or subsystems purchased, operated, and maintained in accordance with FAA certification, unless the United States Air Force Engineering Support Activity requires it. Critical Safety Item policies do not override or duplicate FAA approaches when those approaches apply and satisfy military Critical Safety Item objectives.</w:t>
      </w:r>
    </w:p>
    <w:p>
      <w:pPr>
        <w:spacing w:after="160" w:line="276"/>
      </w:pPr>
      <w:r>
        <w:rPr>
          <w:sz w:val="22"/>
          <w:szCs w:val="22"/>
        </w:rPr>
        <w:t xml:space="preserve">Serialization reaches a Critical Safety Item through IUID. DoDI 8320.04 directs the primary inventory control activity to identify Critical Safety Items as DoD serially managed items. DFARS 211.274-2(a)(3)(i) requires IUID for any DoD serially managed item regardless of value. Every UII carries a serial number.</w:t>
      </w:r>
    </w:p>
    <w:p>
      <w:pPr>
        <w:spacing w:after="160" w:line="276"/>
      </w:pPr>
      <w:r>
        <w:rPr>
          <w:sz w:val="22"/>
          <w:szCs w:val="22"/>
        </w:rPr>
        <w:t xml:space="preserve">Lot/batch recording is also required, with traceability to an approved source. Lot and heat control is typical for structural and rotating hardware.</w:t>
      </w:r>
    </w:p>
    <w:p>
      <w:pPr>
        <w:pBdr>
          <w:left w:val="single" w:color="808080" w:sz="12" w:space="8"/>
        </w:pBdr>
        <w:spacing w:after="200" w:before="60" w:line="264"/>
        <w:ind w:left="504"/>
      </w:pPr>
      <w:r>
        <w:rPr>
          <w:i/>
          <w:iCs/>
          <w:sz w:val="21"/>
          <w:szCs w:val="21"/>
        </w:rPr>
        <w:t xml:space="preserve">Codes: CSI, SER, LOT, and IUID. See Sections 6.7.5, 6.3, 6.4, and 6.5.</w:t>
      </w:r>
    </w:p>
    <w:p>
      <w:pPr>
        <w:pStyle w:val="Heading2"/>
        <w:spacing w:after="140" w:before="300"/>
      </w:pPr>
      <w:r>
        <w:rPr>
          <w:b/>
          <w:bCs/>
          <w:color w:val="000000"/>
          <w:sz w:val="24"/>
          <w:szCs w:val="24"/>
        </w:rPr>
        <w:t xml:space="preserve">6.2.5	Fracture-Critical Traceable Parts</w:t>
      </w:r>
    </w:p>
    <w:p>
      <w:pPr>
        <w:spacing w:after="160" w:line="276"/>
      </w:pPr>
      <w:r>
        <w:rPr>
          <w:sz w:val="22"/>
          <w:szCs w:val="22"/>
        </w:rPr>
        <w:t xml:space="preserve">A Fracture-Critical Traceable Part is a safety-of-flight structural component that is either single load path or sized by durability or damage tolerance requirements. MIL-STD-1530D with Change 1 defines this category. It is a distinct part category within the Aircraft Structural Integrity Program (ASIP). The same definition appears in MIL-STD-1530C.</w:t>
      </w:r>
    </w:p>
    <w:p>
      <w:pPr>
        <w:spacing w:after="160" w:line="276"/>
      </w:pPr>
      <w:r>
        <w:rPr>
          <w:sz w:val="22"/>
          <w:szCs w:val="22"/>
        </w:rPr>
        <w:t xml:space="preserve">MIL-STD-1530 defines Fracture-Critical Parts as a separate category. That category covers components that are neither single load path nor sized by durability or damage tolerance requirements, but that require special emphasis. The two definitions exclude each other. The requirements in this section apply only to Fracture-Critical Traceable Parts.</w:t>
      </w:r>
    </w:p>
    <w:p>
      <w:pPr>
        <w:spacing w:after="160" w:line="276"/>
      </w:pPr>
      <w:r>
        <w:rPr>
          <w:sz w:val="22"/>
          <w:szCs w:val="22"/>
        </w:rPr>
        <w:t xml:space="preserve">Fracture-Critical Traceable Parts require serialization and lot/batch recording as one of their controls, per MIL-STD-1530D with Change 1. Lot/batch recording supports material and process traceability.</w:t>
      </w:r>
    </w:p>
    <w:p>
      <w:pPr>
        <w:spacing w:after="160" w:line="276"/>
      </w:pPr>
      <w:r>
        <w:rPr>
          <w:sz w:val="22"/>
          <w:szCs w:val="22"/>
        </w:rPr>
        <w:t xml:space="preserve">See the critical part and process selection and controls section of MIL-STD-1530D with Change 1 and the Durability and Damage Tolerance Control Plan for more information.</w:t>
      </w:r>
    </w:p>
    <w:p>
      <w:pPr>
        <w:spacing w:after="160" w:line="276"/>
      </w:pPr>
      <w:r>
        <w:rPr>
          <w:sz w:val="22"/>
          <w:szCs w:val="22"/>
        </w:rPr>
        <w:t xml:space="preserve">Fracture-Critical Traceable Parts differ from Fracture Critical Category I and Category II Parts </w:t>
      </w:r>
      <w:r>
        <w:rPr>
          <w:b/>
          <w:bCs/>
          <w:sz w:val="22"/>
          <w:szCs w:val="22"/>
          <w:highlight w:val="yellow"/>
          <w:highlightCs w:val="yellow"/>
        </w:rPr>
        <w:t xml:space="preserve">[VERIFY THE SOURCE DOCUMENT AND REVISION FOR THESE TWO CATEGORIES BEFORE RELEASE.]</w:t>
      </w:r>
      <w:r>
        <w:rPr>
          <w:sz w:val="22"/>
          <w:szCs w:val="22"/>
        </w:rPr>
        <w:t xml:space="preserve">. Fracture Critical Category I and Category II Parts go through the Critical Safety Item or Safety-Critical Item screening process. That process determines whether part traceability applies. Fracture-Critical Traceable Parts always require serialization and lot/batch recording.</w:t>
      </w:r>
    </w:p>
    <w:p>
      <w:pPr>
        <w:pBdr>
          <w:left w:val="single" w:color="808080" w:sz="12" w:space="8"/>
        </w:pBdr>
        <w:spacing w:after="200" w:before="60" w:line="264"/>
        <w:ind w:left="504"/>
      </w:pPr>
      <w:r>
        <w:rPr>
          <w:i/>
          <w:iCs/>
          <w:sz w:val="21"/>
          <w:szCs w:val="21"/>
        </w:rPr>
        <w:t xml:space="preserve">Codes: FC, SER, and LOT. See Sections 6.7.6, 6.3, and 6.4.</w:t>
      </w:r>
    </w:p>
    <w:p>
      <w:pPr>
        <w:pStyle w:val="Heading2"/>
        <w:spacing w:after="140" w:before="300"/>
      </w:pPr>
      <w:r>
        <w:rPr>
          <w:b/>
          <w:bCs/>
          <w:color w:val="000000"/>
          <w:sz w:val="24"/>
          <w:szCs w:val="24"/>
        </w:rPr>
        <w:t xml:space="preserve">6.2.6	Safety-Critical Items</w:t>
      </w:r>
    </w:p>
    <w:p>
      <w:pPr>
        <w:spacing w:after="160" w:line="276"/>
      </w:pPr>
      <w:r>
        <w:rPr>
          <w:sz w:val="22"/>
          <w:szCs w:val="22"/>
        </w:rPr>
        <w:t xml:space="preserve">MIL-STD-882E defines a Safety-Critical Item (SCI) as “a hardware or software item that has been determined through analysis to potentially contribute to a hazard with Catastrophic or Critical mishap potential, or that may be implemented to mitigate a hazard with Catastrophic or Critical mishap potential.”</w:t>
      </w:r>
    </w:p>
    <w:p>
      <w:pPr>
        <w:spacing w:after="160" w:line="276"/>
      </w:pPr>
      <w:r>
        <w:rPr>
          <w:sz w:val="22"/>
          <w:szCs w:val="22"/>
        </w:rPr>
        <w:t xml:space="preserve">Safety-Critical Items are frequently confused with Critical Safety Items. MIL-STD-882E settles the point. It states that the definition of the term “safety-critical item” in that standard is independent of the definition of the term “critical safety item” in Public Laws 108-136 and 109-364.</w:t>
      </w:r>
    </w:p>
    <w:p>
      <w:pPr>
        <w:spacing w:after="160" w:line="276"/>
      </w:pPr>
      <w:r>
        <w:rPr>
          <w:sz w:val="22"/>
          <w:szCs w:val="22"/>
        </w:rPr>
        <w:t xml:space="preserve">System Safety analysis outputs drive design and process controls for Safety-Critical Items. They do not drive item marking. No part note code currently identifies Safety-Critical Items.</w:t>
      </w:r>
    </w:p>
    <w:p>
      <w:pPr>
        <w:pBdr>
          <w:left w:val="single" w:color="808080" w:sz="12" w:space="8"/>
        </w:pBdr>
        <w:spacing w:after="200" w:before="60" w:line="264"/>
        <w:ind w:left="504"/>
      </w:pPr>
      <w:r>
        <w:rPr>
          <w:i/>
          <w:iCs/>
          <w:sz w:val="21"/>
          <w:szCs w:val="21"/>
        </w:rPr>
        <w:t xml:space="preserve">Codes: none on this basis. A Safety-Critical Item is serialized or lot/batch recorded when the item is life-limited or otherwise holds a serialization recording or lot/batch recording requirement.</w:t>
      </w:r>
    </w:p>
    <w:p>
      <w:pPr>
        <w:pStyle w:val="Heading2"/>
        <w:spacing w:after="140" w:before="300"/>
      </w:pPr>
      <w:r>
        <w:rPr>
          <w:b/>
          <w:bCs/>
          <w:color w:val="000000"/>
          <w:sz w:val="24"/>
          <w:szCs w:val="24"/>
        </w:rPr>
        <w:t xml:space="preserve">6.2.7	Premium Selected Materials and Elevated Design Values</w:t>
      </w:r>
    </w:p>
    <w:p>
      <w:pPr>
        <w:spacing w:after="160" w:line="276"/>
      </w:pPr>
      <w:r>
        <w:rPr>
          <w:sz w:val="22"/>
          <w:szCs w:val="22"/>
        </w:rPr>
        <w:t xml:space="preserve">Premium selection is the condition on which greater material design values may be used. Under 14 CFR 25.613(e), greater material design values may be used “if a ‘premium selection’ of the material is made in which a specimen of each individual item is tested before use to determine that the actual strength properties of that particular item will equal or exceed those used in design.”</w:t>
      </w:r>
    </w:p>
    <w:p>
      <w:pPr>
        <w:spacing w:after="160" w:line="276"/>
      </w:pPr>
      <w:r>
        <w:rPr>
          <w:sz w:val="22"/>
          <w:szCs w:val="22"/>
        </w:rPr>
        <w:t xml:space="preserve">Serialization is required in practice. Neither 14 CFR 25.613(e) nor AC 25.613-1 names serialization. Each test result must still tie to one part instance, from specimen through acceptance to installation. Each part instance therefore requires a distinctive product-unit identifier. 14 CFR 45.15(c) marking also applies if the part carries an ALS entry.</w:t>
      </w:r>
    </w:p>
    <w:p>
      <w:pPr>
        <w:spacing w:after="160" w:line="276"/>
      </w:pPr>
      <w:r>
        <w:rPr>
          <w:sz w:val="22"/>
          <w:szCs w:val="22"/>
        </w:rPr>
        <w:t xml:space="preserve">Lot/batch recording captures heat and lot traceability and a record that correlates each specimen to its part.</w:t>
      </w:r>
    </w:p>
    <w:p>
      <w:pPr>
        <w:pBdr>
          <w:left w:val="single" w:color="808080" w:sz="12" w:space="8"/>
        </w:pBdr>
        <w:spacing w:after="200" w:before="60" w:line="264"/>
        <w:ind w:left="504"/>
      </w:pPr>
      <w:r>
        <w:rPr>
          <w:i/>
          <w:iCs/>
          <w:sz w:val="21"/>
          <w:szCs w:val="21"/>
        </w:rPr>
        <w:t xml:space="preserve">Codes: SER and LOT. See Sections 6.3 and 6.4.</w:t>
      </w:r>
    </w:p>
    <w:p>
      <w:pPr>
        <w:pStyle w:val="Heading2"/>
        <w:spacing w:after="140" w:before="300"/>
      </w:pPr>
      <w:r>
        <w:rPr>
          <w:b/>
          <w:bCs/>
          <w:color w:val="000000"/>
          <w:sz w:val="24"/>
          <w:szCs w:val="24"/>
        </w:rPr>
        <w:t xml:space="preserve">6.2.8	Castings and Alternative Material Design Values</w:t>
      </w:r>
    </w:p>
    <w:p>
      <w:pPr>
        <w:spacing w:after="160" w:line="276"/>
      </w:pPr>
      <w:r>
        <w:rPr>
          <w:sz w:val="22"/>
          <w:szCs w:val="22"/>
        </w:rPr>
        <w:t xml:space="preserve">Three conditions in Part 25 depend on production lot and batch records.</w:t>
      </w:r>
    </w:p>
    <w:p>
      <w:pPr>
        <w:pStyle w:val="ListParagraph"/>
        <w:numPr>
          <w:ilvl w:val="0"/>
          <w:numId w:val="2"/>
        </w:numPr>
        <w:spacing w:after="120" w:line="276"/>
      </w:pPr>
      <w:r>
        <w:rPr>
          <w:b/>
          <w:bCs/>
          <w:sz w:val="22"/>
          <w:szCs w:val="22"/>
        </w:rPr>
        <w:t xml:space="preserve">Non-critical castings with reduced non-visual inspection.</w:t>
      </w:r>
      <w:r>
        <w:rPr>
          <w:sz w:val="22"/>
          <w:szCs w:val="22"/>
        </w:rPr>
        <w:t xml:space="preserve"> 14 CFR 25.621(d)(5) allows the number of castings per production batch inspected by non-visual methods to be reduced when an approved quality control procedure is established. Quality control procedures must track and record each production batch to support the reduced sampling. See FAA AC 25.621-1.</w:t>
      </w:r>
    </w:p>
    <w:p>
      <w:pPr>
        <w:pStyle w:val="ListParagraph"/>
        <w:numPr>
          <w:ilvl w:val="0"/>
          <w:numId w:val="2"/>
        </w:numPr>
        <w:spacing w:after="120" w:line="276"/>
      </w:pPr>
      <w:r>
        <w:rPr>
          <w:b/>
          <w:bCs/>
          <w:sz w:val="22"/>
          <w:szCs w:val="22"/>
        </w:rPr>
        <w:t xml:space="preserve">Castings using process monitoring to support a casting factor of 1.0.</w:t>
      </w:r>
      <w:r>
        <w:rPr>
          <w:sz w:val="22"/>
          <w:szCs w:val="22"/>
        </w:rPr>
        <w:t xml:space="preserve"> 14 CFR 25.621(c)(1) and 14 CFR 25.621(d)(1) allow a casting factor of 1.0 or greater under stated conditions. For critical castings, those conditions include process monitoring with testing of coupons cut from the prolongations of each casting, or of each set of castings produced from a single pour into a single mold in a runner system. Records must tie each coupon to its casting or pour. See FAA AC 25.621-1.</w:t>
      </w:r>
    </w:p>
    <w:p>
      <w:pPr>
        <w:pStyle w:val="ListParagraph"/>
        <w:numPr>
          <w:ilvl w:val="0"/>
          <w:numId w:val="2"/>
        </w:numPr>
        <w:spacing w:after="120" w:line="276"/>
      </w:pPr>
      <w:r>
        <w:rPr>
          <w:b/>
          <w:bCs/>
          <w:sz w:val="22"/>
          <w:szCs w:val="22"/>
        </w:rPr>
        <w:t xml:space="preserve">Alternative approved material design values.</w:t>
      </w:r>
      <w:r>
        <w:rPr>
          <w:sz w:val="22"/>
          <w:szCs w:val="22"/>
        </w:rPr>
        <w:t xml:space="preserve"> 14 CFR 25.613(f) permits other material design values when the Administrator approves them. The rule itself does not require lot/batch records. The approval carries the process and statistical conditions. Production lot and batch manufacturing records demonstrate ongoing conformity to those conditions.</w:t>
      </w:r>
    </w:p>
    <w:p>
      <w:pPr>
        <w:pBdr>
          <w:left w:val="single" w:color="808080" w:sz="12" w:space="8"/>
        </w:pBdr>
        <w:spacing w:after="200" w:before="60" w:line="264"/>
        <w:ind w:left="504"/>
      </w:pPr>
      <w:r>
        <w:rPr>
          <w:i/>
          <w:iCs/>
          <w:sz w:val="21"/>
          <w:szCs w:val="21"/>
        </w:rPr>
        <w:t xml:space="preserve">Codes: LOT. See Section 6.4.</w:t>
      </w:r>
    </w:p>
    <w:p>
      <w:pPr>
        <w:pStyle w:val="Heading2"/>
        <w:spacing w:after="140" w:before="300"/>
      </w:pPr>
      <w:r>
        <w:rPr>
          <w:b/>
          <w:bCs/>
          <w:color w:val="000000"/>
          <w:sz w:val="24"/>
          <w:szCs w:val="24"/>
        </w:rPr>
        <w:t xml:space="preserve">6.2.9	Process and Batch Conditions</w:t>
      </w:r>
    </w:p>
    <w:p>
      <w:pPr>
        <w:spacing w:after="160" w:line="276"/>
      </w:pPr>
      <w:r>
        <w:rPr>
          <w:sz w:val="22"/>
          <w:szCs w:val="22"/>
        </w:rPr>
        <w:t xml:space="preserve">Lot/batch recording also applies to items whose identity or performance is established by a batch rather than by a unit. These include:</w:t>
      </w:r>
    </w:p>
    <w:p>
      <w:pPr>
        <w:pStyle w:val="ListParagraph"/>
        <w:numPr>
          <w:ilvl w:val="0"/>
          <w:numId w:val="2"/>
        </w:numPr>
        <w:spacing w:after="120" w:line="276"/>
      </w:pPr>
      <w:r>
        <w:rPr>
          <w:sz w:val="22"/>
          <w:szCs w:val="22"/>
        </w:rPr>
        <w:t xml:space="preserve">Items fabricated using specific batches of bulk materials or processes.</w:t>
      </w:r>
    </w:p>
    <w:p>
      <w:pPr>
        <w:pStyle w:val="ListParagraph"/>
        <w:numPr>
          <w:ilvl w:val="0"/>
          <w:numId w:val="2"/>
        </w:numPr>
        <w:spacing w:after="120" w:line="276"/>
      </w:pPr>
      <w:r>
        <w:rPr>
          <w:sz w:val="22"/>
          <w:szCs w:val="22"/>
        </w:rPr>
        <w:t xml:space="preserve">Items whose testing or certification is conducted by lot/batch.</w:t>
      </w:r>
    </w:p>
    <w:p>
      <w:pPr>
        <w:pStyle w:val="ListParagraph"/>
        <w:numPr>
          <w:ilvl w:val="0"/>
          <w:numId w:val="2"/>
        </w:numPr>
        <w:spacing w:after="120" w:line="276"/>
      </w:pPr>
      <w:r>
        <w:rPr>
          <w:sz w:val="22"/>
          <w:szCs w:val="22"/>
        </w:rPr>
        <w:t xml:space="preserve">Items whose performance may depend on process or batch conditions, including:</w:t>
      </w:r>
    </w:p>
    <w:p>
      <w:pPr>
        <w:pStyle w:val="ListParagraph"/>
        <w:numPr>
          <w:ilvl w:val="1"/>
          <w:numId w:val="2"/>
        </w:numPr>
        <w:spacing w:after="120" w:line="276"/>
      </w:pPr>
      <w:r>
        <w:rPr>
          <w:sz w:val="22"/>
          <w:szCs w:val="22"/>
        </w:rPr>
        <w:t xml:space="preserve">storage conditions</w:t>
      </w:r>
    </w:p>
    <w:p>
      <w:pPr>
        <w:pStyle w:val="ListParagraph"/>
        <w:numPr>
          <w:ilvl w:val="1"/>
          <w:numId w:val="2"/>
        </w:numPr>
        <w:spacing w:after="120" w:line="276"/>
      </w:pPr>
      <w:r>
        <w:rPr>
          <w:sz w:val="22"/>
          <w:szCs w:val="22"/>
        </w:rPr>
        <w:t xml:space="preserve">temperature</w:t>
      </w:r>
    </w:p>
    <w:p>
      <w:pPr>
        <w:pStyle w:val="ListParagraph"/>
        <w:numPr>
          <w:ilvl w:val="1"/>
          <w:numId w:val="2"/>
        </w:numPr>
        <w:spacing w:after="120" w:line="276"/>
      </w:pPr>
      <w:r>
        <w:rPr>
          <w:sz w:val="22"/>
          <w:szCs w:val="22"/>
        </w:rPr>
        <w:t xml:space="preserve">solution strength</w:t>
      </w:r>
    </w:p>
    <w:p>
      <w:pPr>
        <w:pStyle w:val="ListParagraph"/>
        <w:numPr>
          <w:ilvl w:val="1"/>
          <w:numId w:val="2"/>
        </w:numPr>
        <w:spacing w:after="120" w:line="276"/>
      </w:pPr>
      <w:r>
        <w:rPr>
          <w:sz w:val="22"/>
          <w:szCs w:val="22"/>
        </w:rPr>
        <w:t xml:space="preserve">application technique</w:t>
      </w:r>
    </w:p>
    <w:p>
      <w:pPr>
        <w:pStyle w:val="ListParagraph"/>
        <w:numPr>
          <w:ilvl w:val="1"/>
          <w:numId w:val="2"/>
        </w:numPr>
        <w:spacing w:after="120" w:line="276"/>
      </w:pPr>
      <w:r>
        <w:rPr>
          <w:sz w:val="22"/>
          <w:szCs w:val="22"/>
        </w:rPr>
        <w:t xml:space="preserve">cure time</w:t>
      </w:r>
    </w:p>
    <w:p>
      <w:pPr>
        <w:spacing w:after="160" w:line="276"/>
      </w:pPr>
      <w:r>
        <w:rPr>
          <w:sz w:val="22"/>
          <w:szCs w:val="22"/>
        </w:rPr>
        <w:t xml:space="preserve">Common items holding lot/batch recording requirements include printed wiring boards, heat-treated high-strength material, forged items, specialized metallic fasteners for heat and lot traceability, parts and materials holding specific storage requirements, cured epoxy-filled honeycomb panels, electrical fuses, O-rings, simple high-volume electromechanical switches (standard toggles, general-purpose push-button switches, circuit breakers, and internal switches used inside non-critical line replaceable units), and filters. For more information, see BDS-517.</w:t>
      </w:r>
    </w:p>
    <w:p>
      <w:pPr>
        <w:pBdr>
          <w:left w:val="single" w:color="808080" w:sz="12" w:space="8"/>
        </w:pBdr>
        <w:spacing w:after="200" w:before="60" w:line="264"/>
        <w:ind w:left="504"/>
      </w:pPr>
      <w:r>
        <w:rPr>
          <w:i/>
          <w:iCs/>
          <w:sz w:val="21"/>
          <w:szCs w:val="21"/>
        </w:rPr>
        <w:t xml:space="preserve">Codes: LOT. See Section 6.4.</w:t>
      </w:r>
    </w:p>
    <w:p>
      <w:pPr>
        <w:pStyle w:val="Heading2"/>
        <w:spacing w:after="140" w:before="300"/>
      </w:pPr>
      <w:r>
        <w:rPr>
          <w:b/>
          <w:bCs/>
          <w:color w:val="000000"/>
          <w:sz w:val="24"/>
          <w:szCs w:val="24"/>
        </w:rPr>
        <w:t xml:space="preserve">6.2.10	Special Handling Conditions</w:t>
      </w:r>
    </w:p>
    <w:p>
      <w:pPr>
        <w:spacing w:after="160" w:line="276"/>
      </w:pPr>
      <w:r>
        <w:rPr>
          <w:sz w:val="22"/>
          <w:szCs w:val="22"/>
        </w:rPr>
        <w:t xml:space="preserve">Manufacturing and Production must follow special handling and packaging methods when storing and working with certain items. Items requiring special handling and packaging include sensitive electronic parts or assemblies, fragile equipment, easily lost parts of high value, perishable items, and items that must be stored under specific environmental or security conditions.</w:t>
      </w:r>
    </w:p>
    <w:p>
      <w:pPr>
        <w:spacing w:after="160" w:line="276"/>
      </w:pPr>
      <w:r>
        <w:rPr>
          <w:sz w:val="22"/>
          <w:szCs w:val="22"/>
        </w:rPr>
        <w:t xml:space="preserve">Special handling, packaging, and environmental control may be required when critical limits exist for any of the following factors:</w:t>
      </w:r>
    </w:p>
    <w:p>
      <w:pPr>
        <w:pStyle w:val="ListParagraph"/>
        <w:numPr>
          <w:ilvl w:val="0"/>
          <w:numId w:val="3"/>
        </w:numPr>
        <w:spacing w:after="40" w:line="264"/>
      </w:pPr>
      <w:r>
        <w:rPr>
          <w:sz w:val="22"/>
          <w:szCs w:val="22"/>
        </w:rPr>
        <w:t xml:space="preserve">Life Limits (including expiration dates)</w:t>
      </w:r>
    </w:p>
    <w:p>
      <w:pPr>
        <w:pStyle w:val="ListParagraph"/>
        <w:numPr>
          <w:ilvl w:val="0"/>
          <w:numId w:val="3"/>
        </w:numPr>
        <w:spacing w:after="40" w:line="264"/>
      </w:pPr>
      <w:r>
        <w:rPr>
          <w:sz w:val="22"/>
          <w:szCs w:val="22"/>
        </w:rPr>
        <w:t xml:space="preserve">Atmospheric Pressure</w:t>
      </w:r>
    </w:p>
    <w:p>
      <w:pPr>
        <w:pStyle w:val="ListParagraph"/>
        <w:numPr>
          <w:ilvl w:val="0"/>
          <w:numId w:val="3"/>
        </w:numPr>
        <w:spacing w:after="40" w:line="264"/>
      </w:pPr>
      <w:r>
        <w:rPr>
          <w:sz w:val="22"/>
          <w:szCs w:val="22"/>
        </w:rPr>
        <w:t xml:space="preserve">Electrostatic Discharge Sensitive</w:t>
      </w:r>
    </w:p>
    <w:p>
      <w:pPr>
        <w:pStyle w:val="ListParagraph"/>
        <w:numPr>
          <w:ilvl w:val="0"/>
          <w:numId w:val="3"/>
        </w:numPr>
        <w:spacing w:after="40" w:line="264"/>
      </w:pPr>
      <w:r>
        <w:rPr>
          <w:sz w:val="22"/>
          <w:szCs w:val="22"/>
        </w:rPr>
        <w:t xml:space="preserve">Fungus</w:t>
      </w:r>
    </w:p>
    <w:p>
      <w:pPr>
        <w:pStyle w:val="ListParagraph"/>
        <w:numPr>
          <w:ilvl w:val="0"/>
          <w:numId w:val="3"/>
        </w:numPr>
        <w:spacing w:after="40" w:line="264"/>
      </w:pPr>
      <w:r>
        <w:rPr>
          <w:sz w:val="22"/>
          <w:szCs w:val="22"/>
        </w:rPr>
        <w:t xml:space="preserve">Hail</w:t>
      </w:r>
    </w:p>
    <w:p>
      <w:pPr>
        <w:pStyle w:val="ListParagraph"/>
        <w:numPr>
          <w:ilvl w:val="0"/>
          <w:numId w:val="3"/>
        </w:numPr>
        <w:spacing w:after="40" w:line="264"/>
      </w:pPr>
      <w:r>
        <w:rPr>
          <w:sz w:val="22"/>
          <w:szCs w:val="22"/>
        </w:rPr>
        <w:t xml:space="preserve">Hazardous Material</w:t>
      </w:r>
    </w:p>
    <w:p>
      <w:pPr>
        <w:pStyle w:val="ListParagraph"/>
        <w:numPr>
          <w:ilvl w:val="0"/>
          <w:numId w:val="3"/>
        </w:numPr>
        <w:spacing w:after="40" w:line="264"/>
      </w:pPr>
      <w:r>
        <w:rPr>
          <w:sz w:val="22"/>
          <w:szCs w:val="22"/>
        </w:rPr>
        <w:t xml:space="preserve">Humidity</w:t>
      </w:r>
    </w:p>
    <w:p>
      <w:pPr>
        <w:pStyle w:val="ListParagraph"/>
        <w:numPr>
          <w:ilvl w:val="0"/>
          <w:numId w:val="3"/>
        </w:numPr>
        <w:spacing w:after="40" w:line="264"/>
      </w:pPr>
      <w:r>
        <w:rPr>
          <w:sz w:val="22"/>
          <w:szCs w:val="22"/>
        </w:rPr>
        <w:t xml:space="preserve">Rain</w:t>
      </w:r>
    </w:p>
    <w:p>
      <w:pPr>
        <w:pStyle w:val="ListParagraph"/>
        <w:numPr>
          <w:ilvl w:val="0"/>
          <w:numId w:val="3"/>
        </w:numPr>
        <w:spacing w:after="40" w:line="264"/>
      </w:pPr>
      <w:r>
        <w:rPr>
          <w:sz w:val="22"/>
          <w:szCs w:val="22"/>
        </w:rPr>
        <w:t xml:space="preserve">Salt Spray</w:t>
      </w:r>
    </w:p>
    <w:p>
      <w:pPr>
        <w:pStyle w:val="ListParagraph"/>
        <w:numPr>
          <w:ilvl w:val="0"/>
          <w:numId w:val="3"/>
        </w:numPr>
        <w:spacing w:after="40" w:line="264"/>
      </w:pPr>
      <w:r>
        <w:rPr>
          <w:sz w:val="22"/>
          <w:szCs w:val="22"/>
        </w:rPr>
        <w:t xml:space="preserve">Sand and Dust</w:t>
      </w:r>
    </w:p>
    <w:p>
      <w:pPr>
        <w:pStyle w:val="ListParagraph"/>
        <w:numPr>
          <w:ilvl w:val="0"/>
          <w:numId w:val="3"/>
        </w:numPr>
        <w:spacing w:after="40" w:line="264"/>
      </w:pPr>
      <w:r>
        <w:rPr>
          <w:sz w:val="22"/>
          <w:szCs w:val="22"/>
        </w:rPr>
        <w:t xml:space="preserve">Security Classification</w:t>
      </w:r>
    </w:p>
    <w:p>
      <w:pPr>
        <w:pStyle w:val="ListParagraph"/>
        <w:numPr>
          <w:ilvl w:val="0"/>
          <w:numId w:val="3"/>
        </w:numPr>
        <w:spacing w:after="40" w:line="264"/>
      </w:pPr>
      <w:r>
        <w:rPr>
          <w:sz w:val="22"/>
          <w:szCs w:val="22"/>
        </w:rPr>
        <w:t xml:space="preserve">Sensitive Electronic Devices</w:t>
      </w:r>
    </w:p>
    <w:p>
      <w:pPr>
        <w:pStyle w:val="ListParagraph"/>
        <w:numPr>
          <w:ilvl w:val="0"/>
          <w:numId w:val="3"/>
        </w:numPr>
        <w:spacing w:after="40" w:line="264"/>
      </w:pPr>
      <w:r>
        <w:rPr>
          <w:sz w:val="22"/>
          <w:szCs w:val="22"/>
        </w:rPr>
        <w:t xml:space="preserve">Shock</w:t>
      </w:r>
    </w:p>
    <w:p>
      <w:pPr>
        <w:pStyle w:val="ListParagraph"/>
        <w:numPr>
          <w:ilvl w:val="0"/>
          <w:numId w:val="3"/>
        </w:numPr>
        <w:spacing w:after="40" w:line="264"/>
      </w:pPr>
      <w:r>
        <w:rPr>
          <w:sz w:val="22"/>
          <w:szCs w:val="22"/>
        </w:rPr>
        <w:t xml:space="preserve">Solar Radiation</w:t>
      </w:r>
    </w:p>
    <w:p>
      <w:pPr>
        <w:pStyle w:val="ListParagraph"/>
        <w:numPr>
          <w:ilvl w:val="0"/>
          <w:numId w:val="3"/>
        </w:numPr>
        <w:spacing w:after="40" w:line="264"/>
      </w:pPr>
      <w:r>
        <w:rPr>
          <w:sz w:val="22"/>
          <w:szCs w:val="22"/>
        </w:rPr>
        <w:t xml:space="preserve">Temperature</w:t>
      </w:r>
    </w:p>
    <w:p>
      <w:pPr>
        <w:pStyle w:val="ListParagraph"/>
        <w:numPr>
          <w:ilvl w:val="0"/>
          <w:numId w:val="3"/>
        </w:numPr>
        <w:spacing w:after="40" w:line="264"/>
      </w:pPr>
      <w:r>
        <w:rPr>
          <w:sz w:val="22"/>
          <w:szCs w:val="22"/>
        </w:rPr>
        <w:t xml:space="preserve">Vibration</w:t>
      </w:r>
    </w:p>
    <w:p>
      <w:pPr>
        <w:pStyle w:val="ListParagraph"/>
        <w:numPr>
          <w:ilvl w:val="0"/>
          <w:numId w:val="3"/>
        </w:numPr>
        <w:spacing w:after="200" w:line="264"/>
      </w:pPr>
      <w:r>
        <w:rPr>
          <w:sz w:val="22"/>
          <w:szCs w:val="22"/>
        </w:rPr>
        <w:t xml:space="preserve">Wind</w:t>
      </w:r>
    </w:p>
    <w:p>
      <w:pPr>
        <w:spacing w:after="160" w:line="276"/>
      </w:pPr>
      <w:r>
        <w:rPr>
          <w:sz w:val="22"/>
          <w:szCs w:val="22"/>
        </w:rPr>
        <w:t xml:space="preserve">Parts lists containing these items must specify handling, packaging, or environmental requirements. Parts lists calling out off-the-shelf purchased items must identify the special requirements applicable to those items.</w:t>
      </w:r>
    </w:p>
    <w:p>
      <w:pPr>
        <w:spacing w:after="160" w:line="276"/>
      </w:pPr>
      <w:r>
        <w:rPr>
          <w:sz w:val="22"/>
          <w:szCs w:val="22"/>
        </w:rPr>
        <w:t xml:space="preserve">The special handling conditions, including segregation and packaging, are recorded as a lot.</w:t>
      </w:r>
    </w:p>
    <w:p>
      <w:pPr>
        <w:spacing w:after="160" w:line="276"/>
      </w:pPr>
      <w:r>
        <w:rPr>
          <w:b/>
          <w:bCs/>
          <w:sz w:val="22"/>
          <w:szCs w:val="22"/>
        </w:rPr>
        <w:t xml:space="preserve">Explosive materials</w:t>
      </w:r>
      <w:r>
        <w:rPr>
          <w:sz w:val="22"/>
          <w:szCs w:val="22"/>
        </w:rPr>
        <w:t xml:space="preserve"> include, but are not limited to, ammunition, pyrotechnics, destructors, detonators, initiators, thrusters, JATO units, fuels, catapults, and explosive units. This category includes solids, liquids, and gases. Before releasing any data, coordinate the use of these materials with the Materials and Processes organization in accordance with existing operating procedures. Coordinate any material suspected of being explosive the same way.</w:t>
      </w:r>
    </w:p>
    <w:p>
      <w:pPr>
        <w:spacing w:after="160" w:line="276"/>
      </w:pPr>
      <w:r>
        <w:rPr>
          <w:sz w:val="22"/>
          <w:szCs w:val="22"/>
        </w:rPr>
        <w:t xml:space="preserve">Beryllium and beryllium alloys are toxic hazardous materials. They are not explosive materials. Treat them under factor f, Hazardous Material.</w:t>
      </w:r>
    </w:p>
    <w:p>
      <w:pPr>
        <w:spacing w:after="160" w:line="276"/>
      </w:pPr>
      <w:r>
        <w:rPr>
          <w:b/>
          <w:bCs/>
          <w:sz w:val="22"/>
          <w:szCs w:val="22"/>
        </w:rPr>
        <w:t xml:space="preserve">Radioactive materials</w:t>
      </w:r>
      <w:r>
        <w:rPr>
          <w:sz w:val="22"/>
          <w:szCs w:val="22"/>
        </w:rPr>
        <w:t xml:space="preserve"> are items that Radiation Health Protection has identified as radioactive beyond tolerable limits.</w:t>
      </w:r>
    </w:p>
    <w:p>
      <w:pPr>
        <w:pBdr>
          <w:left w:val="single" w:color="808080" w:sz="12" w:space="8"/>
        </w:pBdr>
        <w:spacing w:after="200" w:before="60" w:line="264"/>
        <w:ind w:left="504"/>
      </w:pPr>
      <w:r>
        <w:rPr>
          <w:i/>
          <w:iCs/>
          <w:sz w:val="21"/>
          <w:szCs w:val="21"/>
        </w:rPr>
        <w:t xml:space="preserve">Codes: SH and LOT. See Sections 6.7.2 through 6.7.4 and Section 6.4.</w:t>
      </w:r>
    </w:p>
    <w:p>
      <w:pPr>
        <w:pStyle w:val="Heading2"/>
        <w:spacing w:after="140" w:before="300"/>
      </w:pPr>
      <w:r>
        <w:rPr>
          <w:b/>
          <w:bCs/>
          <w:color w:val="000000"/>
          <w:sz w:val="24"/>
          <w:szCs w:val="24"/>
        </w:rPr>
        <w:t xml:space="preserve">6.2.11	DoD Serially Managed Items and Parent Items</w:t>
      </w:r>
    </w:p>
    <w:p>
      <w:pPr>
        <w:spacing w:after="160" w:line="276"/>
      </w:pPr>
      <w:r>
        <w:rPr>
          <w:sz w:val="22"/>
          <w:szCs w:val="22"/>
        </w:rPr>
        <w:t xml:space="preserve">A DoD serially managed item is an item that the primary inventory control activity identifies as serially managed under DoDI 8320.04. These include capital asset equipment, Critical Safety Items, relocatable facilities, special test equipment and special tooling that is part of a major defense acquisition program, controlled inventory items as appropriate, and depot-level repairable items as determined by the item manager or the program manager.</w:t>
      </w:r>
    </w:p>
    <w:p>
      <w:pPr>
        <w:spacing w:after="160" w:line="276"/>
      </w:pPr>
      <w:r>
        <w:rPr>
          <w:sz w:val="22"/>
          <w:szCs w:val="22"/>
        </w:rPr>
        <w:t xml:space="preserve">DFARS 252.211-7003 defines a parent item as “the item assembly, intermediate component, or subassembly that has an embedded item with a unique item identifier or DoD recognized unique identification equivalent.”</w:t>
      </w:r>
    </w:p>
    <w:p>
      <w:pPr>
        <w:spacing w:after="160" w:line="276"/>
      </w:pPr>
      <w:r>
        <w:rPr>
          <w:sz w:val="22"/>
          <w:szCs w:val="22"/>
        </w:rPr>
        <w:t xml:space="preserve">These two categories, and the other contract-driven IUID triggers, are listed in full in Section 6.5. They come from the contract rather than from the type design.</w:t>
      </w:r>
    </w:p>
    <w:p>
      <w:pPr>
        <w:pBdr>
          <w:left w:val="single" w:color="808080" w:sz="12" w:space="8"/>
        </w:pBdr>
        <w:spacing w:after="200" w:before="60" w:line="264"/>
        <w:ind w:left="504"/>
      </w:pPr>
      <w:r>
        <w:rPr>
          <w:i/>
          <w:iCs/>
          <w:sz w:val="21"/>
          <w:szCs w:val="21"/>
        </w:rPr>
        <w:t xml:space="preserve">Codes: IUID and SER. See Sections 6.5 and 6.3.</w:t>
      </w:r>
    </w:p>
    <w:p>
      <w:pPr>
        <w:pStyle w:val="Heading1"/>
        <w:spacing w:after="160" w:before="360"/>
      </w:pPr>
      <w:r>
        <w:rPr>
          <w:b/>
          <w:bCs/>
          <w:color w:val="000000"/>
          <w:sz w:val="26"/>
          <w:szCs w:val="26"/>
        </w:rPr>
        <w:t xml:space="preserve">6.3	Serialization Recording Required</w:t>
      </w:r>
    </w:p>
    <w:p>
      <w:pPr>
        <w:spacing w:after="160" w:line="276"/>
      </w:pPr>
      <w:r>
        <w:rPr>
          <w:sz w:val="22"/>
          <w:szCs w:val="22"/>
        </w:rPr>
        <w:t xml:space="preserve">The Serialization Recording Required part note code (SER) drives the action to record serial numbers, or to apply and record serial numbers.</w:t>
      </w:r>
    </w:p>
    <w:p>
      <w:pPr>
        <w:spacing w:after="160" w:line="276"/>
      </w:pPr>
      <w:r>
        <w:rPr>
          <w:sz w:val="22"/>
          <w:szCs w:val="22"/>
        </w:rPr>
        <w:t xml:space="preserve">For an item that holds its own serialization recording requirement, apply part note code and note text:</w:t>
      </w:r>
    </w:p>
    <w:p>
      <w:pPr>
        <w:spacing w:after="160" w:before="60" w:line="264"/>
        <w:ind w:left="504"/>
      </w:pPr>
      <w:r>
        <w:rPr>
          <w:b/>
          <w:bCs/>
          <w:sz w:val="21"/>
          <w:szCs w:val="21"/>
        </w:rPr>
        <w:t xml:space="preserve">SER – SERIALIZATION RECORDING REQUIRED. THIS ITEM IS SERIALIZED AND TRACEABILITY MUST BE MAINTAINED BETWEEN THIS ITEM AND [CASCADE SCOPE].</w:t>
      </w:r>
    </w:p>
    <w:p>
      <w:pPr>
        <w:spacing w:after="160" w:line="276"/>
      </w:pPr>
      <w:r>
        <w:rPr>
          <w:sz w:val="22"/>
          <w:szCs w:val="22"/>
        </w:rPr>
        <w:t xml:space="preserve">Fill the [CASCADE SCOPE] bracket from Section 6.6.1. The scope depends on which requirement source drives the serialization. Do not assume the end item.</w:t>
      </w:r>
    </w:p>
    <w:p>
      <w:pPr>
        <w:spacing w:after="160" w:line="276"/>
      </w:pPr>
      <w:r>
        <w:rPr>
          <w:sz w:val="22"/>
          <w:szCs w:val="22"/>
        </w:rPr>
        <w:t xml:space="preserve">If that item also has children that hold serialization or lot/batch recording requirements, apply part note code and note text:</w:t>
      </w:r>
    </w:p>
    <w:p>
      <w:pPr>
        <w:spacing w:after="160" w:before="60" w:line="264"/>
        <w:ind w:left="504"/>
      </w:pPr>
      <w:r>
        <w:rPr>
          <w:b/>
          <w:bCs/>
          <w:sz w:val="21"/>
          <w:szCs w:val="21"/>
        </w:rPr>
        <w:t xml:space="preserve">TR – TRACEABILITY RECORDS REQUIRED.</w:t>
      </w:r>
    </w:p>
    <w:p>
      <w:pPr>
        <w:spacing w:after="160" w:line="276"/>
      </w:pPr>
      <w:r>
        <w:rPr>
          <w:sz w:val="22"/>
          <w:szCs w:val="22"/>
        </w:rPr>
        <w:t xml:space="preserve">Traceability above a serialized item is governed by Section 6.6.</w:t>
      </w:r>
    </w:p>
    <w:p>
      <w:pPr>
        <w:pStyle w:val="Heading1"/>
        <w:spacing w:after="160" w:before="360"/>
      </w:pPr>
      <w:r>
        <w:rPr>
          <w:b/>
          <w:bCs/>
          <w:color w:val="000000"/>
          <w:sz w:val="26"/>
          <w:szCs w:val="26"/>
        </w:rPr>
        <w:t xml:space="preserve">6.4	Lot/Batch Recording Required</w:t>
      </w:r>
    </w:p>
    <w:p>
      <w:pPr>
        <w:spacing w:after="160" w:line="276"/>
      </w:pPr>
      <w:r>
        <w:rPr>
          <w:sz w:val="22"/>
          <w:szCs w:val="22"/>
        </w:rPr>
        <w:t xml:space="preserve">The Lot/Batch Recording Required part note code (LOT) drives the action to record lot/batch numbers, or to apply and record lot/batch numbers.</w:t>
      </w:r>
    </w:p>
    <w:p>
      <w:pPr>
        <w:spacing w:after="160" w:line="276"/>
      </w:pPr>
      <w:r>
        <w:rPr>
          <w:sz w:val="22"/>
          <w:szCs w:val="22"/>
        </w:rPr>
        <w:t xml:space="preserve">For a raw material callout on a parts list that requires lot/batch traceability, such as bar stock, sheet, plate, or bulk sealant, apply part note code and note text:</w:t>
      </w:r>
    </w:p>
    <w:p>
      <w:pPr>
        <w:spacing w:after="160" w:before="60" w:line="264"/>
        <w:ind w:left="504"/>
      </w:pPr>
      <w:r>
        <w:rPr>
          <w:b/>
          <w:bCs/>
          <w:sz w:val="21"/>
          <w:szCs w:val="21"/>
        </w:rPr>
        <w:t xml:space="preserve">LOT – LOT/BATCH RECORDING REQUIRED.</w:t>
      </w:r>
    </w:p>
    <w:p>
      <w:pPr>
        <w:spacing w:after="160" w:line="276"/>
      </w:pPr>
      <w:r>
        <w:rPr>
          <w:sz w:val="22"/>
          <w:szCs w:val="22"/>
        </w:rPr>
        <w:t xml:space="preserve">For a detail part or a vendor part that holds a lot/batch recording requirement, apply part note code and note text:</w:t>
      </w:r>
    </w:p>
    <w:p>
      <w:pPr>
        <w:spacing w:after="160" w:before="60" w:line="264"/>
        <w:ind w:left="504"/>
      </w:pPr>
      <w:r>
        <w:rPr>
          <w:b/>
          <w:bCs/>
          <w:sz w:val="21"/>
          <w:szCs w:val="21"/>
        </w:rPr>
        <w:t xml:space="preserve">LOT – LOT/BATCH RECORDING REQUIRED. THIS ITEM REQUIRES LOT/BATCH TRACEABILITY AND TRACEABILITY MUST BE MAINTAINED BETWEEN THIS ITEM AND [CASCADE SCOPE].</w:t>
      </w:r>
    </w:p>
    <w:p>
      <w:pPr>
        <w:spacing w:after="160" w:line="276"/>
      </w:pPr>
      <w:r>
        <w:rPr>
          <w:sz w:val="22"/>
          <w:szCs w:val="22"/>
        </w:rPr>
        <w:t xml:space="preserve">Fill the [CASCADE SCOPE] bracket from Section 6.6.1.</w:t>
      </w:r>
    </w:p>
    <w:p>
      <w:pPr>
        <w:spacing w:after="160" w:line="276"/>
      </w:pPr>
      <w:r>
        <w:rPr>
          <w:sz w:val="22"/>
          <w:szCs w:val="22"/>
        </w:rPr>
        <w:t xml:space="preserve">A lot number alone does not establish location. The parent of a Lot/Batch Recording Required item is therefore serialized, so that the lot can be traced to an identified unit. How far that chain continues is governed by Section 6.6.1.</w:t>
      </w:r>
    </w:p>
    <w:p>
      <w:pPr>
        <w:pStyle w:val="Heading1"/>
        <w:spacing w:after="160" w:before="360"/>
      </w:pPr>
      <w:r>
        <w:rPr>
          <w:b/>
          <w:bCs/>
          <w:color w:val="000000"/>
          <w:sz w:val="26"/>
          <w:szCs w:val="26"/>
        </w:rPr>
        <w:t xml:space="preserve">6.5	Item Unique Identification Required</w:t>
      </w:r>
    </w:p>
    <w:p>
      <w:pPr>
        <w:spacing w:after="160" w:line="276"/>
      </w:pPr>
      <w:r>
        <w:rPr>
          <w:sz w:val="22"/>
          <w:szCs w:val="22"/>
        </w:rPr>
        <w:t xml:space="preserve">The Item Unique Identification Required part note code (IUID) drives the action to mark an item with a unique item identifier (UII) and to report that UII to the Department of Defense IUID Registry.</w:t>
      </w:r>
    </w:p>
    <w:p>
      <w:pPr>
        <w:spacing w:after="160" w:line="276"/>
      </w:pPr>
      <w:r>
        <w:rPr>
          <w:sz w:val="22"/>
          <w:szCs w:val="22"/>
        </w:rPr>
        <w:t xml:space="preserve">IUID is a contract requirement. It applies when the contract includes the clause at DFARS 252.211-7003, Item Unique Identification and Valuation. It does not apply to aircraft or subsystems delivered only under FAA certification, unless the contract requires it. When the prime contract requires IUID for an item that a supplier provides, the contractor flows DFARS 252.211-7003 down to that subcontract, including subcontracts for commercial products and commercial services.</w:t>
      </w:r>
    </w:p>
    <w:p>
      <w:pPr>
        <w:spacing w:after="160" w:line="276"/>
      </w:pPr>
      <w:r>
        <w:rPr>
          <w:sz w:val="22"/>
          <w:szCs w:val="22"/>
        </w:rPr>
        <w:t xml:space="preserve">Every UII carries a serial number. An IUID item is therefore a serialized item. The UII adds two things that a serial number alone does not. It adds a machine-readable mark. It adds a registry record.</w:t>
      </w:r>
    </w:p>
    <w:p>
      <w:pPr>
        <w:pStyle w:val="Heading2"/>
        <w:spacing w:after="140" w:before="300"/>
      </w:pPr>
      <w:r>
        <w:rPr>
          <w:b/>
          <w:bCs/>
          <w:color w:val="000000"/>
          <w:sz w:val="24"/>
          <w:szCs w:val="24"/>
        </w:rPr>
        <w:t xml:space="preserve">6.5.1	Definitions</w:t>
      </w:r>
    </w:p>
    <w:p>
      <w:pPr>
        <w:spacing w:after="160" w:line="276"/>
      </w:pPr>
      <w:r>
        <w:rPr>
          <w:sz w:val="22"/>
          <w:szCs w:val="22"/>
        </w:rPr>
        <w:t xml:space="preserve">DFARS 252.211-7003 defines the key terms:</w:t>
      </w:r>
    </w:p>
    <w:p>
      <w:pPr>
        <w:pStyle w:val="ListParagraph"/>
        <w:numPr>
          <w:ilvl w:val="0"/>
          <w:numId w:val="2"/>
        </w:numPr>
        <w:spacing w:after="120" w:line="276"/>
      </w:pPr>
      <w:r>
        <w:rPr>
          <w:b/>
          <w:bCs/>
          <w:sz w:val="22"/>
          <w:szCs w:val="22"/>
        </w:rPr>
        <w:t xml:space="preserve">DoD item unique identification</w:t>
      </w:r>
      <w:r>
        <w:rPr>
          <w:sz w:val="22"/>
          <w:szCs w:val="22"/>
        </w:rPr>
        <w:t xml:space="preserve"> means “a system of marking items delivered to DoD with unique item identifiers that have machine-readable data elements to distinguish an item from all other like and unlike items. For items that are serialized within the enterprise identifier, the unique item identifier shall include the data elements of the enterprise identifier and a unique serial number. For items that are serialized within the part, lot, or batch number within the enterprise identifier, the unique item identifier shall include the data elements of the enterprise identifier; the original part, lot, or batch number; and the serial number.”</w:t>
      </w:r>
    </w:p>
    <w:p>
      <w:pPr>
        <w:pStyle w:val="ListParagraph"/>
        <w:numPr>
          <w:ilvl w:val="0"/>
          <w:numId w:val="2"/>
        </w:numPr>
        <w:spacing w:after="120" w:line="276"/>
      </w:pPr>
      <w:r>
        <w:rPr>
          <w:b/>
          <w:bCs/>
          <w:sz w:val="22"/>
          <w:szCs w:val="22"/>
        </w:rPr>
        <w:t xml:space="preserve">Unique item identifier</w:t>
      </w:r>
      <w:r>
        <w:rPr>
          <w:sz w:val="22"/>
          <w:szCs w:val="22"/>
        </w:rPr>
        <w:t xml:space="preserve"> means “a set of data elements marked on items that is globally unique and unambiguous. The term includes a concatenated unique item identifier or a DoD recognized unique identification equivalent.”</w:t>
      </w:r>
    </w:p>
    <w:p>
      <w:pPr>
        <w:pStyle w:val="ListParagraph"/>
        <w:numPr>
          <w:ilvl w:val="0"/>
          <w:numId w:val="2"/>
        </w:numPr>
        <w:spacing w:after="120" w:line="276"/>
      </w:pPr>
      <w:r>
        <w:rPr>
          <w:b/>
          <w:bCs/>
          <w:sz w:val="22"/>
          <w:szCs w:val="22"/>
        </w:rPr>
        <w:t xml:space="preserve">Parent item</w:t>
      </w:r>
      <w:r>
        <w:rPr>
          <w:sz w:val="22"/>
          <w:szCs w:val="22"/>
        </w:rPr>
        <w:t xml:space="preserve"> means “the item assembly, intermediate component, or subassembly that has an embedded item with a unique item identifier or DoD recognized unique identification equivalent.”</w:t>
      </w:r>
    </w:p>
    <w:p>
      <w:pPr>
        <w:pStyle w:val="Heading2"/>
        <w:spacing w:after="140" w:before="300"/>
      </w:pPr>
      <w:r>
        <w:rPr>
          <w:b/>
          <w:bCs/>
          <w:color w:val="000000"/>
          <w:sz w:val="24"/>
          <w:szCs w:val="24"/>
        </w:rPr>
        <w:t xml:space="preserve">6.5.2	When IUID Applies</w:t>
      </w:r>
    </w:p>
    <w:p>
      <w:pPr>
        <w:spacing w:after="160" w:line="276"/>
      </w:pPr>
      <w:r>
        <w:rPr>
          <w:sz w:val="22"/>
          <w:szCs w:val="22"/>
        </w:rPr>
        <w:t xml:space="preserve">DFARS 211.274-2(a) establishes the policy. IUID requirements come from the contract rather than from the type design. They are listed here rather than in Section 6.2 for that reason.</w:t>
      </w:r>
    </w:p>
    <w:p>
      <w:pPr>
        <w:pStyle w:val="ListParagraph"/>
        <w:numPr>
          <w:ilvl w:val="0"/>
          <w:numId w:val="2"/>
        </w:numPr>
        <w:spacing w:after="120" w:line="276"/>
      </w:pPr>
      <w:r>
        <w:rPr>
          <w:b/>
          <w:bCs/>
          <w:sz w:val="22"/>
          <w:szCs w:val="22"/>
        </w:rPr>
        <w:t xml:space="preserve">Items at or above the value threshold:</w:t>
      </w:r>
      <w:r>
        <w:rPr>
          <w:sz w:val="22"/>
          <w:szCs w:val="22"/>
        </w:rPr>
        <w:t xml:space="preserve"> a delivered item for which the Government’s unit acquisition cost is $5,000 or more. IUID is required per DFARS 211.274-2(a)(1). The contract line item establishes the unit acquisition cost.</w:t>
      </w:r>
    </w:p>
    <w:p>
      <w:pPr>
        <w:pStyle w:val="ListParagraph"/>
        <w:numPr>
          <w:ilvl w:val="0"/>
          <w:numId w:val="2"/>
        </w:numPr>
        <w:spacing w:after="120" w:line="276"/>
      </w:pPr>
      <w:r>
        <w:rPr>
          <w:b/>
          <w:bCs/>
          <w:sz w:val="22"/>
          <w:szCs w:val="22"/>
        </w:rPr>
        <w:t xml:space="preserve">Mission essential or controlled inventory items below the value threshold:</w:t>
      </w:r>
      <w:r>
        <w:rPr>
          <w:sz w:val="22"/>
          <w:szCs w:val="22"/>
        </w:rPr>
        <w:t xml:space="preserve"> a delivered item for which the Government’s unit acquisition cost is less than $5,000. IUID is required per DFARS 211.274-2(a)(2) when the requiring activity determines that item unique identification is required for mission essential or controlled inventory items. The contract identifies these items.</w:t>
      </w:r>
    </w:p>
    <w:p>
      <w:pPr>
        <w:pStyle w:val="ListParagraph"/>
        <w:numPr>
          <w:ilvl w:val="0"/>
          <w:numId w:val="2"/>
        </w:numPr>
        <w:spacing w:after="120" w:line="276"/>
      </w:pPr>
      <w:r>
        <w:rPr>
          <w:b/>
          <w:bCs/>
          <w:sz w:val="22"/>
          <w:szCs w:val="22"/>
        </w:rPr>
        <w:t xml:space="preserve">DoD serially managed items:</w:t>
      </w:r>
      <w:r>
        <w:rPr>
          <w:sz w:val="22"/>
          <w:szCs w:val="22"/>
        </w:rPr>
        <w:t xml:space="preserve"> IUID is required regardless of value per DFARS 211.274-2(a)(3)(i). The requirement covers reparable and nonreparable items. It also covers a subassembly, component, or part embedded within a subassembly, component, or part. The contract lists embedded DoD serially managed items in the attachment called out by DFARS 252.211-7003(c)(1)(iii). See Section 6.2.11.</w:t>
      </w:r>
    </w:p>
    <w:p>
      <w:pPr>
        <w:pStyle w:val="ListParagraph"/>
        <w:numPr>
          <w:ilvl w:val="0"/>
          <w:numId w:val="2"/>
        </w:numPr>
        <w:spacing w:after="120" w:line="276"/>
      </w:pPr>
      <w:r>
        <w:rPr>
          <w:b/>
          <w:bCs/>
          <w:sz w:val="22"/>
          <w:szCs w:val="22"/>
        </w:rPr>
        <w:t xml:space="preserve">Parent items:</w:t>
      </w:r>
      <w:r>
        <w:rPr>
          <w:sz w:val="22"/>
          <w:szCs w:val="22"/>
        </w:rPr>
        <w:t xml:space="preserve"> IUID is required regardless of value per DFARS 211.274-2(a)(3)(ii). At delivery, the contractor reports the UII of the parent item together with the UII of each embedded item, per DFARS 252.211-7003(e).</w:t>
      </w:r>
    </w:p>
    <w:p>
      <w:pPr>
        <w:pStyle w:val="ListParagraph"/>
        <w:numPr>
          <w:ilvl w:val="0"/>
          <w:numId w:val="2"/>
        </w:numPr>
        <w:spacing w:after="120" w:line="276"/>
      </w:pPr>
      <w:r>
        <w:rPr>
          <w:b/>
          <w:bCs/>
          <w:sz w:val="22"/>
          <w:szCs w:val="22"/>
        </w:rPr>
        <w:t xml:space="preserve">Warranted serialized items:</w:t>
      </w:r>
      <w:r>
        <w:rPr>
          <w:sz w:val="22"/>
          <w:szCs w:val="22"/>
        </w:rPr>
        <w:t xml:space="preserve"> a serialized item delivered under a warranty. IUID is required regardless of value per DFARS 211.274-2(a)(3)(iii).</w:t>
      </w:r>
    </w:p>
    <w:p>
      <w:pPr>
        <w:pStyle w:val="ListParagraph"/>
        <w:numPr>
          <w:ilvl w:val="0"/>
          <w:numId w:val="2"/>
        </w:numPr>
        <w:spacing w:after="120" w:line="276"/>
      </w:pPr>
      <w:r>
        <w:rPr>
          <w:b/>
          <w:bCs/>
          <w:sz w:val="22"/>
          <w:szCs w:val="22"/>
        </w:rPr>
        <w:t xml:space="preserve">Special tooling and special test equipment:</w:t>
      </w:r>
      <w:r>
        <w:rPr>
          <w:sz w:val="22"/>
          <w:szCs w:val="22"/>
        </w:rPr>
        <w:t xml:space="preserve"> an item of special tooling or special test equipment, as defined at FAR 2.101, for a major defense acquisition program that is designated for preservation and storage in accordance with section 815 of the National Defense Authorization Act for Fiscal Year 2009 (Public Law 110-417). IUID is required regardless of value per DFARS 211.274-2(a)(3)(iv).</w:t>
      </w:r>
    </w:p>
    <w:p>
      <w:pPr>
        <w:pStyle w:val="ListParagraph"/>
        <w:numPr>
          <w:ilvl w:val="0"/>
          <w:numId w:val="2"/>
        </w:numPr>
        <w:spacing w:after="120" w:line="276"/>
      </w:pPr>
      <w:r>
        <w:rPr>
          <w:b/>
          <w:bCs/>
          <w:sz w:val="22"/>
          <w:szCs w:val="22"/>
        </w:rPr>
        <w:t xml:space="preserve">High risk items:</w:t>
      </w:r>
      <w:r>
        <w:rPr>
          <w:sz w:val="22"/>
          <w:szCs w:val="22"/>
        </w:rPr>
        <w:t xml:space="preserve"> an item that the requiring activity identifies as vulnerable to supply chain threat, as a target of cyber threats, or as susceptible to counterfeiting. IUID is required regardless of value per DFARS 211.274-2(a)(3)(v).</w:t>
      </w:r>
    </w:p>
    <w:p>
      <w:pPr>
        <w:pStyle w:val="Heading2"/>
        <w:spacing w:after="140" w:before="300"/>
      </w:pPr>
      <w:r>
        <w:rPr>
          <w:b/>
          <w:bCs/>
          <w:color w:val="000000"/>
          <w:sz w:val="24"/>
          <w:szCs w:val="24"/>
        </w:rPr>
        <w:t xml:space="preserve">6.5.3	Marking, Serialization Construct, and Reporting</w:t>
      </w:r>
    </w:p>
    <w:p>
      <w:pPr>
        <w:spacing w:after="160" w:line="276"/>
      </w:pPr>
      <w:r>
        <w:rPr>
          <w:b/>
          <w:bCs/>
          <w:sz w:val="22"/>
          <w:szCs w:val="22"/>
        </w:rPr>
        <w:t xml:space="preserve">Marking.</w:t>
      </w:r>
      <w:r>
        <w:rPr>
          <w:sz w:val="22"/>
          <w:szCs w:val="22"/>
        </w:rPr>
        <w:t xml:space="preserve"> The build environment marks the UII data elements on the item using a two-dimensional data matrix symbol that complies with ISO/IEC 16022, ECC200. Marking follows MIL-STD-130, Identification Marking of U.S. Military Property, latest version. The build environment verifies each mark with an automatic identification technology device programmed to the requirements of Appendix A of MIL-STD-130. The issuing agency code is not placed on the item. When an item is too small or otherwise impractical to mark, follow the alternative marking provisions of MIL-STD-130. Shipments, storage containers, and packages that contain uniquely identified items are labeled in accordance with MIL-STD-129, Military Marking for Shipment and Storage, latest version.</w:t>
      </w:r>
    </w:p>
    <w:p>
      <w:pPr>
        <w:spacing w:after="160" w:line="276"/>
      </w:pPr>
      <w:r>
        <w:rPr>
          <w:b/>
          <w:bCs/>
          <w:sz w:val="22"/>
          <w:szCs w:val="22"/>
        </w:rPr>
        <w:t xml:space="preserve">Serialization construct.</w:t>
      </w:r>
      <w:r>
        <w:rPr>
          <w:sz w:val="22"/>
          <w:szCs w:val="22"/>
        </w:rPr>
        <w:t xml:space="preserve"> The enterprise chooses one of three methods. It may serialize within the enterprise identifier. It may serialize within the original part, lot, or batch number. It may use a DoD recognized unique identification equivalent. Each method gives every item its own identity. Lot/batch recording alone does not satisfy IUID.</w:t>
      </w:r>
    </w:p>
    <w:p>
      <w:pPr>
        <w:spacing w:after="160" w:line="276"/>
      </w:pPr>
      <w:r>
        <w:rPr>
          <w:b/>
          <w:bCs/>
          <w:sz w:val="22"/>
          <w:szCs w:val="22"/>
        </w:rPr>
        <w:t xml:space="preserve">Reporting.</w:t>
      </w:r>
      <w:r>
        <w:rPr>
          <w:sz w:val="22"/>
          <w:szCs w:val="22"/>
        </w:rPr>
        <w:t xml:space="preserve"> The contractor reports each UII at the time of delivery, as part of the Material Inspection and Receiving Report. End items are reported using the receiving report capability in Wide Area WorkFlow (WAWF). Embedded items are reported through the WAWF embedded items capability, by direct data submission to the IUID Registry, or as a WAWF deliverable attachment. For each embedded item, the report includes the UII of the parent item that contains it. Configuration Management reconciles the IUID part note code on the design with the UIIs reported.</w:t>
      </w:r>
    </w:p>
    <w:p>
      <w:pPr>
        <w:pStyle w:val="Heading2"/>
        <w:spacing w:after="140" w:before="300"/>
      </w:pPr>
      <w:r>
        <w:rPr>
          <w:b/>
          <w:bCs/>
          <w:color w:val="000000"/>
          <w:sz w:val="24"/>
          <w:szCs w:val="24"/>
        </w:rPr>
        <w:t xml:space="preserve">6.5.4	Applying the IUID Part Note Code</w:t>
      </w:r>
    </w:p>
    <w:p>
      <w:pPr>
        <w:spacing w:after="160" w:line="276"/>
      </w:pPr>
      <w:r>
        <w:rPr>
          <w:sz w:val="22"/>
          <w:szCs w:val="22"/>
        </w:rPr>
        <w:t xml:space="preserve">For each item that holds an IUID requirement, apply part note codes and note texts:</w:t>
      </w:r>
    </w:p>
    <w:p>
      <w:pPr>
        <w:spacing w:after="160" w:before="60" w:line="264"/>
        <w:ind w:left="504"/>
      </w:pPr>
      <w:r>
        <w:rPr>
          <w:b/>
          <w:bCs/>
          <w:sz w:val="21"/>
          <w:szCs w:val="21"/>
        </w:rPr>
        <w:t xml:space="preserve">IUID – ITEM UNIQUE IDENTIFICATION REQUIRED. MARK THIS ITEM WITH A UNIQUE ITEM IDENTIFIER (UII) IN ACCORDANCE WITH MIL-STD-130 AND REPORT THE UII IN ACCORDANCE WITH DFARS 252.211-7003.</w:t>
      </w:r>
    </w:p>
    <w:p>
      <w:pPr>
        <w:spacing w:after="160" w:before="60" w:line="264"/>
        <w:ind w:left="504"/>
      </w:pPr>
      <w:r>
        <w:rPr>
          <w:b/>
          <w:bCs/>
          <w:sz w:val="21"/>
          <w:szCs w:val="21"/>
        </w:rPr>
        <w:t xml:space="preserve">SER – SERIALIZATION RECORDING REQUIRED. THIS ITEM IS SERIALIZED AND TRACEABILITY MUST BE MAINTAINED BETWEEN THIS ITEM AND [CASCADE SCOPE].</w:t>
      </w:r>
    </w:p>
    <w:p>
      <w:pPr>
        <w:spacing w:after="160" w:line="276"/>
      </w:pPr>
      <w:r>
        <w:rPr>
          <w:sz w:val="22"/>
          <w:szCs w:val="22"/>
        </w:rPr>
        <w:t xml:space="preserve">For each parent item that contains an embedded item carrying a UII, apply part note code and note text:</w:t>
      </w:r>
    </w:p>
    <w:p>
      <w:pPr>
        <w:spacing w:after="160" w:before="60" w:line="264"/>
        <w:ind w:left="504"/>
      </w:pPr>
      <w:r>
        <w:rPr>
          <w:b/>
          <w:bCs/>
          <w:sz w:val="21"/>
          <w:szCs w:val="21"/>
        </w:rPr>
        <w:t xml:space="preserve">IUID – ITEM UNIQUE IDENTIFICATION REQUIRED. THIS ITEM IS A PARENT ITEM. MARK THIS ITEM WITH A UNIQUE ITEM IDENTIFIER (UII) IN ACCORDANCE WITH MIL-STD-130 AND REPORT THE UIIS OF ITS EMBEDDED ITEMS IN ACCORDANCE WITH DFARS 252.211-7003.</w:t>
      </w:r>
    </w:p>
    <w:p>
      <w:pPr>
        <w:spacing w:after="160" w:line="276"/>
      </w:pPr>
      <w:r>
        <w:rPr>
          <w:sz w:val="22"/>
          <w:szCs w:val="22"/>
        </w:rPr>
        <w:t xml:space="preserve">Coordinate the parent item level with the contracting activity. The contract governs which assembly is the parent item.</w:t>
      </w:r>
    </w:p>
    <w:p>
      <w:pPr>
        <w:spacing w:after="160" w:line="276"/>
      </w:pPr>
      <w:r>
        <w:rPr>
          <w:sz w:val="22"/>
          <w:szCs w:val="22"/>
        </w:rPr>
        <w:t xml:space="preserve">IUID items are serialized. The cascade scope for an IUID item is the delivered parent item that contains it, per Section 6.6.1. A contract flowdown may widen that scope. The IUID part note code does not flow up the product tree on its own. Apply it only to items that hold an IUID requirement and to the parent items that the contract identifies.</w:t>
      </w:r>
    </w:p>
    <w:p>
      <w:pPr>
        <w:pStyle w:val="Heading1"/>
        <w:spacing w:after="160" w:before="360"/>
      </w:pPr>
      <w:r>
        <w:rPr>
          <w:b/>
          <w:bCs/>
          <w:color w:val="000000"/>
          <w:sz w:val="26"/>
          <w:szCs w:val="26"/>
        </w:rPr>
        <w:t xml:space="preserve">6.6	Traceability Records Required</w:t>
      </w:r>
    </w:p>
    <w:p>
      <w:pPr>
        <w:spacing w:after="160" w:line="276"/>
      </w:pPr>
      <w:r>
        <w:rPr>
          <w:sz w:val="22"/>
          <w:szCs w:val="22"/>
        </w:rPr>
        <w:t xml:space="preserve">The Traceability Records Required part note code (TR) directs the build environment to generate part traceability records. These records document where each Serialization Recording Required item and each Lot/Batch Recording Required item is installed. Each record links an item to its next-higher parent.</w:t>
      </w:r>
    </w:p>
    <w:p>
      <w:pPr>
        <w:spacing w:after="160" w:line="276"/>
      </w:pPr>
      <w:r>
        <w:rPr>
          <w:sz w:val="22"/>
          <w:szCs w:val="22"/>
        </w:rPr>
        <w:t xml:space="preserve">Apply the TR part note code up the product tree. Begin at the next-higher assembly of a Serialization Recording Required item or a Lot/Batch Recording Required item. Stop at the cascade scope.</w:t>
      </w:r>
    </w:p>
    <w:p>
      <w:pPr>
        <w:pStyle w:val="Heading2"/>
        <w:spacing w:after="140" w:before="300"/>
      </w:pPr>
      <w:r>
        <w:rPr>
          <w:b/>
          <w:bCs/>
          <w:color w:val="000000"/>
          <w:sz w:val="24"/>
          <w:szCs w:val="24"/>
        </w:rPr>
        <w:t xml:space="preserve">6.6.1	Cascade Scope</w:t>
      </w:r>
    </w:p>
    <w:p>
      <w:pPr>
        <w:spacing w:after="160" w:line="276"/>
      </w:pPr>
      <w:r>
        <w:rPr>
          <w:sz w:val="22"/>
          <w:szCs w:val="22"/>
        </w:rPr>
        <w:t xml:space="preserve">The cascade scope is how far traceability runs up the product tree. It is not a single value. It depends on the requirement source that drives the traceability.</w:t>
      </w:r>
    </w:p>
    <w:p>
      <w:pPr>
        <w:spacing w:after="160" w:line="276"/>
      </w:pPr>
      <w:r>
        <w:rPr>
          <w:sz w:val="22"/>
          <w:szCs w:val="22"/>
        </w:rPr>
        <w:t xml:space="preserve">Each source sets its own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60"/>
        <w:gridCol w:w="3900"/>
      </w:tblGrid>
      <w:tr>
        <w:trPr>
          <w:tblHeader/>
        </w:trPr>
        <w:tc>
          <w:tcPr>
            <w:tcW w:type="dxa" w:w="2700"/>
            <w:shd w:fill="E7E7E7" w:val="clear"/>
            <w:tcMar>
              <w:top w:type="dxa" w:w="60"/>
              <w:left w:type="dxa" w:w="90"/>
              <w:bottom w:type="dxa" w:w="60"/>
              <w:right w:type="dxa" w:w="90"/>
            </w:tcMar>
            <w:vAlign w:val="top"/>
          </w:tcPr>
          <w:p>
            <w:pPr>
              <w:spacing w:after="0" w:line="240"/>
            </w:pPr>
            <w:r>
              <w:rPr>
                <w:b/>
                <w:bCs/>
                <w:sz w:val="19"/>
                <w:szCs w:val="19"/>
              </w:rPr>
              <w:t xml:space="preserve">Requirement source</w:t>
            </w:r>
          </w:p>
        </w:tc>
        <w:tc>
          <w:tcPr>
            <w:tcW w:type="dxa" w:w="2760"/>
            <w:shd w:fill="E7E7E7" w:val="clear"/>
            <w:tcMar>
              <w:top w:type="dxa" w:w="60"/>
              <w:left w:type="dxa" w:w="90"/>
              <w:bottom w:type="dxa" w:w="60"/>
              <w:right w:type="dxa" w:w="90"/>
            </w:tcMar>
            <w:vAlign w:val="top"/>
          </w:tcPr>
          <w:p>
            <w:pPr>
              <w:spacing w:after="0" w:line="240"/>
            </w:pPr>
            <w:r>
              <w:rPr>
                <w:b/>
                <w:bCs/>
                <w:sz w:val="19"/>
                <w:szCs w:val="19"/>
              </w:rPr>
              <w:t xml:space="preserve">Governing document</w:t>
            </w:r>
          </w:p>
        </w:tc>
        <w:tc>
          <w:tcPr>
            <w:tcW w:type="dxa" w:w="3900"/>
            <w:shd w:fill="E7E7E7" w:val="clear"/>
            <w:tcMar>
              <w:top w:type="dxa" w:w="60"/>
              <w:left w:type="dxa" w:w="90"/>
              <w:bottom w:type="dxa" w:w="60"/>
              <w:right w:type="dxa" w:w="90"/>
            </w:tcMar>
            <w:vAlign w:val="top"/>
          </w:tcPr>
          <w:p>
            <w:pPr>
              <w:spacing w:after="0" w:line="240"/>
            </w:pPr>
            <w:r>
              <w:rPr>
                <w:b/>
                <w:bCs/>
                <w:sz w:val="19"/>
                <w:szCs w:val="19"/>
              </w:rPr>
              <w:t xml:space="preserve">Cascade scope</w:t>
            </w:r>
          </w:p>
        </w:tc>
      </w:tr>
      <w:tr>
        <w:tc>
          <w:tcPr>
            <w:tcW w:type="dxa" w:w="2700"/>
            <w:tcMar>
              <w:top w:type="dxa" w:w="60"/>
              <w:left w:type="dxa" w:w="90"/>
              <w:bottom w:type="dxa" w:w="60"/>
              <w:right w:type="dxa" w:w="90"/>
            </w:tcMar>
            <w:vAlign w:val="top"/>
          </w:tcPr>
          <w:p>
            <w:pPr>
              <w:spacing w:after="0" w:line="240"/>
            </w:pPr>
            <w:r>
              <w:rPr>
                <w:b w:val="false"/>
                <w:bCs w:val="false"/>
                <w:sz w:val="19"/>
                <w:szCs w:val="19"/>
              </w:rPr>
              <w:t xml:space="preserve">Life-limited part control on removal and transfer</w:t>
            </w:r>
          </w:p>
        </w:tc>
        <w:tc>
          <w:tcPr>
            <w:tcW w:type="dxa" w:w="2760"/>
            <w:tcMar>
              <w:top w:type="dxa" w:w="60"/>
              <w:left w:type="dxa" w:w="90"/>
              <w:bottom w:type="dxa" w:w="60"/>
              <w:right w:type="dxa" w:w="90"/>
            </w:tcMar>
            <w:vAlign w:val="top"/>
          </w:tcPr>
          <w:p>
            <w:pPr>
              <w:spacing w:after="0" w:line="240"/>
            </w:pPr>
            <w:r>
              <w:rPr>
                <w:b w:val="false"/>
                <w:bCs w:val="false"/>
                <w:sz w:val="19"/>
                <w:szCs w:val="19"/>
              </w:rPr>
              <w:t xml:space="preserve">14 CFR 43.10</w:t>
            </w:r>
          </w:p>
        </w:tc>
        <w:tc>
          <w:tcPr>
            <w:tcW w:type="dxa" w:w="3900"/>
            <w:tcMar>
              <w:top w:type="dxa" w:w="60"/>
              <w:left w:type="dxa" w:w="90"/>
              <w:bottom w:type="dxa" w:w="60"/>
              <w:right w:type="dxa" w:w="90"/>
            </w:tcMar>
            <w:vAlign w:val="top"/>
          </w:tcPr>
          <w:p>
            <w:pPr>
              <w:spacing w:after="0" w:line="240"/>
            </w:pPr>
            <w:r>
              <w:rPr>
                <w:b w:val="false"/>
                <w:bCs w:val="false"/>
                <w:sz w:val="19"/>
                <w:szCs w:val="19"/>
              </w:rPr>
              <w:t xml:space="preserve">None. The mark, tag, or record travels with the part.</w:t>
            </w:r>
          </w:p>
        </w:tc>
      </w:tr>
      <w:tr>
        <w:tc>
          <w:tcPr>
            <w:tcW w:type="dxa" w:w="2700"/>
            <w:tcMar>
              <w:top w:type="dxa" w:w="60"/>
              <w:left w:type="dxa" w:w="90"/>
              <w:bottom w:type="dxa" w:w="60"/>
              <w:right w:type="dxa" w:w="90"/>
            </w:tcMar>
            <w:vAlign w:val="top"/>
          </w:tcPr>
          <w:p>
            <w:pPr>
              <w:spacing w:after="0" w:line="240"/>
            </w:pPr>
            <w:r>
              <w:rPr>
                <w:b w:val="false"/>
                <w:bCs w:val="false"/>
                <w:sz w:val="19"/>
                <w:szCs w:val="19"/>
              </w:rPr>
              <w:t xml:space="preserve">Airworthiness Limitations Section part marking</w:t>
            </w:r>
          </w:p>
        </w:tc>
        <w:tc>
          <w:tcPr>
            <w:tcW w:type="dxa" w:w="2760"/>
            <w:tcMar>
              <w:top w:type="dxa" w:w="60"/>
              <w:left w:type="dxa" w:w="90"/>
              <w:bottom w:type="dxa" w:w="60"/>
              <w:right w:type="dxa" w:w="90"/>
            </w:tcMar>
            <w:vAlign w:val="top"/>
          </w:tcPr>
          <w:p>
            <w:pPr>
              <w:spacing w:after="0" w:line="240"/>
            </w:pPr>
            <w:r>
              <w:rPr>
                <w:b w:val="false"/>
                <w:bCs w:val="false"/>
                <w:sz w:val="19"/>
                <w:szCs w:val="19"/>
              </w:rPr>
              <w:t xml:space="preserve">14 CFR 45.15(c)</w:t>
            </w:r>
          </w:p>
        </w:tc>
        <w:tc>
          <w:tcPr>
            <w:tcW w:type="dxa" w:w="3900"/>
            <w:tcMar>
              <w:top w:type="dxa" w:w="60"/>
              <w:left w:type="dxa" w:w="90"/>
              <w:bottom w:type="dxa" w:w="60"/>
              <w:right w:type="dxa" w:w="90"/>
            </w:tcMar>
            <w:vAlign w:val="top"/>
          </w:tcPr>
          <w:p>
            <w:pPr>
              <w:spacing w:after="0" w:line="240"/>
            </w:pPr>
            <w:r>
              <w:rPr>
                <w:b w:val="false"/>
                <w:bCs w:val="false"/>
                <w:sz w:val="19"/>
                <w:szCs w:val="19"/>
              </w:rPr>
              <w:t xml:space="preserve">None. The serial number is marked on the part.</w:t>
            </w:r>
          </w:p>
        </w:tc>
      </w:tr>
      <w:tr>
        <w:tc>
          <w:tcPr>
            <w:tcW w:type="dxa" w:w="2700"/>
            <w:tcMar>
              <w:top w:type="dxa" w:w="60"/>
              <w:left w:type="dxa" w:w="90"/>
              <w:bottom w:type="dxa" w:w="60"/>
              <w:right w:type="dxa" w:w="90"/>
            </w:tcMar>
            <w:vAlign w:val="top"/>
          </w:tcPr>
          <w:p>
            <w:pPr>
              <w:spacing w:after="0" w:line="240"/>
            </w:pPr>
            <w:r>
              <w:rPr>
                <w:b w:val="false"/>
                <w:bCs w:val="false"/>
                <w:sz w:val="19"/>
                <w:szCs w:val="19"/>
              </w:rPr>
              <w:t xml:space="preserve">Quality system traceability</w:t>
            </w:r>
          </w:p>
        </w:tc>
        <w:tc>
          <w:tcPr>
            <w:tcW w:type="dxa" w:w="2760"/>
            <w:tcMar>
              <w:top w:type="dxa" w:w="60"/>
              <w:left w:type="dxa" w:w="90"/>
              <w:bottom w:type="dxa" w:w="60"/>
              <w:right w:type="dxa" w:w="90"/>
            </w:tcMar>
            <w:vAlign w:val="top"/>
          </w:tcPr>
          <w:p>
            <w:pPr>
              <w:spacing w:after="0" w:line="240"/>
            </w:pPr>
            <w:r>
              <w:rPr>
                <w:b w:val="false"/>
                <w:bCs w:val="false"/>
                <w:sz w:val="19"/>
                <w:szCs w:val="19"/>
              </w:rPr>
              <w:t xml:space="preserve">AS9100D 8.5.2</w:t>
            </w:r>
          </w:p>
        </w:tc>
        <w:tc>
          <w:tcPr>
            <w:tcW w:type="dxa" w:w="3900"/>
            <w:tcMar>
              <w:top w:type="dxa" w:w="60"/>
              <w:left w:type="dxa" w:w="90"/>
              <w:bottom w:type="dxa" w:w="60"/>
              <w:right w:type="dxa" w:w="90"/>
            </w:tcMar>
            <w:vAlign w:val="top"/>
          </w:tcPr>
          <w:p>
            <w:pPr>
              <w:spacing w:after="0" w:line="240"/>
            </w:pPr>
            <w:r>
              <w:rPr>
                <w:b w:val="false"/>
                <w:bCs w:val="false"/>
                <w:sz w:val="19"/>
                <w:szCs w:val="19"/>
              </w:rPr>
              <w:t xml:space="preserve">The next higher assembly.</w:t>
            </w:r>
          </w:p>
        </w:tc>
      </w:tr>
      <w:tr>
        <w:tc>
          <w:tcPr>
            <w:tcW w:type="dxa" w:w="2700"/>
            <w:tcMar>
              <w:top w:type="dxa" w:w="60"/>
              <w:left w:type="dxa" w:w="90"/>
              <w:bottom w:type="dxa" w:w="60"/>
              <w:right w:type="dxa" w:w="90"/>
            </w:tcMar>
            <w:vAlign w:val="top"/>
          </w:tcPr>
          <w:p>
            <w:pPr>
              <w:spacing w:after="0" w:line="240"/>
            </w:pPr>
            <w:r>
              <w:rPr>
                <w:b w:val="false"/>
                <w:bCs w:val="false"/>
                <w:sz w:val="19"/>
                <w:szCs w:val="19"/>
              </w:rPr>
              <w:t xml:space="preserve">DoD item unique identification</w:t>
            </w:r>
          </w:p>
        </w:tc>
        <w:tc>
          <w:tcPr>
            <w:tcW w:type="dxa" w:w="2760"/>
            <w:tcMar>
              <w:top w:type="dxa" w:w="60"/>
              <w:left w:type="dxa" w:w="90"/>
              <w:bottom w:type="dxa" w:w="60"/>
              <w:right w:type="dxa" w:w="90"/>
            </w:tcMar>
            <w:vAlign w:val="top"/>
          </w:tcPr>
          <w:p>
            <w:pPr>
              <w:spacing w:after="0" w:line="240"/>
            </w:pPr>
            <w:r>
              <w:rPr>
                <w:b w:val="false"/>
                <w:bCs w:val="false"/>
                <w:sz w:val="19"/>
                <w:szCs w:val="19"/>
              </w:rPr>
              <w:t xml:space="preserve">DFARS 211.274-2(a)(3)(ii) and DFARS 252.211-7003(e)</w:t>
            </w:r>
          </w:p>
        </w:tc>
        <w:tc>
          <w:tcPr>
            <w:tcW w:type="dxa" w:w="3900"/>
            <w:tcMar>
              <w:top w:type="dxa" w:w="60"/>
              <w:left w:type="dxa" w:w="90"/>
              <w:bottom w:type="dxa" w:w="60"/>
              <w:right w:type="dxa" w:w="90"/>
            </w:tcMar>
            <w:vAlign w:val="top"/>
          </w:tcPr>
          <w:p>
            <w:pPr>
              <w:spacing w:after="0" w:line="240"/>
            </w:pPr>
            <w:r>
              <w:rPr>
                <w:b w:val="false"/>
                <w:bCs w:val="false"/>
                <w:sz w:val="19"/>
                <w:szCs w:val="19"/>
              </w:rPr>
              <w:t xml:space="preserve">The delivered parent item that contains the embedded item.</w:t>
            </w:r>
          </w:p>
        </w:tc>
      </w:tr>
      <w:tr>
        <w:tc>
          <w:tcPr>
            <w:tcW w:type="dxa" w:w="2700"/>
            <w:tcMar>
              <w:top w:type="dxa" w:w="60"/>
              <w:left w:type="dxa" w:w="90"/>
              <w:bottom w:type="dxa" w:w="60"/>
              <w:right w:type="dxa" w:w="90"/>
            </w:tcMar>
            <w:vAlign w:val="top"/>
          </w:tcPr>
          <w:p>
            <w:pPr>
              <w:spacing w:after="0" w:line="240"/>
            </w:pPr>
            <w:r>
              <w:rPr>
                <w:b w:val="false"/>
                <w:bCs w:val="false"/>
                <w:sz w:val="19"/>
                <w:szCs w:val="19"/>
              </w:rPr>
              <w:t xml:space="preserve">Contract flowdown for end item traceability</w:t>
            </w:r>
          </w:p>
        </w:tc>
        <w:tc>
          <w:tcPr>
            <w:tcW w:type="dxa" w:w="2760"/>
            <w:tcMar>
              <w:top w:type="dxa" w:w="60"/>
              <w:left w:type="dxa" w:w="90"/>
              <w:bottom w:type="dxa" w:w="60"/>
              <w:right w:type="dxa" w:w="90"/>
            </w:tcMar>
            <w:vAlign w:val="top"/>
          </w:tcPr>
          <w:p>
            <w:pPr>
              <w:spacing w:after="0" w:line="240"/>
            </w:pPr>
            <w:r>
              <w:rPr>
                <w:b w:val="false"/>
                <w:bCs w:val="false"/>
                <w:sz w:val="19"/>
                <w:szCs w:val="19"/>
              </w:rPr>
              <w:t xml:space="preserve">The contract or the customer specification</w:t>
            </w:r>
          </w:p>
        </w:tc>
        <w:tc>
          <w:tcPr>
            <w:tcW w:type="dxa" w:w="3900"/>
            <w:tcMar>
              <w:top w:type="dxa" w:w="60"/>
              <w:left w:type="dxa" w:w="90"/>
              <w:bottom w:type="dxa" w:w="60"/>
              <w:right w:type="dxa" w:w="90"/>
            </w:tcMar>
            <w:vAlign w:val="top"/>
          </w:tcPr>
          <w:p>
            <w:pPr>
              <w:spacing w:after="0" w:line="240"/>
            </w:pPr>
            <w:r>
              <w:rPr>
                <w:b w:val="false"/>
                <w:bCs w:val="false"/>
                <w:sz w:val="19"/>
                <w:szCs w:val="19"/>
              </w:rPr>
              <w:t xml:space="preserve">Every physical parent up to the end item.</w:t>
            </w:r>
          </w:p>
        </w:tc>
      </w:tr>
    </w:tbl>
    <w:p>
      <w:pPr>
        <w:spacing w:after="200"/>
      </w:pPr>
    </w:p>
    <w:p>
      <w:pPr>
        <w:spacing w:after="160" w:line="276"/>
      </w:pPr>
      <w:r>
        <w:rPr>
          <w:sz w:val="22"/>
          <w:szCs w:val="22"/>
        </w:rPr>
        <w:t xml:space="preserve">Two rules govern the table.</w:t>
      </w:r>
    </w:p>
    <w:p>
      <w:pPr>
        <w:pStyle w:val="ListParagraph"/>
        <w:numPr>
          <w:ilvl w:val="0"/>
          <w:numId w:val="2"/>
        </w:numPr>
        <w:spacing w:after="120" w:line="276"/>
      </w:pPr>
      <w:r>
        <w:rPr>
          <w:b/>
          <w:bCs/>
          <w:sz w:val="22"/>
          <w:szCs w:val="22"/>
        </w:rPr>
        <w:t xml:space="preserve">Apply the broadest scope that any applicable source requires.</w:t>
      </w:r>
      <w:r>
        <w:rPr>
          <w:sz w:val="22"/>
          <w:szCs w:val="22"/>
        </w:rPr>
        <w:t xml:space="preserve"> An item often carries more than one source. A Critical Safety Item inside a delivered assembly carries both the DFARS scope and any contract flowdown. Use the wider of the two.</w:t>
      </w:r>
    </w:p>
    <w:p>
      <w:pPr>
        <w:pStyle w:val="ListParagraph"/>
        <w:numPr>
          <w:ilvl w:val="0"/>
          <w:numId w:val="2"/>
        </w:numPr>
        <w:spacing w:after="120" w:line="276"/>
      </w:pPr>
      <w:r>
        <w:rPr>
          <w:b/>
          <w:bCs/>
          <w:sz w:val="22"/>
          <w:szCs w:val="22"/>
        </w:rPr>
        <w:t xml:space="preserve">The next higher assembly is the default.</w:t>
      </w:r>
      <w:r>
        <w:rPr>
          <w:sz w:val="22"/>
          <w:szCs w:val="22"/>
        </w:rPr>
        <w:t xml:space="preserve"> When no contract flowdown requires traceability to the end item, traceability stops at the next higher assembly.</w:t>
      </w:r>
    </w:p>
    <w:p>
      <w:pPr>
        <w:spacing w:after="160" w:line="276"/>
      </w:pPr>
      <w:r>
        <w:rPr>
          <w:sz w:val="22"/>
          <w:szCs w:val="22"/>
        </w:rPr>
        <w:t xml:space="preserve">Three of the five sources do not cascade to the end item. Only a contract flowdown does. Do not write an end item cascade onto a parts list without a flowdown to cite.</w:t>
      </w:r>
    </w:p>
    <w:p>
      <w:pPr>
        <w:spacing w:after="160" w:line="276"/>
      </w:pPr>
      <w:r>
        <w:rPr>
          <w:sz w:val="22"/>
          <w:szCs w:val="22"/>
        </w:rPr>
        <w:t xml:space="preserve">Each program identifies its traceability flowdown before design release. Record the governing contract or customer specification in the program’s configuration management plan. Configuration Management reconciles the cascade scope on the design against that flowdown.</w:t>
      </w:r>
    </w:p>
    <w:p>
      <w:pPr>
        <w:spacing w:after="160" w:line="276"/>
      </w:pPr>
      <w:r>
        <w:rPr>
          <w:sz w:val="22"/>
          <w:szCs w:val="22"/>
        </w:rPr>
        <w:t xml:space="preserve">Three phrases are permitted in the [CASCADE SCOPE] bracket of the SER and LOT note texts. Use the phrase that matches the scope:</w:t>
      </w:r>
    </w:p>
    <w:p>
      <w:pPr>
        <w:pStyle w:val="ListParagraph"/>
        <w:numPr>
          <w:ilvl w:val="0"/>
          <w:numId w:val="2"/>
        </w:numPr>
        <w:spacing w:after="120" w:line="276"/>
      </w:pPr>
      <w:r>
        <w:rPr>
          <w:sz w:val="22"/>
          <w:szCs w:val="22"/>
        </w:rPr>
        <w:t xml:space="preserve">ITS NEXT HIGHER ASSEMBLY</w:t>
      </w:r>
    </w:p>
    <w:p>
      <w:pPr>
        <w:pStyle w:val="ListParagraph"/>
        <w:numPr>
          <w:ilvl w:val="0"/>
          <w:numId w:val="2"/>
        </w:numPr>
        <w:spacing w:after="120" w:line="276"/>
      </w:pPr>
      <w:r>
        <w:rPr>
          <w:sz w:val="22"/>
          <w:szCs w:val="22"/>
        </w:rPr>
        <w:t xml:space="preserve">THE PARENT ITEM THAT CONTAINS IT</w:t>
      </w:r>
    </w:p>
    <w:p>
      <w:pPr>
        <w:pStyle w:val="ListParagraph"/>
        <w:numPr>
          <w:ilvl w:val="0"/>
          <w:numId w:val="2"/>
        </w:numPr>
        <w:spacing w:after="120" w:line="276"/>
      </w:pPr>
      <w:r>
        <w:rPr>
          <w:sz w:val="22"/>
          <w:szCs w:val="22"/>
        </w:rPr>
        <w:t xml:space="preserve">ALL HIGHER-LEVEL PHYSICAL ITEMS UP TO THE END ITEM</w:t>
      </w:r>
    </w:p>
    <w:p>
      <w:pPr>
        <w:pStyle w:val="Heading2"/>
        <w:spacing w:after="140" w:before="300"/>
      </w:pPr>
      <w:r>
        <w:rPr>
          <w:b/>
          <w:bCs/>
          <w:color w:val="000000"/>
          <w:sz w:val="24"/>
          <w:szCs w:val="24"/>
        </w:rPr>
        <w:t xml:space="preserve">6.6.2	Applying the TR Part Note Code</w:t>
      </w:r>
    </w:p>
    <w:p>
      <w:pPr>
        <w:spacing w:after="160" w:line="276"/>
      </w:pPr>
      <w:r>
        <w:rPr>
          <w:sz w:val="22"/>
          <w:szCs w:val="22"/>
        </w:rPr>
        <w:t xml:space="preserve">For each physical parent inside the cascade scope, apply part note codes and note texts:</w:t>
      </w:r>
    </w:p>
    <w:p>
      <w:pPr>
        <w:spacing w:after="160" w:before="60" w:line="264"/>
        <w:ind w:left="504"/>
      </w:pPr>
      <w:r>
        <w:rPr>
          <w:b/>
          <w:bCs/>
          <w:sz w:val="21"/>
          <w:szCs w:val="21"/>
        </w:rPr>
        <w:t xml:space="preserve">SER – SERIALIZATION RECORDING REQUIRED.</w:t>
      </w:r>
    </w:p>
    <w:p>
      <w:pPr>
        <w:spacing w:after="160" w:before="60" w:line="264"/>
        <w:ind w:left="504"/>
      </w:pPr>
      <w:r>
        <w:rPr>
          <w:b/>
          <w:bCs/>
          <w:sz w:val="21"/>
          <w:szCs w:val="21"/>
        </w:rPr>
        <w:t xml:space="preserve">TR – TRACEABILITY RECORDS REQUIRED.</w:t>
      </w:r>
    </w:p>
    <w:p>
      <w:pPr>
        <w:spacing w:after="160" w:line="276"/>
      </w:pPr>
      <w:r>
        <w:rPr>
          <w:sz w:val="22"/>
          <w:szCs w:val="22"/>
        </w:rPr>
        <w:t xml:space="preserve">Under the next higher assembly scope, that is one level. The next higher assembly is serialized and receives a traceability record. The cascade stops there.</w:t>
      </w:r>
    </w:p>
    <w:p>
      <w:pPr>
        <w:spacing w:after="160" w:line="276"/>
      </w:pPr>
      <w:r>
        <w:rPr>
          <w:sz w:val="22"/>
          <w:szCs w:val="22"/>
        </w:rPr>
        <w:t xml:space="preserve">Under the parent item scope, that is the delivered parent item. It is serialized, it carries its own unique item identifier, and it receives a traceability record linking it to the embedded item. The cascade stops there. See Section 6.5.4.</w:t>
      </w:r>
    </w:p>
    <w:p>
      <w:pPr>
        <w:spacing w:after="160" w:line="276"/>
      </w:pPr>
      <w:r>
        <w:rPr>
          <w:sz w:val="22"/>
          <w:szCs w:val="22"/>
        </w:rPr>
        <w:t xml:space="preserve">Under the end item scope, every physical parent below the end item is serialized and receives a traceability record. Installation drawings are the exception. An installation drawing depicts installation instructions. It is not consumed into the production system as a physical part.</w:t>
      </w:r>
    </w:p>
    <w:p>
      <w:pPr>
        <w:pStyle w:val="Heading2"/>
        <w:spacing w:after="140" w:before="300"/>
      </w:pPr>
      <w:r>
        <w:rPr>
          <w:b/>
          <w:bCs/>
          <w:color w:val="000000"/>
          <w:sz w:val="24"/>
          <w:szCs w:val="24"/>
        </w:rPr>
        <w:t xml:space="preserve">6.6.3	Installation Drawings and the End Item</w:t>
      </w:r>
    </w:p>
    <w:p>
      <w:pPr>
        <w:spacing w:after="160" w:line="276"/>
      </w:pPr>
      <w:r>
        <w:rPr>
          <w:sz w:val="22"/>
          <w:szCs w:val="22"/>
        </w:rPr>
        <w:t xml:space="preserve">This subsection applies only under the end item cascade scope. The other scopes never reach the end item.</w:t>
      </w:r>
    </w:p>
    <w:p>
      <w:pPr>
        <w:spacing w:after="160" w:line="276"/>
      </w:pPr>
      <w:r>
        <w:rPr>
          <w:sz w:val="22"/>
          <w:szCs w:val="22"/>
        </w:rPr>
        <w:t xml:space="preserve">The end item is not a Line Replaceable Unit (LRU). The end item is the top-level asset or system under contract. It is typically the complete aircraft tail number or the missile system.</w:t>
      </w:r>
    </w:p>
    <w:p>
      <w:pPr>
        <w:spacing w:after="160" w:line="276"/>
      </w:pPr>
      <w:r>
        <w:rPr>
          <w:sz w:val="22"/>
          <w:szCs w:val="22"/>
        </w:rPr>
        <w:t xml:space="preserve">For each installation drawing that sits in the product tree between a traceable item and the end item, apply part note code and note text:</w:t>
      </w:r>
    </w:p>
    <w:p>
      <w:pPr>
        <w:spacing w:after="160" w:before="60" w:line="264"/>
        <w:ind w:left="504"/>
      </w:pPr>
      <w:r>
        <w:rPr>
          <w:b/>
          <w:bCs/>
          <w:sz w:val="21"/>
          <w:szCs w:val="21"/>
        </w:rPr>
        <w:t xml:space="preserve">TR – TRACEABILITY RECORDS REQUIRED. THIS INSTALLATION DRAWING DEPICTS TRACEABLE PARTS WHOSE SERIAL NUMBERS MUST BE TRACED TO ALL HIGHER-LEVEL PHYSICAL ITEMS UP TO THE END ITEM.</w:t>
      </w:r>
    </w:p>
    <w:p>
      <w:pPr>
        <w:spacing w:after="160" w:line="276"/>
      </w:pPr>
      <w:r>
        <w:rPr>
          <w:sz w:val="22"/>
          <w:szCs w:val="22"/>
        </w:rPr>
        <w:t xml:space="preserve">For the end item, apply part note code and note text:</w:t>
      </w:r>
    </w:p>
    <w:p>
      <w:pPr>
        <w:spacing w:after="160" w:before="60" w:line="264"/>
        <w:ind w:left="504"/>
      </w:pPr>
      <w:r>
        <w:rPr>
          <w:b/>
          <w:bCs/>
          <w:sz w:val="21"/>
          <w:szCs w:val="21"/>
        </w:rPr>
        <w:t xml:space="preserve">TR – TRACEABILITY BEYOND THIS LEVEL IS NOT REQUIRED.</w:t>
      </w:r>
    </w:p>
    <w:p>
      <w:pPr>
        <w:spacing w:after="160" w:line="276"/>
      </w:pPr>
      <w:r>
        <w:rPr>
          <w:sz w:val="22"/>
          <w:szCs w:val="22"/>
        </w:rPr>
        <w:t xml:space="preserve">The end item does not receive the SER part note code. The contract assigns the end item’s identity, such as a tail number or a system serial number. When the contract requires IUID for the end item, apply the IUID part note code per Section 6.5.</w:t>
      </w:r>
    </w:p>
    <w:p>
      <w:pPr>
        <w:pStyle w:val="Heading1"/>
        <w:spacing w:after="160" w:before="360"/>
      </w:pPr>
      <w:r>
        <w:rPr>
          <w:b/>
          <w:bCs/>
          <w:color w:val="000000"/>
          <w:sz w:val="26"/>
          <w:szCs w:val="26"/>
        </w:rPr>
        <w:t xml:space="preserve">6.7	Condition Part Note Codes</w:t>
      </w:r>
    </w:p>
    <w:p>
      <w:pPr>
        <w:spacing w:after="160" w:line="276"/>
      </w:pPr>
      <w:r>
        <w:rPr>
          <w:sz w:val="22"/>
          <w:szCs w:val="22"/>
        </w:rPr>
        <w:t xml:space="preserve">The codes in this section identify a condition on an item. They do not create traceability records on their own. Apply them together with the SER, LOT, IUID, and TR codes that the condition drives.</w:t>
      </w:r>
    </w:p>
    <w:p>
      <w:pPr>
        <w:pStyle w:val="Heading2"/>
        <w:spacing w:after="140" w:before="300"/>
      </w:pPr>
      <w:r>
        <w:rPr>
          <w:b/>
          <w:bCs/>
          <w:color w:val="000000"/>
          <w:sz w:val="24"/>
          <w:szCs w:val="24"/>
        </w:rPr>
        <w:t xml:space="preserve">6.7.1	Life Limited</w:t>
      </w:r>
    </w:p>
    <w:p>
      <w:pPr>
        <w:spacing w:after="160" w:line="276"/>
      </w:pPr>
      <w:r>
        <w:rPr>
          <w:sz w:val="22"/>
          <w:szCs w:val="22"/>
        </w:rPr>
        <w:t xml:space="preserve">Both categories of life-limited part use the LL part note code. The note text tells the build environment which category applies. See Section 6.2.1 for the definitions.</w:t>
      </w:r>
    </w:p>
    <w:p>
      <w:pPr>
        <w:spacing w:after="160" w:line="276"/>
      </w:pPr>
      <w:r>
        <w:rPr>
          <w:sz w:val="22"/>
          <w:szCs w:val="22"/>
        </w:rPr>
        <w:t xml:space="preserve">For a Cycle/Usage-Controlled Life-Limited Item, apply part note codes and note texts:</w:t>
      </w:r>
    </w:p>
    <w:p>
      <w:pPr>
        <w:spacing w:after="160" w:before="60" w:line="264"/>
        <w:ind w:left="504"/>
      </w:pPr>
      <w:r>
        <w:rPr>
          <w:b/>
          <w:bCs/>
          <w:sz w:val="21"/>
          <w:szCs w:val="21"/>
        </w:rPr>
        <w:t xml:space="preserve">LL – LIFE LIMITED PART. THIS PART IS CYCLE/USAGE-CONTROLLED AND IS LIMITED TO A SPECIFIC NUMBER OF USAGES. [NUMBER OF FLIGHTS, CYCLE LIMIT, ETC.].</w:t>
      </w:r>
    </w:p>
    <w:p>
      <w:pPr>
        <w:spacing w:after="160" w:before="60" w:line="264"/>
        <w:ind w:left="504"/>
      </w:pPr>
      <w:r>
        <w:rPr>
          <w:b/>
          <w:bCs/>
          <w:sz w:val="21"/>
          <w:szCs w:val="21"/>
        </w:rPr>
        <w:t xml:space="preserve">SER – SERIALIZATION RECORDING REQUIRED. THIS ITEM IS SERIALIZED AND TRACEABILITY MUST BE MAINTAINED BETWEEN THIS ITEM AND [CASCADE SCOPE].</w:t>
      </w:r>
    </w:p>
    <w:p>
      <w:pPr>
        <w:spacing w:after="160" w:line="276"/>
      </w:pPr>
      <w:r>
        <w:rPr>
          <w:sz w:val="22"/>
          <w:szCs w:val="22"/>
        </w:rPr>
        <w:t xml:space="preserve">Set the cascade scope per Section 6.6.1.</w:t>
      </w:r>
    </w:p>
    <w:p>
      <w:pPr>
        <w:spacing w:after="160" w:line="276"/>
      </w:pPr>
      <w:r>
        <w:rPr>
          <w:sz w:val="22"/>
          <w:szCs w:val="22"/>
        </w:rPr>
        <w:t xml:space="preserve">An Age/Shelf-Life-Controlled Life-Limited Item requires lot/batch recording when neither a certification requirement nor a contractual requirement calls for serialization. For an Age/Shelf-Life-Controlled Life-Limited Item, apply part note codes and note texts:</w:t>
      </w:r>
    </w:p>
    <w:p>
      <w:pPr>
        <w:spacing w:after="160" w:before="60" w:line="264"/>
        <w:ind w:left="504"/>
      </w:pPr>
      <w:r>
        <w:rPr>
          <w:b/>
          <w:bCs/>
          <w:sz w:val="21"/>
          <w:szCs w:val="21"/>
        </w:rPr>
        <w:t xml:space="preserve">LL – LIFE LIMITED PART. THIS PART IS AGE/SHELF-LIFE-CONTROLLED IRRESPECTIVE OF HOW MANY TIMES IT IS USED. [SHELF LIFE, CURE DATE LIMIT, OR STORAGE AGE LIMIT].</w:t>
      </w:r>
    </w:p>
    <w:p>
      <w:pPr>
        <w:spacing w:after="160" w:before="60" w:line="264"/>
        <w:ind w:left="504"/>
      </w:pPr>
      <w:r>
        <w:rPr>
          <w:b/>
          <w:bCs/>
          <w:sz w:val="21"/>
          <w:szCs w:val="21"/>
        </w:rPr>
        <w:t xml:space="preserve">LOT – LOT/BATCH RECORDING REQUIRED. THIS ITEM REQUIRES LOT/BATCH TRACEABILITY AND TRACEABILITY MUST BE MAINTAINED BETWEEN THIS ITEM AND [CASCADE SCOPE].</w:t>
      </w:r>
    </w:p>
    <w:p>
      <w:pPr>
        <w:spacing w:after="160" w:line="276"/>
      </w:pPr>
      <w:r>
        <w:rPr>
          <w:sz w:val="22"/>
          <w:szCs w:val="22"/>
        </w:rPr>
        <w:t xml:space="preserve">Set the cascade scope per Section 6.6.1.</w:t>
      </w:r>
    </w:p>
    <w:p>
      <w:pPr>
        <w:pStyle w:val="Heading2"/>
        <w:spacing w:after="140" w:before="300"/>
      </w:pPr>
      <w:r>
        <w:rPr>
          <w:b/>
          <w:bCs/>
          <w:color w:val="000000"/>
          <w:sz w:val="24"/>
          <w:szCs w:val="24"/>
        </w:rPr>
        <w:t xml:space="preserve">6.7.2	Special Handling Required</w:t>
      </w:r>
    </w:p>
    <w:p>
      <w:pPr>
        <w:spacing w:after="160" w:line="276"/>
      </w:pPr>
      <w:r>
        <w:rPr>
          <w:sz w:val="22"/>
          <w:szCs w:val="22"/>
        </w:rPr>
        <w:t xml:space="preserve">Special Handling Required items are Lot/Batch Recording Required items. See Section 6.2.10 for the conditions that require special handling.</w:t>
      </w:r>
    </w:p>
    <w:p>
      <w:pPr>
        <w:spacing w:after="160" w:line="276"/>
      </w:pPr>
      <w:r>
        <w:rPr>
          <w:sz w:val="22"/>
          <w:szCs w:val="22"/>
        </w:rPr>
        <w:t xml:space="preserve">For items requiring special handling, apply part note codes and note texts:</w:t>
      </w:r>
    </w:p>
    <w:p>
      <w:pPr>
        <w:spacing w:after="160" w:before="60" w:line="264"/>
        <w:ind w:left="504"/>
      </w:pPr>
      <w:r>
        <w:rPr>
          <w:b/>
          <w:bCs/>
          <w:sz w:val="21"/>
          <w:szCs w:val="21"/>
        </w:rPr>
        <w:t xml:space="preserve">LOT – LOT/BATCH RECORDING REQUIRED. THIS ITEM REQUIRES LOT/BATCH TRACEABILITY AND TRACEABILITY MUST BE MAINTAINED BETWEEN THIS ITEM AND [CASCADE SCOPE].</w:t>
      </w:r>
    </w:p>
    <w:p>
      <w:pPr>
        <w:spacing w:after="160" w:before="60" w:line="264"/>
        <w:ind w:left="504"/>
      </w:pPr>
      <w:r>
        <w:rPr>
          <w:b/>
          <w:bCs/>
          <w:sz w:val="21"/>
          <w:szCs w:val="21"/>
        </w:rPr>
        <w:t xml:space="preserve">SH – SPECIAL HANDLING REQUIRED – [ENTER THE SPECIAL HANDLING, PACKAGING, OR ENVIRONMENTAL CONTROL REQUIRED, OR REFERENCE THE SPECIFICATION THAT CONTAINS THAT INFORMATION].</w:t>
      </w:r>
    </w:p>
    <w:p>
      <w:pPr>
        <w:spacing w:after="160" w:line="276"/>
      </w:pPr>
      <w:r>
        <w:rPr>
          <w:sz w:val="22"/>
          <w:szCs w:val="22"/>
        </w:rPr>
        <w:t xml:space="preserve">Below are examples of Special Handling part note texts:</w:t>
      </w:r>
    </w:p>
    <w:p>
      <w:pPr>
        <w:spacing w:after="160" w:before="60" w:line="264"/>
        <w:ind w:left="504"/>
      </w:pPr>
      <w:r>
        <w:rPr>
          <w:i/>
          <w:iCs/>
          <w:sz w:val="21"/>
          <w:szCs w:val="21"/>
        </w:rPr>
        <w:t xml:space="preserve">Example: </w:t>
      </w:r>
      <w:r>
        <w:rPr>
          <w:b/>
          <w:bCs/>
          <w:sz w:val="21"/>
          <w:szCs w:val="21"/>
        </w:rPr>
        <w:t xml:space="preserve">SH – SPECIAL HANDLING REQUIRED – THESE PARTS ARE EXTREMELY FRAGILE. DO NOT DROP OR JAR. PROVIDE 1/8-INCH POLYURETHANE FOAM UNDER THEIR CONTAINER ON THE BENCH OR WHEN STORING OR SHIPPING.</w:t>
      </w:r>
    </w:p>
    <w:p>
      <w:pPr>
        <w:spacing w:after="160" w:before="60" w:line="264"/>
        <w:ind w:left="504"/>
      </w:pPr>
      <w:r>
        <w:rPr>
          <w:i/>
          <w:iCs/>
          <w:sz w:val="21"/>
          <w:szCs w:val="21"/>
        </w:rPr>
        <w:t xml:space="preserve">Example: </w:t>
      </w:r>
      <w:r>
        <w:rPr>
          <w:b/>
          <w:bCs/>
          <w:sz w:val="21"/>
          <w:szCs w:val="21"/>
        </w:rPr>
        <w:t xml:space="preserve">SH – SPECIAL HANDLING REQUIRED – TEMPERATURE SHALL BE KEPT BETWEEN 33°F AND 150°F AND RELATIVE HUMIDITY SHALL BE 70 PERCENT MAXIMUM DURING SHIPMENT AND INSTALLATION.</w:t>
      </w:r>
    </w:p>
    <w:p>
      <w:pPr>
        <w:spacing w:after="160" w:before="60" w:line="264"/>
        <w:ind w:left="504"/>
      </w:pPr>
      <w:r>
        <w:rPr>
          <w:i/>
          <w:iCs/>
          <w:sz w:val="21"/>
          <w:szCs w:val="21"/>
        </w:rPr>
        <w:t xml:space="preserve">Example: </w:t>
      </w:r>
      <w:r>
        <w:rPr>
          <w:b/>
          <w:bCs/>
          <w:sz w:val="21"/>
          <w:szCs w:val="21"/>
        </w:rPr>
        <w:t xml:space="preserve">SH – SPECIAL HANDLING REQUIRED – ELECTROSTATIC DISCHARGE CONTROL PROGRAM FOR PROTECTION OF ELECTRICAL AND ELECTRONIC PARTS, ASSEMBLIES, AND EQUIPMENT SHALL BE IN ACCORDANCE WITH MIL-STD-1686 AND DOD-HDBK-263, CLASS 3 (BAC5485 MANDATORY FOR USE BY BOEING AND THEIR SUBCONTRACTORS).</w:t>
      </w:r>
    </w:p>
    <w:p>
      <w:pPr>
        <w:spacing w:after="160" w:before="60" w:line="264"/>
        <w:ind w:left="504"/>
      </w:pPr>
      <w:r>
        <w:rPr>
          <w:i/>
          <w:iCs/>
          <w:sz w:val="21"/>
          <w:szCs w:val="21"/>
        </w:rPr>
        <w:t xml:space="preserve">Example: </w:t>
      </w:r>
      <w:r>
        <w:rPr>
          <w:b/>
          <w:bCs/>
          <w:sz w:val="21"/>
          <w:szCs w:val="21"/>
        </w:rPr>
        <w:t xml:space="preserve">SH – SPECIAL HANDLING REQUIRED – CONTROLLED AND SENSITIVE EQUIPMENT (CASE) PER D200-10015-1.</w:t>
      </w:r>
    </w:p>
    <w:p>
      <w:pPr>
        <w:spacing w:after="160" w:line="276"/>
      </w:pPr>
      <w:r>
        <w:rPr>
          <w:sz w:val="22"/>
          <w:szCs w:val="22"/>
        </w:rPr>
        <w:t xml:space="preserve">Set the cascade scope per Section 6.6.1.</w:t>
      </w:r>
    </w:p>
    <w:p>
      <w:pPr>
        <w:pStyle w:val="Heading2"/>
        <w:spacing w:after="140" w:before="300"/>
      </w:pPr>
      <w:r>
        <w:rPr>
          <w:b/>
          <w:bCs/>
          <w:color w:val="000000"/>
          <w:sz w:val="24"/>
          <w:szCs w:val="24"/>
        </w:rPr>
        <w:t xml:space="preserve">6.7.3	Explosive Material – Special Handling Required</w:t>
      </w:r>
    </w:p>
    <w:p>
      <w:pPr>
        <w:spacing w:after="160" w:line="276"/>
      </w:pPr>
      <w:r>
        <w:rPr>
          <w:sz w:val="22"/>
          <w:szCs w:val="22"/>
        </w:rPr>
        <w:t xml:space="preserve">See Section 6.2.10 for what counts as an explosive material.</w:t>
      </w:r>
    </w:p>
    <w:p>
      <w:pPr>
        <w:spacing w:after="160" w:line="276"/>
      </w:pPr>
      <w:r>
        <w:rPr>
          <w:sz w:val="22"/>
          <w:szCs w:val="22"/>
        </w:rPr>
        <w:t xml:space="preserve">For explosive material items, apply part note codes and note texts:</w:t>
      </w:r>
    </w:p>
    <w:p>
      <w:pPr>
        <w:spacing w:after="160" w:before="60" w:line="264"/>
        <w:ind w:left="504"/>
      </w:pPr>
      <w:r>
        <w:rPr>
          <w:b/>
          <w:bCs/>
          <w:sz w:val="21"/>
          <w:szCs w:val="21"/>
        </w:rPr>
        <w:t xml:space="preserve">LOT – LOT/BATCH RECORDING REQUIRED. THIS ITEM REQUIRES LOT/BATCH TRACEABILITY AND TRACEABILITY MUST BE MAINTAINED BETWEEN THIS ITEM AND [CASCADE SCOPE].</w:t>
      </w:r>
    </w:p>
    <w:p>
      <w:pPr>
        <w:spacing w:after="160" w:before="60" w:line="264"/>
        <w:ind w:left="504"/>
      </w:pPr>
      <w:r>
        <w:rPr>
          <w:b/>
          <w:bCs/>
          <w:sz w:val="21"/>
          <w:szCs w:val="21"/>
        </w:rPr>
        <w:t xml:space="preserve">SH – EXPLOSIVE MATERIAL – SPECIAL HANDLING REQUIRED – [INCLUDE A DESCRIPTION OF THE METHOD FOR HANDLING EXPLOSIVE MATERIAL AND THE SAFETY PRECAUTIONS TO BE OBSERVED].</w:t>
      </w:r>
    </w:p>
    <w:p>
      <w:pPr>
        <w:spacing w:after="160" w:line="276"/>
      </w:pPr>
      <w:r>
        <w:rPr>
          <w:sz w:val="22"/>
          <w:szCs w:val="22"/>
        </w:rPr>
        <w:t xml:space="preserve">Also include the Explosive Material part note text on the drawing picture sheet. If that is not practicable, provide a reference to it on the drawing picture sheet. The Explosive Material part note text, or a reference to it, is required on the drawing picture sheet and on all higher-level drawings.</w:t>
      </w:r>
    </w:p>
    <w:p>
      <w:pPr>
        <w:spacing w:after="160" w:line="276"/>
      </w:pPr>
      <w:r>
        <w:rPr>
          <w:sz w:val="22"/>
          <w:szCs w:val="22"/>
        </w:rPr>
        <w:t xml:space="preserve">Set the cascade scope per Section 6.6.1.</w:t>
      </w:r>
    </w:p>
    <w:p>
      <w:pPr>
        <w:pStyle w:val="Heading2"/>
        <w:spacing w:after="140" w:before="300"/>
      </w:pPr>
      <w:r>
        <w:rPr>
          <w:b/>
          <w:bCs/>
          <w:color w:val="000000"/>
          <w:sz w:val="24"/>
          <w:szCs w:val="24"/>
        </w:rPr>
        <w:t xml:space="preserve">6.7.4	Radioactive Material – Special Handling Required</w:t>
      </w:r>
    </w:p>
    <w:p>
      <w:pPr>
        <w:spacing w:after="160" w:line="276"/>
      </w:pPr>
      <w:r>
        <w:rPr>
          <w:sz w:val="22"/>
          <w:szCs w:val="22"/>
        </w:rPr>
        <w:t xml:space="preserve">See Section 6.2.10 for what counts as a radioactive material.</w:t>
      </w:r>
    </w:p>
    <w:p>
      <w:pPr>
        <w:spacing w:after="160" w:line="276"/>
      </w:pPr>
      <w:r>
        <w:rPr>
          <w:sz w:val="22"/>
          <w:szCs w:val="22"/>
        </w:rPr>
        <w:t xml:space="preserve">For radioactive material items, apply part note codes and note texts:</w:t>
      </w:r>
    </w:p>
    <w:p>
      <w:pPr>
        <w:spacing w:after="160" w:before="60" w:line="264"/>
        <w:ind w:left="504"/>
      </w:pPr>
      <w:r>
        <w:rPr>
          <w:b/>
          <w:bCs/>
          <w:sz w:val="21"/>
          <w:szCs w:val="21"/>
        </w:rPr>
        <w:t xml:space="preserve">LOT – LOT/BATCH RECORDING REQUIRED. THIS ITEM REQUIRES LOT/BATCH TRACEABILITY AND TRACEABILITY MUST BE MAINTAINED BETWEEN THIS ITEM AND [CASCADE SCOPE].</w:t>
      </w:r>
    </w:p>
    <w:p>
      <w:pPr>
        <w:spacing w:after="160" w:before="60" w:line="264"/>
        <w:ind w:left="504"/>
      </w:pPr>
      <w:r>
        <w:rPr>
          <w:b/>
          <w:bCs/>
          <w:sz w:val="21"/>
          <w:szCs w:val="21"/>
        </w:rPr>
        <w:t xml:space="preserve">SH – RADIOACTIVE MATERIAL – SPECIAL HANDLING REQUIRED – WARNING: RADIOACTIVE MATERIAL [IDENTIFY THE ISOTOPE], [NUMBER OF CURIES]. CONTACT RADIATION HEALTH PROTECTION FOR SPECIAL HANDLING.</w:t>
      </w:r>
    </w:p>
    <w:p>
      <w:pPr>
        <w:spacing w:after="160" w:line="276"/>
      </w:pPr>
      <w:r>
        <w:rPr>
          <w:sz w:val="22"/>
          <w:szCs w:val="22"/>
        </w:rPr>
        <w:t xml:space="preserve">Include the isotope and the amount of radioactivity in the part note text. The part note is required on the lowest-level drawing that calls for radioactive material. It is required on higher-level drawings when Radiation Health Protection requests it.</w:t>
      </w:r>
    </w:p>
    <w:p>
      <w:pPr>
        <w:spacing w:after="160" w:line="276"/>
      </w:pPr>
      <w:r>
        <w:rPr>
          <w:sz w:val="22"/>
          <w:szCs w:val="22"/>
        </w:rPr>
        <w:t xml:space="preserve">Set the cascade scope per Section 6.6.1.</w:t>
      </w:r>
    </w:p>
    <w:p>
      <w:pPr>
        <w:pStyle w:val="Heading2"/>
        <w:spacing w:after="140" w:before="300"/>
      </w:pPr>
      <w:r>
        <w:rPr>
          <w:b/>
          <w:bCs/>
          <w:color w:val="000000"/>
          <w:sz w:val="24"/>
          <w:szCs w:val="24"/>
        </w:rPr>
        <w:t xml:space="preserve">6.7.5	Critical Safety Item</w:t>
      </w:r>
    </w:p>
    <w:p>
      <w:pPr>
        <w:spacing w:after="160" w:line="276"/>
      </w:pPr>
      <w:r>
        <w:rPr>
          <w:sz w:val="22"/>
          <w:szCs w:val="22"/>
        </w:rPr>
        <w:t xml:space="preserve">See Section 6.2.4 for the definition and the designating authority.</w:t>
      </w:r>
    </w:p>
    <w:p>
      <w:pPr>
        <w:spacing w:after="160" w:line="276"/>
      </w:pPr>
      <w:r>
        <w:rPr>
          <w:sz w:val="22"/>
          <w:szCs w:val="22"/>
        </w:rPr>
        <w:t xml:space="preserve">Critical Safety Items require serialization recording, lot/batch recording, and item unique identification. For Critical Safety Items, apply part note codes and note texts:</w:t>
      </w:r>
    </w:p>
    <w:p>
      <w:pPr>
        <w:spacing w:after="160" w:before="60" w:line="264"/>
        <w:ind w:left="504"/>
      </w:pPr>
      <w:r>
        <w:rPr>
          <w:b/>
          <w:bCs/>
          <w:sz w:val="21"/>
          <w:szCs w:val="21"/>
        </w:rPr>
        <w:t xml:space="preserve">CSI – CRITICAL SAFETY ITEM.</w:t>
      </w:r>
    </w:p>
    <w:p>
      <w:pPr>
        <w:spacing w:after="160" w:before="60" w:line="264"/>
        <w:ind w:left="504"/>
      </w:pPr>
      <w:r>
        <w:rPr>
          <w:b/>
          <w:bCs/>
          <w:sz w:val="21"/>
          <w:szCs w:val="21"/>
        </w:rPr>
        <w:t xml:space="preserve">SER – SERIALIZATION RECORDING REQUIRED. THIS ITEM IS SERIALIZED AND TRACEABILITY MUST BE MAINTAINED BETWEEN THIS ITEM AND [CASCADE SCOPE].</w:t>
      </w:r>
    </w:p>
    <w:p>
      <w:pPr>
        <w:spacing w:after="160" w:before="60" w:line="264"/>
        <w:ind w:left="504"/>
      </w:pPr>
      <w:r>
        <w:rPr>
          <w:b/>
          <w:bCs/>
          <w:sz w:val="21"/>
          <w:szCs w:val="21"/>
        </w:rPr>
        <w:t xml:space="preserve">LOT – LOT/BATCH RECORDING REQUIRED. THIS ITEM REQUIRES LOT/BATCH TRACEABILITY AND TRACEABILITY MUST BE MAINTAINED BETWEEN THIS ITEM AND [CASCADE SCOPE].</w:t>
      </w:r>
    </w:p>
    <w:p>
      <w:pPr>
        <w:spacing w:after="160" w:before="60" w:line="264"/>
        <w:ind w:left="504"/>
      </w:pPr>
      <w:r>
        <w:rPr>
          <w:b/>
          <w:bCs/>
          <w:sz w:val="21"/>
          <w:szCs w:val="21"/>
        </w:rPr>
        <w:t xml:space="preserve">IUID – ITEM UNIQUE IDENTIFICATION REQUIRED. MARK THIS ITEM WITH A UNIQUE ITEM IDENTIFIER (UII) IN ACCORDANCE WITH MIL-STD-130 AND REPORT THE UII IN ACCORDANCE WITH DFARS 252.211-7003.</w:t>
      </w:r>
    </w:p>
    <w:p>
      <w:pPr>
        <w:spacing w:after="160" w:line="276"/>
      </w:pPr>
      <w:r>
        <w:rPr>
          <w:sz w:val="22"/>
          <w:szCs w:val="22"/>
        </w:rPr>
        <w:t xml:space="preserve">Set the cascade scope per Section 6.6.1.</w:t>
      </w:r>
    </w:p>
    <w:p>
      <w:pPr>
        <w:spacing w:after="160" w:line="276"/>
      </w:pPr>
      <w:r>
        <w:rPr>
          <w:sz w:val="22"/>
          <w:szCs w:val="22"/>
        </w:rPr>
        <w:t xml:space="preserve">Do not apply the CSI part note code up the product tree. Apply the SER and TR part note codes within the cascade scope in accordance with Section 6.6. Apply the IUID part note code to parent items in accordance with Section 6.5.4.</w:t>
      </w:r>
    </w:p>
    <w:p>
      <w:pPr>
        <w:pStyle w:val="Heading2"/>
        <w:spacing w:after="140" w:before="300"/>
      </w:pPr>
      <w:r>
        <w:rPr>
          <w:b/>
          <w:bCs/>
          <w:color w:val="000000"/>
          <w:sz w:val="24"/>
          <w:szCs w:val="24"/>
        </w:rPr>
        <w:t xml:space="preserve">6.7.6	Fracture-Critical Item</w:t>
      </w:r>
    </w:p>
    <w:p>
      <w:pPr>
        <w:spacing w:after="160" w:line="276"/>
      </w:pPr>
      <w:r>
        <w:rPr>
          <w:sz w:val="22"/>
          <w:szCs w:val="22"/>
        </w:rPr>
        <w:t xml:space="preserve">See Section 6.2.5 for the definition and for the distinction from Fracture-Critical Parts.</w:t>
      </w:r>
    </w:p>
    <w:p>
      <w:pPr>
        <w:spacing w:after="160" w:line="276"/>
      </w:pPr>
      <w:r>
        <w:rPr>
          <w:sz w:val="22"/>
          <w:szCs w:val="22"/>
        </w:rPr>
        <w:t xml:space="preserve">Fracture-Critical Traceable Parts require serialization recording and lot/batch recording. For Fracture-Critical Traceable Parts, apply part note codes and note texts:</w:t>
      </w:r>
    </w:p>
    <w:p>
      <w:pPr>
        <w:spacing w:after="160" w:before="60" w:line="264"/>
        <w:ind w:left="504"/>
      </w:pPr>
      <w:r>
        <w:rPr>
          <w:b/>
          <w:bCs/>
          <w:sz w:val="21"/>
          <w:szCs w:val="21"/>
        </w:rPr>
        <w:t xml:space="preserve">FC – FRACTURE-CRITICAL ITEM.</w:t>
      </w:r>
    </w:p>
    <w:p>
      <w:pPr>
        <w:spacing w:after="160" w:before="60" w:line="264"/>
        <w:ind w:left="504"/>
      </w:pPr>
      <w:r>
        <w:rPr>
          <w:b/>
          <w:bCs/>
          <w:sz w:val="21"/>
          <w:szCs w:val="21"/>
        </w:rPr>
        <w:t xml:space="preserve">SER – SERIALIZATION RECORDING REQUIRED. THIS ITEM IS SERIALIZED AND TRACEABILITY MUST BE MAINTAINED BETWEEN THIS ITEM AND [CASCADE SCOPE].</w:t>
      </w:r>
    </w:p>
    <w:p>
      <w:pPr>
        <w:spacing w:after="160" w:before="60" w:line="264"/>
        <w:ind w:left="504"/>
      </w:pPr>
      <w:r>
        <w:rPr>
          <w:b/>
          <w:bCs/>
          <w:sz w:val="21"/>
          <w:szCs w:val="21"/>
        </w:rPr>
        <w:t xml:space="preserve">LOT – LOT/BATCH RECORDING REQUIRED. THIS ITEM REQUIRES LOT/BATCH TRACEABILITY AND TRACEABILITY MUST BE MAINTAINED BETWEEN THIS ITEM AND [CASCADE SCOPE].</w:t>
      </w:r>
    </w:p>
    <w:p>
      <w:pPr>
        <w:spacing w:after="160" w:line="276"/>
      </w:pPr>
      <w:r>
        <w:rPr>
          <w:sz w:val="22"/>
          <w:szCs w:val="22"/>
        </w:rPr>
        <w:t xml:space="preserve">Set the cascade scope per Section 6.6.1.</w:t>
      </w:r>
    </w:p>
    <w:p>
      <w:pPr>
        <w:spacing w:after="160" w:line="276"/>
      </w:pPr>
      <w:r>
        <w:rPr>
          <w:sz w:val="22"/>
          <w:szCs w:val="22"/>
        </w:rPr>
        <w:t xml:space="preserve">Do not apply the FC part note code up the product tree. Apply the SER and TR part note codes within the cascade scope in accordance with Section 6.6.</w:t>
      </w:r>
    </w:p>
    <w:p>
      <w:pPr>
        <w:pStyle w:val="Heading1"/>
        <w:spacing w:after="160" w:before="360"/>
      </w:pPr>
      <w:r>
        <w:rPr>
          <w:b/>
          <w:bCs/>
          <w:color w:val="000000"/>
          <w:sz w:val="26"/>
          <w:szCs w:val="26"/>
        </w:rPr>
        <w:t xml:space="preserve">6.8	Application Matrix</w:t>
      </w:r>
    </w:p>
    <w:p>
      <w:pPr>
        <w:spacing w:after="160" w:line="276"/>
      </w:pPr>
      <w:r>
        <w:rPr>
          <w:sz w:val="22"/>
          <w:szCs w:val="22"/>
        </w:rPr>
        <w:t xml:space="preserve">Start here when you know the item and need the codes. The matrix is a summary. The governing text is in the referenced section.</w:t>
      </w:r>
    </w:p>
    <w:p>
      <w:pPr>
        <w:spacing w:after="160" w:line="276"/>
      </w:pPr>
      <w:r>
        <w:rPr>
          <w:sz w:val="22"/>
          <w:szCs w:val="22"/>
        </w:rPr>
        <w:t xml:space="preserve">The matrix gives the codes. It does not give the cascade scope. Set the scope from Section 6.6.1 in every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rPr>
          <w:tblHeader/>
        </w:trPr>
        <w:tc>
          <w:tcPr>
            <w:tcW w:type="dxa" w:w="4000"/>
            <w:shd w:fill="E7E7E7" w:val="clear"/>
            <w:tcMar>
              <w:top w:type="dxa" w:w="60"/>
              <w:left w:type="dxa" w:w="90"/>
              <w:bottom w:type="dxa" w:w="60"/>
              <w:right w:type="dxa" w:w="90"/>
            </w:tcMar>
            <w:vAlign w:val="top"/>
          </w:tcPr>
          <w:p>
            <w:pPr>
              <w:spacing w:after="0" w:line="240"/>
            </w:pPr>
            <w:r>
              <w:rPr>
                <w:b/>
                <w:bCs/>
                <w:sz w:val="19"/>
                <w:szCs w:val="19"/>
              </w:rPr>
              <w:t xml:space="preserve">Item or condition</w:t>
            </w:r>
          </w:p>
        </w:tc>
        <w:tc>
          <w:tcPr>
            <w:tcW w:type="dxa" w:w="3360"/>
            <w:shd w:fill="E7E7E7" w:val="clear"/>
            <w:tcMar>
              <w:top w:type="dxa" w:w="60"/>
              <w:left w:type="dxa" w:w="90"/>
              <w:bottom w:type="dxa" w:w="60"/>
              <w:right w:type="dxa" w:w="90"/>
            </w:tcMar>
            <w:vAlign w:val="top"/>
          </w:tcPr>
          <w:p>
            <w:pPr>
              <w:spacing w:after="0" w:line="240"/>
            </w:pPr>
            <w:r>
              <w:rPr>
                <w:b/>
                <w:bCs/>
                <w:sz w:val="19"/>
                <w:szCs w:val="19"/>
              </w:rPr>
              <w:t xml:space="preserve">Part note codes to apply</w:t>
            </w:r>
          </w:p>
        </w:tc>
        <w:tc>
          <w:tcPr>
            <w:tcW w:type="dxa" w:w="2000"/>
            <w:shd w:fill="E7E7E7" w:val="clear"/>
            <w:tcMar>
              <w:top w:type="dxa" w:w="60"/>
              <w:left w:type="dxa" w:w="90"/>
              <w:bottom w:type="dxa" w:w="60"/>
              <w:right w:type="dxa" w:w="90"/>
            </w:tcMar>
            <w:vAlign w:val="top"/>
          </w:tcPr>
          <w:p>
            <w:pPr>
              <w:spacing w:after="0" w:line="240"/>
            </w:pPr>
            <w:r>
              <w:rPr>
                <w:b/>
                <w:bCs/>
                <w:sz w:val="19"/>
                <w:szCs w:val="19"/>
              </w:rPr>
              <w:t xml:space="preserve">Section</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Cycle/Usage-Controlled Life-Limited Item</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LL, SER</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6.2.1, 6.7.1</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Age/Shelf-Life-Controlled Life-Limited Item</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LL, LOT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6.2.1, 6.7.1</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ALI with a mandatory replacement time, on a discrete part</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LL, SER</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6.2.2, 6.7.1</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ALI with an inspection interval only, on a discrete part</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SER</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6.2.2, 6.3</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ALI expressed against a manufactured lot/batch</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LOT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6.2.2, 6.4</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ALI as a zonal or structural inspection task</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None</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6.2.2</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Safe-life PSE, discrete part with an ALS replacement time</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LL, SER</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6.2.3, 6.7.1</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Safe-life PSE detail parts and constituent materials</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LOT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6.2.3, 6.4</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Damage-tolerant PSE, discrete part with an ALS inspection interval</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SER</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6.2.3, 6.3</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Damage-tolerant PSE, location-based inspection</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None</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6.2.3</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Critical Safety Item</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CSI, SER, LOT, IUID</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6.2.4, 6.7.5</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Fracture-Critical Traceable Part</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FC, SER, LOT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6.2.5, 6.7.6</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Fracture-Critical Part (not traceable)</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None on this basis</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6.2.5</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Safety-Critical Item</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None on this basis</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6.2.6</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Premium selected material part</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SER, LOT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6.2.7</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Casting with reduced non-visual inspection</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LOT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6.2.8, 6.4</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Casting using process monitoring for a factor of 1.0</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LOT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6.2.8, 6.4</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Part using alternative approved material design values</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LOT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6.2.8, 6.4</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Item established by a process or batch condition</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LOT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6.2.9, 6.4</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Raw material callout requiring traceability</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LOT (short note text)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6.4</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Item requiring special handling</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SH, LOT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6.2.10, 6.7.2</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Explosive material</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SH, LOT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6.2.10, 6.7.3</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Radioactive material</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SH, LOT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6.2.10, 6.7.4</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DoD serially managed item</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IUID, SER</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6.2.11, 6.5</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Parent item of an embedded item carrying a UII</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IUID, SER</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6.2.11, 6.5.4</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Warranted serialized item</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IUID, SER</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6.5.2</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Special tooling or special test equipment for an MDAP</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IUID, SER</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6.5.2</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High risk item identified by the requiring activity</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IUID, SER</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6.5.2</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Physical parent of a SER or LOT item, inside the cascade scope</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SER, TR</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6.6.1, 6.6.2</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Installation drawing inside an end item cascade</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TR (installation note text)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6.6.3</w:t>
            </w:r>
          </w:p>
        </w:tc>
      </w:tr>
      <w:tr>
        <w:tc>
          <w:tcPr>
            <w:tcW w:type="dxa" w:w="4000"/>
            <w:tcMar>
              <w:top w:type="dxa" w:w="60"/>
              <w:left w:type="dxa" w:w="90"/>
              <w:bottom w:type="dxa" w:w="60"/>
              <w:right w:type="dxa" w:w="90"/>
            </w:tcMar>
            <w:vAlign w:val="top"/>
          </w:tcPr>
          <w:p>
            <w:pPr>
              <w:spacing w:after="0" w:line="240"/>
            </w:pPr>
            <w:r>
              <w:rPr>
                <w:b w:val="false"/>
                <w:bCs w:val="false"/>
                <w:sz w:val="19"/>
                <w:szCs w:val="19"/>
              </w:rPr>
              <w:t xml:space="preserve">End item, under an end item cascade</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TR (terminator note text), IUID if the contract requires it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6.6.3, 6.5</w:t>
            </w:r>
          </w:p>
        </w:tc>
      </w:tr>
    </w:tbl>
    <w:p>
      <w:pPr>
        <w:spacing w:after="200"/>
      </w:pPr>
    </w:p>
    <w:p>
      <w:pPr>
        <w:pStyle w:val="Heading1"/>
        <w:spacing w:after="160" w:before="360"/>
      </w:pPr>
      <w:r>
        <w:rPr>
          <w:b/>
          <w:bCs/>
          <w:color w:val="000000"/>
          <w:sz w:val="26"/>
          <w:szCs w:val="26"/>
        </w:rPr>
        <w:t xml:space="preserve">Editor’s Notes: Open Items Requiring Confirmation</w:t>
      </w:r>
    </w:p>
    <w:p>
      <w:pPr>
        <w:spacing w:after="160" w:line="276"/>
      </w:pPr>
      <w:r>
        <w:rPr>
          <w:sz w:val="22"/>
          <w:szCs w:val="22"/>
        </w:rPr>
        <w:t xml:space="preserve">The following items need a decision or a source check before release. They are listed here, not marked in the body, so the body reads clean.</w:t>
      </w:r>
    </w:p>
    <w:p>
      <w:pPr>
        <w:pStyle w:val="ListParagraph"/>
        <w:numPr>
          <w:ilvl w:val="0"/>
          <w:numId w:val="4"/>
        </w:numPr>
        <w:spacing w:after="140" w:line="276"/>
      </w:pPr>
      <w:r>
        <w:rPr>
          <w:b/>
          <w:bCs/>
          <w:sz w:val="22"/>
          <w:szCs w:val="22"/>
        </w:rPr>
        <w:t xml:space="preserve">Traceability flowdown (Section 6.6.1).</w:t>
      </w:r>
      <w:r>
        <w:rPr>
          <w:sz w:val="22"/>
          <w:szCs w:val="22"/>
        </w:rPr>
        <w:t xml:space="preserve"> The prior draft cascaded every traceable item to the end item. No regulation or standard reviewed requires that. 14 CFR 43.10 and 14 CFR 45.15(c) attach to the part and do not cascade. AS9100D 8.5.2 sets the mechanism and defers the extent to customer, regulatory, and legal requirements. DFARS 211.274-2(a)(3)(ii) bounds item unique identification at the parent item. An end item cascade therefore needs a contract flowdown to cite. Identify the flowdown for each program and record it in the configuration management plan. Section 6.6.1 defaults to the next higher assembly in its absence.</w:t>
      </w:r>
    </w:p>
    <w:p>
      <w:pPr>
        <w:pStyle w:val="ListParagraph"/>
        <w:numPr>
          <w:ilvl w:val="0"/>
          <w:numId w:val="4"/>
        </w:numPr>
        <w:spacing w:after="140" w:line="276"/>
      </w:pPr>
      <w:r>
        <w:rPr>
          <w:b/>
          <w:bCs/>
          <w:sz w:val="22"/>
          <w:szCs w:val="22"/>
        </w:rPr>
        <w:t xml:space="preserve">AS9100D 8.5.2 (Section 6.6.1).</w:t>
      </w:r>
      <w:r>
        <w:rPr>
          <w:sz w:val="22"/>
          <w:szCs w:val="22"/>
        </w:rPr>
        <w:t xml:space="preserve"> The four familiar items on the extent of traceability appear in a note to the clause rather than in the requirement text. Notes are guidance, not requirements. This reading came from secondary sources, because the standard is not publicly available. Confirm it against the controlled copy before citing it.</w:t>
      </w:r>
    </w:p>
    <w:p>
      <w:pPr>
        <w:pStyle w:val="ListParagraph"/>
        <w:numPr>
          <w:ilvl w:val="0"/>
          <w:numId w:val="4"/>
        </w:numPr>
        <w:spacing w:after="140" w:line="276"/>
      </w:pPr>
      <w:r>
        <w:rPr>
          <w:b/>
          <w:bCs/>
          <w:sz w:val="22"/>
          <w:szCs w:val="22"/>
        </w:rPr>
        <w:t xml:space="preserve">Orphan process callouts (Section 6.6).</w:t>
      </w:r>
      <w:r>
        <w:rPr>
          <w:sz w:val="22"/>
          <w:szCs w:val="22"/>
        </w:rPr>
        <w:t xml:space="preserve"> Primers, topcoats, sealants, and grease often appear under a process specification or an installation note rather than as a component of a physical assembly. They have no physical parent in the ordinary sense. State whether the lot is recorded against the assembly the process is performed on, or whether the callout is exempt.</w:t>
      </w:r>
    </w:p>
    <w:p>
      <w:pPr>
        <w:pStyle w:val="ListParagraph"/>
        <w:numPr>
          <w:ilvl w:val="0"/>
          <w:numId w:val="4"/>
        </w:numPr>
        <w:spacing w:after="140" w:line="276"/>
      </w:pPr>
      <w:r>
        <w:rPr>
          <w:b/>
          <w:bCs/>
          <w:sz w:val="22"/>
          <w:szCs w:val="22"/>
        </w:rPr>
        <w:t xml:space="preserve">Lot consumption on the build record (Section 6.6).</w:t>
      </w:r>
      <w:r>
        <w:rPr>
          <w:sz w:val="22"/>
          <w:szCs w:val="22"/>
        </w:rPr>
        <w:t xml:space="preserve"> Some build environments tie a work order to a unit and record which lots that work order consumed. Where that capability exists, it satisfies lot traceability without marking a serial number on the parent. Confirm whether the build environment carries lot consumption against a unit. If it does, Section 6.6 can state that as an accepted method.</w:t>
      </w:r>
    </w:p>
    <w:p>
      <w:pPr>
        <w:pStyle w:val="ListParagraph"/>
        <w:numPr>
          <w:ilvl w:val="0"/>
          <w:numId w:val="4"/>
        </w:numPr>
        <w:spacing w:after="140" w:line="276"/>
      </w:pPr>
      <w:r>
        <w:rPr>
          <w:b/>
          <w:bCs/>
          <w:sz w:val="22"/>
          <w:szCs w:val="22"/>
        </w:rPr>
        <w:t xml:space="preserve">Fracture Critical Category I and Category II Parts (Section 6.2.5).</w:t>
      </w:r>
      <w:r>
        <w:rPr>
          <w:sz w:val="22"/>
          <w:szCs w:val="22"/>
        </w:rPr>
        <w:t xml:space="preserve"> The source for these two categories could not be confirmed in MIL-STD-882E. Verify the source document and cite the current revision. MIL-STD-882E now carries Change 1, dated 27 September 2023.</w:t>
      </w:r>
    </w:p>
    <w:p>
      <w:pPr>
        <w:pStyle w:val="ListParagraph"/>
        <w:numPr>
          <w:ilvl w:val="0"/>
          <w:numId w:val="4"/>
        </w:numPr>
        <w:spacing w:after="140" w:line="276"/>
      </w:pPr>
      <w:r>
        <w:rPr>
          <w:b/>
          <w:bCs/>
          <w:sz w:val="22"/>
          <w:szCs w:val="22"/>
        </w:rPr>
        <w:t xml:space="preserve">MIL-STD-1530 revision (Section 6.2.5).</w:t>
      </w:r>
      <w:r>
        <w:rPr>
          <w:sz w:val="22"/>
          <w:szCs w:val="22"/>
        </w:rPr>
        <w:t xml:space="preserve"> Confirm that MIL-STD-1530D with Change 1 keeps the MIL-STD-1530C structure, in which a fracture-critical part and a fracture-critical traceable part are separate categories with mutually exclusive definitions.</w:t>
      </w:r>
    </w:p>
    <w:p>
      <w:pPr>
        <w:pStyle w:val="ListParagraph"/>
        <w:numPr>
          <w:ilvl w:val="0"/>
          <w:numId w:val="4"/>
        </w:numPr>
        <w:spacing w:after="140" w:line="276"/>
      </w:pPr>
      <w:r>
        <w:rPr>
          <w:b/>
          <w:bCs/>
          <w:sz w:val="22"/>
          <w:szCs w:val="22"/>
        </w:rPr>
        <w:t xml:space="preserve">DoDI 8320.04 (Sections 6.2.4 and 6.2.11).</w:t>
      </w:r>
      <w:r>
        <w:rPr>
          <w:sz w:val="22"/>
          <w:szCs w:val="22"/>
        </w:rPr>
        <w:t xml:space="preserve"> Confirm the current revision and that it directs the primary inventory control activity to identify Critical Safety Items as DoD serially managed items. Consider citing DoDM 4140.01, Volume 11, which establishes the top-level procedures for managing aviation Critical Safety Items. The prior draft reference to “IUID 2.0” was removed. MIL-STD-130 governs UII construction and marking.</w:t>
      </w:r>
    </w:p>
    <w:p>
      <w:pPr>
        <w:pStyle w:val="ListParagraph"/>
        <w:numPr>
          <w:ilvl w:val="0"/>
          <w:numId w:val="4"/>
        </w:numPr>
        <w:spacing w:after="140" w:line="276"/>
      </w:pPr>
      <w:r>
        <w:rPr>
          <w:b/>
          <w:bCs/>
          <w:sz w:val="22"/>
          <w:szCs w:val="22"/>
        </w:rPr>
        <w:t xml:space="preserve">ESD references (Section 6.7.2).</w:t>
      </w:r>
      <w:r>
        <w:rPr>
          <w:sz w:val="22"/>
          <w:szCs w:val="22"/>
        </w:rPr>
        <w:t xml:space="preserve"> Confirm the status and revision letters of MIL-STD-1686 and DOD-HDBK-263. Both are legacy documents.</w:t>
      </w:r>
    </w:p>
    <w:p>
      <w:pPr>
        <w:pStyle w:val="ListParagraph"/>
        <w:numPr>
          <w:ilvl w:val="0"/>
          <w:numId w:val="4"/>
        </w:numPr>
        <w:spacing w:after="140" w:line="276"/>
      </w:pPr>
      <w:r>
        <w:rPr>
          <w:b/>
          <w:bCs/>
          <w:sz w:val="22"/>
          <w:szCs w:val="22"/>
        </w:rPr>
        <w:t xml:space="preserve">Higher-level drawing callouts (Sections 6.7.3 and 6.7.4).</w:t>
      </w:r>
      <w:r>
        <w:rPr>
          <w:sz w:val="22"/>
          <w:szCs w:val="22"/>
        </w:rPr>
        <w:t xml:space="preserve"> Explosive material part notes are always required on higher-level drawings. Radioactive material part notes are required on higher-level drawings only when Radiation Health Protection requests them. Confirm that this difference is intended.</w:t>
      </w:r>
    </w:p>
    <w:p>
      <w:pPr>
        <w:pStyle w:val="ListParagraph"/>
        <w:numPr>
          <w:ilvl w:val="0"/>
          <w:numId w:val="4"/>
        </w:numPr>
        <w:spacing w:after="140" w:line="276"/>
      </w:pPr>
      <w:r>
        <w:rPr>
          <w:b/>
          <w:bCs/>
          <w:sz w:val="22"/>
          <w:szCs w:val="22"/>
        </w:rPr>
        <w:t xml:space="preserve">Parent item level for IUID (Section 6.5.4).</w:t>
      </w:r>
      <w:r>
        <w:rPr>
          <w:sz w:val="22"/>
          <w:szCs w:val="22"/>
        </w:rPr>
        <w:t xml:space="preserve"> The contract identifies parent items. Confirm the coordination path between Design Engineering, Configuration Management, and the contracting activity for establishing which assembly is the parent item.</w:t>
      </w:r>
    </w:p>
    <w:p>
      <w:pPr>
        <w:pStyle w:val="ListParagraph"/>
        <w:numPr>
          <w:ilvl w:val="0"/>
          <w:numId w:val="4"/>
        </w:numPr>
        <w:spacing w:after="140" w:line="276"/>
      </w:pPr>
      <w:r>
        <w:rPr>
          <w:b/>
          <w:bCs/>
          <w:sz w:val="22"/>
          <w:szCs w:val="22"/>
        </w:rPr>
        <w:t xml:space="preserve">Section renumbering.</w:t>
      </w:r>
      <w:r>
        <w:rPr>
          <w:sz w:val="22"/>
          <w:szCs w:val="22"/>
        </w:rPr>
        <w:t xml:space="preserve"> This revision reorganizes Section 6. Requirement source definitions were consolidated into Section 6.2, where each item category is now defined once. Each part note code now has its own section. Check any document that cross-references the former Sections 6.1 through 6.5.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rFonts w:ascii="Symbol" w:cs="Symbol" w:eastAsia="Symbol" w:hAnsi="Symbol"/>
      </w:rPr>
    </w:lvl>
    <w:lvl w:ilvl="1" w15:tentative="1">
      <w:start w:val="1"/>
      <w:numFmt w:val="bullet"/>
      <w:lvlText w:val="o"/>
      <w:lvlJc w:val="left"/>
      <w:pPr>
        <w:ind w:left="1080" w:hanging="288"/>
      </w:pPr>
      <w:rPr>
        <w:rFonts w:ascii="Courier New" w:cs="Courier New" w:eastAsia="Courier New" w:hAnsi="Courier New"/>
      </w:rPr>
    </w:lvl>
    <w:lvl w:ilvl="2" w15:tentative="1">
      <w:start w:val="1"/>
      <w:numFmt w:val="bullet"/>
      <w:lvlText w:val="§"/>
      <w:lvlJc w:val="left"/>
      <w:pPr>
        <w:ind w:left="1656" w:hanging="288"/>
      </w:pPr>
      <w:rPr>
        <w:rFonts w:ascii="Wingdings" w:cs="Wingdings" w:eastAsia="Wingdings" w:hAnsi="Wingdings"/>
      </w:rPr>
    </w:lvl>
  </w:abstractNum>
  <w:abstractNum w:abstractNumId="3" w15:restartNumberingAfterBreak="0">
    <w:multiLevelType w:val="hybridMultilevel"/>
    <w:lvl w:ilvl="0" w15:tentative="1">
      <w:start w:val="1"/>
      <w:numFmt w:val="lowerLetter"/>
      <w:lvlText w:val="%1."/>
      <w:lvlJc w:val="left"/>
      <w:pPr>
        <w:ind w:left="792" w:hanging="431"/>
      </w:pPr>
    </w:lvl>
  </w:abstractNum>
  <w:abstractNum w:abstractNumId="4"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color w:val="000000"/>
    </w:rPr>
  </w:style>
  <w:style w:type="paragraph" w:styleId="Heading2">
    <w:name w:val="Heading 2"/>
    <w:basedOn w:val="Normal"/>
    <w:next w:val="Normal"/>
    <w:qFormat/>
    <w:rPr>
      <w:rFonts w:ascii="Calibri" w:cs="Calibri" w:eastAsia="Calibri" w:hAnsi="Calibri"/>
      <w:color w:val="00000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Note Codes for Traceable Parts and Product-Unit Records</dc:title>
  <dc:creator>Configuration Management</dc:creator>
  <dc:description>Revised Section 6 with the Item Unique Identification Required subsection added.</dc:description>
  <cp:lastModifiedBy>Un-named</cp:lastModifiedBy>
  <cp:revision>1</cp:revision>
  <dcterms:created xsi:type="dcterms:W3CDTF">2026-09-17T12:38:15.001Z</dcterms:created>
  <dcterms:modified xsi:type="dcterms:W3CDTF">2026-09-17T12:38:15.023Z</dcterms:modified>
</cp:coreProperties>
</file>

<file path=docProps/custom.xml><?xml version="1.0" encoding="utf-8"?>
<Properties xmlns="http://schemas.openxmlformats.org/officeDocument/2006/custom-properties" xmlns:vt="http://schemas.openxmlformats.org/officeDocument/2006/docPropsVTypes"/>
</file>