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sz w:val="22"/>
          <w:szCs w:val="22"/>
        </w:rPr>
        <w:t xml:space="preserve">Systems Engineering Division, Code 4.1</w:t>
      </w:r>
    </w:p>
    <w:p>
      <w:pPr>
        <w:jc w:val="center"/>
      </w:pPr>
      <w:r>
        <w:rPr>
          <w:rFonts w:ascii="Times New Roman" w:cs="Times New Roman" w:eastAsia="Times New Roman" w:hAnsi="Times New Roman"/>
          <w:b/>
          <w:bCs/>
          <w:sz w:val="56"/>
          <w:szCs w:val="56"/>
        </w:rPr>
        <w:t xml:space="preserve">Life Cycle</w:t>
      </w:r>
    </w:p>
    <w:p>
      <w:pPr>
        <w:jc w:val="center"/>
      </w:pPr>
      <w:r>
        <w:rPr>
          <w:rFonts w:ascii="Times New Roman" w:cs="Times New Roman" w:eastAsia="Times New Roman" w:hAnsi="Times New Roman"/>
          <w:b/>
          <w:bCs/>
          <w:sz w:val="56"/>
          <w:szCs w:val="56"/>
        </w:rPr>
        <w:t xml:space="preserve">Configuration Management Plan</w:t>
      </w:r>
    </w:p>
    <w:p>
      <w:pPr>
        <w:spacing w:after="400"/>
        <w:jc w:val="center"/>
      </w:pPr>
      <w:r>
        <w:rPr>
          <w:rFonts w:ascii="Times New Roman" w:cs="Times New Roman" w:eastAsia="Times New Roman" w:hAnsi="Times New Roman"/>
          <w:b/>
          <w:bCs/>
          <w:sz w:val="56"/>
          <w:szCs w:val="56"/>
        </w:rPr>
        <w:t xml:space="preserve">(CMP)</w:t>
      </w:r>
    </w:p>
    <w:p>
      <w:pPr>
        <w:spacing w:after="400"/>
        <w:jc w:val="center"/>
      </w:pPr>
      <w:r>
        <w:rPr>
          <w:rFonts w:ascii="Times New Roman" w:cs="Times New Roman" w:eastAsia="Times New Roman" w:hAnsi="Times New Roman"/>
          <w:b/>
          <w:bCs/>
          <w:sz w:val="56"/>
          <w:szCs w:val="56"/>
        </w:rPr>
        <w:t xml:space="preserve">01 SEP 2026</w:t>
      </w:r>
    </w:p>
    <w:p>
      <w:pPr>
        <w:spacing w:after="400"/>
        <w:jc w:val="center"/>
      </w:pPr>
      <w:r>
        <w:rPr>
          <w:rFonts w:ascii="Times New Roman" w:cs="Times New Roman" w:eastAsia="Times New Roman" w:hAnsi="Times New Roman"/>
          <w:b/>
          <w:bCs/>
          <w:sz w:val="56"/>
          <w:szCs w:val="56"/>
        </w:rPr>
        <w:t xml:space="preserve">v00.01</w:t>
      </w:r>
    </w:p>
    <w:p>
      <w:pPr>
        <w:spacing w:after="400"/>
        <w:jc w:val="center"/>
      </w:pPr>
      <w:r>
        <w:rPr>
          <w:rFonts w:ascii="Times New Roman" w:cs="Times New Roman" w:eastAsia="Times New Roman" w:hAnsi="Times New Roman"/>
          <w:b/>
          <w:bCs/>
          <w:sz w:val="56"/>
          <w:szCs w:val="56"/>
        </w:rPr>
        <w:t xml:space="preserve">DISTRIBUTION STATEMENT A. Approved for public release; distribution is unlimited.</w:t>
      </w:r>
    </w:p>
    <w:p>
      <w:r>
        <w:br w:type="page"/>
      </w:r>
    </w:p>
    <w:p>
      <w:pPr>
        <w:pStyle w:val="Heading1"/>
        <w:spacing w:after="120" w:before="240"/>
      </w:pPr>
      <w:r>
        <w:rPr>
          <w:rFonts w:ascii="Times New Roman" w:cs="Times New Roman" w:eastAsia="Times New Roman" w:hAnsi="Times New Roman"/>
          <w:b/>
          <w:bCs/>
          <w:sz w:val="28"/>
          <w:szCs w:val="28"/>
        </w:rPr>
        <w:t xml:space="preserve">Signature Page</w:t>
      </w:r>
    </w:p>
    <w:p>
      <w:pPr>
        <w:spacing w:after="120"/>
      </w:pPr>
      <w:r>
        <w:rPr>
          <w:rFonts w:ascii="Times New Roman" w:cs="Times New Roman" w:eastAsia="Times New Roman" w:hAnsi="Times New Roman"/>
          <w:sz w:val="22"/>
          <w:szCs w:val="22"/>
        </w:rPr>
        <w:t xml:space="preserve">NOTE: Three signatures recommended.</w:t>
      </w:r>
    </w:p>
    <w:p>
      <w:pPr>
        <w:spacing w:after="120"/>
      </w:pPr>
      <w:r>
        <w:rPr>
          <w:rFonts w:ascii="Times New Roman" w:cs="Times New Roman" w:eastAsia="Times New Roman" w:hAnsi="Times New Roman"/>
          <w:b/>
          <w:bCs/>
          <w:sz w:val="22"/>
          <w:szCs w:val="22"/>
        </w:rPr>
        <w:t xml:space="preserve">OWNER:</w:t>
      </w:r>
    </w:p>
    <w:p>
      <w:pPr>
        <w:spacing w:before="300"/>
      </w:pPr>
      <w:r>
        <w:rPr>
          <w:rFonts w:ascii="Times New Roman" w:cs="Times New Roman" w:eastAsia="Times New Roman" w:hAnsi="Times New Roman"/>
          <w:sz w:val="22"/>
          <w:szCs w:val="22"/>
        </w:rPr>
        <w:t xml:space="preserve">_________________________________________</w:t>
      </w:r>
    </w:p>
    <w:p>
      <w:pPr>
        <w:spacing w:after="120"/>
      </w:pPr>
      <w:r>
        <w:rPr>
          <w:rFonts w:ascii="Times New Roman" w:cs="Times New Roman" w:eastAsia="Times New Roman" w:hAnsi="Times New Roman"/>
          <w:sz w:val="22"/>
          <w:szCs w:val="22"/>
        </w:rPr>
        <w:t xml:space="preserve">Configuration Manager, Systems Engineering Division, Code 4.1          Date</w:t>
      </w:r>
    </w:p>
    <w:p>
      <w:pPr>
        <w:spacing w:after="120"/>
      </w:pPr>
      <w:r>
        <w:rPr>
          <w:rFonts w:ascii="Times New Roman" w:cs="Times New Roman" w:eastAsia="Times New Roman" w:hAnsi="Times New Roman"/>
          <w:b/>
          <w:bCs/>
          <w:sz w:val="22"/>
          <w:szCs w:val="22"/>
        </w:rPr>
        <w:t xml:space="preserve">USER:</w:t>
      </w:r>
    </w:p>
    <w:p>
      <w:pPr>
        <w:spacing w:before="300"/>
      </w:pPr>
      <w:r>
        <w:rPr>
          <w:rFonts w:ascii="Times New Roman" w:cs="Times New Roman" w:eastAsia="Times New Roman" w:hAnsi="Times New Roman"/>
          <w:sz w:val="22"/>
          <w:szCs w:val="22"/>
        </w:rPr>
        <w:t xml:space="preserve">_________________________________________</w:t>
      </w:r>
    </w:p>
    <w:p>
      <w:pPr>
        <w:spacing w:after="120"/>
      </w:pPr>
      <w:r>
        <w:rPr>
          <w:rFonts w:ascii="Times New Roman" w:cs="Times New Roman" w:eastAsia="Times New Roman" w:hAnsi="Times New Roman"/>
          <w:sz w:val="22"/>
          <w:szCs w:val="22"/>
        </w:rPr>
        <w:t xml:space="preserve">J. Smith, Systems Engineer, Code 4.1          Date</w:t>
      </w:r>
    </w:p>
    <w:p>
      <w:pPr>
        <w:spacing w:after="120"/>
      </w:pPr>
      <w:r>
        <w:rPr>
          <w:rFonts w:ascii="Times New Roman" w:cs="Times New Roman" w:eastAsia="Times New Roman" w:hAnsi="Times New Roman"/>
          <w:b/>
          <w:bCs/>
          <w:sz w:val="22"/>
          <w:szCs w:val="22"/>
        </w:rPr>
        <w:t xml:space="preserve">APPROVER:</w:t>
      </w:r>
    </w:p>
    <w:p>
      <w:pPr>
        <w:spacing w:before="300"/>
      </w:pPr>
      <w:r>
        <w:rPr>
          <w:rFonts w:ascii="Times New Roman" w:cs="Times New Roman" w:eastAsia="Times New Roman" w:hAnsi="Times New Roman"/>
          <w:sz w:val="22"/>
          <w:szCs w:val="22"/>
        </w:rPr>
        <w:t xml:space="preserve">_________________________________________</w:t>
      </w:r>
    </w:p>
    <w:p>
      <w:pPr>
        <w:spacing w:after="120"/>
      </w:pPr>
      <w:r>
        <w:rPr>
          <w:rFonts w:ascii="Times New Roman" w:cs="Times New Roman" w:eastAsia="Times New Roman" w:hAnsi="Times New Roman"/>
          <w:sz w:val="22"/>
          <w:szCs w:val="22"/>
        </w:rPr>
        <w:t xml:space="preserve">Program Manager, Systems Engineering Division, Code 4.1          Date</w:t>
      </w:r>
    </w:p>
    <w:p>
      <w:r>
        <w:br w:type="page"/>
      </w:r>
    </w:p>
    <w:p>
      <w:pPr>
        <w:pStyle w:val="Heading1"/>
        <w:spacing w:after="120" w:before="240"/>
      </w:pPr>
      <w:r>
        <w:rPr>
          <w:rFonts w:ascii="Times New Roman" w:cs="Times New Roman" w:eastAsia="Times New Roman" w:hAnsi="Times New Roman"/>
          <w:b/>
          <w:bCs/>
          <w:sz w:val="28"/>
          <w:szCs w:val="28"/>
        </w:rPr>
        <w:t xml:space="preserve">Change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900"/>
        <w:gridCol w:w="3460"/>
        <w:gridCol w:w="1200"/>
        <w:gridCol w:w="1200"/>
      </w:tblGrid>
      <w:tr>
        <w:trPr>
          <w:tblHeader/>
        </w:trPr>
        <w:tc>
          <w:tcPr>
            <w:tcW w:type="dxa" w:w="13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Version.Revision</w:t>
            </w:r>
          </w:p>
        </w:tc>
        <w:tc>
          <w:tcPr>
            <w:tcW w:type="dxa" w:w="13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Date</w:t>
            </w:r>
          </w:p>
        </w:tc>
        <w:tc>
          <w:tcPr>
            <w:tcW w:type="dxa" w:w="9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Action Code</w:t>
            </w:r>
          </w:p>
        </w:tc>
        <w:tc>
          <w:tcPr>
            <w:tcW w:type="dxa" w:w="34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Description of Change</w:t>
            </w:r>
          </w:p>
        </w:tc>
        <w:tc>
          <w:tcPr>
            <w:tcW w:type="dxa" w:w="12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Change Request No.*</w:t>
            </w:r>
          </w:p>
        </w:tc>
        <w:tc>
          <w:tcPr>
            <w:tcW w:type="dxa" w:w="12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Changed By</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13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v00.01</w:t>
            </w:r>
          </w:p>
        </w:tc>
        <w:tc>
          <w:tcPr>
            <w:tcW w:type="dxa" w:w="13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01 SEP 2026</w:t>
            </w:r>
          </w:p>
        </w:tc>
        <w:tc>
          <w:tcPr>
            <w:tcW w:type="dxa" w:w="9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A</w:t>
            </w:r>
          </w:p>
        </w:tc>
        <w:tc>
          <w:tcPr>
            <w:tcW w:type="dxa" w:w="34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Initial release</w:t>
            </w:r>
          </w:p>
        </w:tc>
        <w:tc>
          <w:tcPr>
            <w:tcW w:type="dxa" w:w="12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NR</w:t>
            </w:r>
          </w:p>
        </w:tc>
        <w:tc>
          <w:tcPr>
            <w:tcW w:type="dxa" w:w="12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J. Smith</w:t>
            </w:r>
          </w:p>
        </w:tc>
      </w:tr>
    </w:tbl>
    <w:p>
      <w:pPr>
        <w:spacing w:after="120" w:before="120"/>
      </w:pPr>
      <w:r>
        <w:rPr>
          <w:rFonts w:ascii="Times New Roman" w:cs="Times New Roman" w:eastAsia="Times New Roman" w:hAnsi="Times New Roman"/>
          <w:sz w:val="18"/>
          <w:szCs w:val="18"/>
        </w:rPr>
        <w:t xml:space="preserve">Action Code Legend: A – Add, C – Change, D – Delete.  *Enter NR in the Change Request Number column for all draft documents.</w:t>
      </w:r>
    </w:p>
    <w:p>
      <w:pPr>
        <w:spacing w:after="120"/>
      </w:pPr>
      <w:r>
        <w:rPr>
          <w:rFonts w:ascii="Times New Roman" w:cs="Times New Roman" w:eastAsia="Times New Roman" w:hAnsi="Times New Roman"/>
          <w:sz w:val="22"/>
          <w:szCs w:val="22"/>
        </w:rPr>
        <w:t xml:space="preserve">Please submit any comments or updates to the Configuration Manager Code 4.1.2 at 555-0100, cm@example.mil.</w:t>
      </w:r>
    </w:p>
    <w:p>
      <w:r>
        <w:br w:type="page"/>
      </w:r>
    </w:p>
    <w:p>
      <w:pPr>
        <w:pStyle w:val="Heading1"/>
        <w:spacing w:after="120" w:before="24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b/>
          <w:bCs/>
          <w:sz w:val="28"/>
          <w:szCs w:val="28"/>
        </w:rPr>
        <w:t xml:space="preserve">1.0 Executive Summary</w:t>
      </w:r>
    </w:p>
    <w:p>
      <w:pPr>
        <w:pStyle w:val="Heading2"/>
        <w:spacing w:after="100" w:before="200"/>
      </w:pPr>
      <w:r>
        <w:rPr>
          <w:rFonts w:ascii="Times New Roman" w:cs="Times New Roman" w:eastAsia="Times New Roman" w:hAnsi="Times New Roman"/>
          <w:b/>
          <w:bCs/>
          <w:sz w:val="24"/>
          <w:szCs w:val="24"/>
        </w:rPr>
        <w:t xml:space="preserve">1.1 Introduction</w:t>
      </w:r>
    </w:p>
    <w:p>
      <w:pPr>
        <w:spacing w:after="120"/>
      </w:pPr>
      <w:r>
        <w:rPr>
          <w:rFonts w:ascii="Times New Roman" w:cs="Times New Roman" w:eastAsia="Times New Roman" w:hAnsi="Times New Roman"/>
          <w:sz w:val="22"/>
          <w:szCs w:val="22"/>
        </w:rPr>
        <w:t xml:space="preserve">This Configuration Management Plan (CMP) specifies the requirements for performing configuration management on Program XYZ at Systems Engineering Division, Code 4.1. It assigns responsibilities, defines roles, and describes the approach to satisfying the Life Cycle CM Organizational Standard Process and other higher-level CM requirements, including the CM floor requirements in Section 7.</w:t>
      </w:r>
    </w:p>
    <w:p>
      <w:pPr>
        <w:pStyle w:val="Heading2"/>
        <w:spacing w:after="100" w:before="200"/>
      </w:pPr>
      <w:r>
        <w:rPr>
          <w:rFonts w:ascii="Times New Roman" w:cs="Times New Roman" w:eastAsia="Times New Roman" w:hAnsi="Times New Roman"/>
          <w:b/>
          <w:bCs/>
          <w:sz w:val="24"/>
          <w:szCs w:val="24"/>
        </w:rPr>
        <w:t xml:space="preserve">1.2 Scope</w:t>
      </w:r>
    </w:p>
    <w:p>
      <w:pPr>
        <w:spacing w:after="120"/>
      </w:pPr>
      <w:r>
        <w:rPr>
          <w:rFonts w:ascii="Times New Roman" w:cs="Times New Roman" w:eastAsia="Times New Roman" w:hAnsi="Times New Roman"/>
          <w:sz w:val="22"/>
          <w:szCs w:val="22"/>
        </w:rPr>
        <w:t xml:space="preserve">This CMP is mandatory for all Systems Engineering Division, Code 4.1 personnel supporting Program XYZ. Contractors and suppliers, whether industry or government, shall comply with this plan when delivering end items, data, or documents for inclusion in the technical baseline. Its requirements apply to all life cycle phases, including installation and disposal, and to all flight-critical hardware and software product lines.</w:t>
      </w:r>
    </w:p>
    <w:p>
      <w:pPr>
        <w:pStyle w:val="Heading2"/>
        <w:spacing w:after="100" w:before="200"/>
      </w:pPr>
      <w:r>
        <w:rPr>
          <w:rFonts w:ascii="Times New Roman" w:cs="Times New Roman" w:eastAsia="Times New Roman" w:hAnsi="Times New Roman"/>
          <w:b/>
          <w:bCs/>
          <w:sz w:val="24"/>
          <w:szCs w:val="24"/>
        </w:rPr>
        <w:t xml:space="preserve">1.3 Purpose</w:t>
      </w:r>
    </w:p>
    <w:p>
      <w:pPr>
        <w:spacing w:after="120"/>
      </w:pPr>
      <w:r>
        <w:rPr>
          <w:rFonts w:ascii="Times New Roman" w:cs="Times New Roman" w:eastAsia="Times New Roman" w:hAnsi="Times New Roman"/>
          <w:sz w:val="22"/>
          <w:szCs w:val="22"/>
        </w:rPr>
        <w:t xml:space="preserve">The purpose of this CMP is to describe how configuration management is conducted throughout the Program XYZ life cycle: how CM is managed and resourced, who holds which roles and responsibilities, how configuration items and their changes are identified, classified, approved, released, recorded, and verified, and how CM status is communicated to stakeholders.</w:t>
      </w:r>
    </w:p>
    <w:p>
      <w:pPr>
        <w:pStyle w:val="Heading2"/>
        <w:spacing w:after="100" w:before="200"/>
      </w:pPr>
      <w:r>
        <w:rPr>
          <w:rFonts w:ascii="Times New Roman" w:cs="Times New Roman" w:eastAsia="Times New Roman" w:hAnsi="Times New Roman"/>
          <w:b/>
          <w:bCs/>
          <w:sz w:val="24"/>
          <w:szCs w:val="24"/>
        </w:rPr>
        <w:t xml:space="preserve">1.4 CM Floor Requirements Basis</w:t>
      </w:r>
    </w:p>
    <w:p>
      <w:pPr>
        <w:spacing w:after="120"/>
      </w:pPr>
      <w:r>
        <w:rPr>
          <w:rFonts w:ascii="Times New Roman" w:cs="Times New Roman" w:eastAsia="Times New Roman" w:hAnsi="Times New Roman"/>
          <w:sz w:val="22"/>
          <w:szCs w:val="22"/>
        </w:rPr>
        <w:t xml:space="preserve">This CMP incorporates the CM floor: the discrete EIA-649-1A "shall" statements obligated through the SMS pathway. These requirements are performed on all safety-significant product lines regardless of contract flow-down, or are replaced by documented equivalent controls. Principle statements (CCM-, CSA-, CI-, CVA-) in EIA-649-1A are non-normative rationale and are not floor. Each floor requirement carries an inclusion category: Clean (applies as written), Judgment (application requires documented organizational judgment), or Conditional (applies only when the stated condition exists). Section 7 states how each floor requirement is implemented; Appendix Q provides the full traceability matrix to barriers and SM-0001 hazards.</w:t>
      </w:r>
    </w:p>
    <w:p>
      <w:pPr>
        <w:spacing w:after="120"/>
      </w:pPr>
      <w:r>
        <w:rPr>
          <w:rFonts w:ascii="Times New Roman" w:cs="Times New Roman" w:eastAsia="Times New Roman" w:hAnsi="Times New Roman"/>
          <w:sz w:val="22"/>
          <w:szCs w:val="22"/>
        </w:rPr>
        <w:t xml:space="preserve">The CM floor applies to all flight-critical hardware and software product lines. Each floor requirement is performed on those product lines regardless of contract flow-down, or is replaced by a documented equivalent control approved by the CM Technical Process Owner and recorded before it is relied upon.</w:t>
      </w:r>
    </w:p>
    <w:p>
      <w:pPr>
        <w:spacing w:after="120"/>
      </w:pPr>
      <w:r>
        <w:t>The floor disposition record — the per-requirement determination that each floor requirement is performed, replaced by a documented equivalent control, or formally risk-accepted, together with its evidence or risk-acceptance reference, its health check, and its sign-off — is maintained as structured, queryable records outside this document. Appendix Q is the static traceability baseline; the disposition record is the living compliance evidence. A disposition record kept only as a table inside this plan cannot be queried, and the floor coverage measures cannot be computed from it.</w:t>
      </w:r>
    </w:p>
    <w:p>
      <w:pPr>
        <w:spacing w:after="120"/>
      </w:pPr>
      <w:r>
        <w:t xml:space="preserve">The floor disposition record is maintained in the CM floor register in Jira as structured, queryable records and is owned by the Configuration Manager. Each record carries the disposition (performed, documented equivalent control, or risk accepted), the evidence or risk-acceptance reference, the health check result, the next-due date, and the sign-off. Health checks are performed quarterly. the CM Technical Process Owner approves each documented equivalent control; risk acceptances are approved at the level required for the severity band of the hazard affected.</w:t>
      </w:r>
    </w:p>
    <w:p>
      <w:r>
        <w:br w:type="page"/>
      </w:r>
    </w:p>
    <w:p>
      <w:pPr>
        <w:pStyle w:val="Heading1"/>
        <w:spacing w:after="120" w:before="240"/>
      </w:pPr>
      <w:r>
        <w:rPr>
          <w:rFonts w:ascii="Times New Roman" w:cs="Times New Roman" w:eastAsia="Times New Roman" w:hAnsi="Times New Roman"/>
          <w:b/>
          <w:bCs/>
          <w:sz w:val="28"/>
          <w:szCs w:val="28"/>
        </w:rPr>
        <w:t xml:space="preserve">2.0 Configuration Management Functions &amp; Principles</w:t>
      </w:r>
    </w:p>
    <w:p>
      <w:pPr>
        <w:pStyle w:val="Heading2"/>
        <w:spacing w:after="100" w:before="200"/>
      </w:pPr>
      <w:r>
        <w:rPr>
          <w:rFonts w:ascii="Times New Roman" w:cs="Times New Roman" w:eastAsia="Times New Roman" w:hAnsi="Times New Roman"/>
          <w:b/>
          <w:bCs/>
          <w:sz w:val="24"/>
          <w:szCs w:val="24"/>
        </w:rPr>
        <w:t xml:space="preserve">2.1 Configuration Management</w:t>
      </w:r>
    </w:p>
    <w:p>
      <w:pPr>
        <w:pStyle w:val="Heading3"/>
        <w:spacing w:after="80" w:before="160"/>
      </w:pPr>
      <w:r>
        <w:rPr>
          <w:rFonts w:ascii="Times New Roman" w:cs="Times New Roman" w:eastAsia="Times New Roman" w:hAnsi="Times New Roman"/>
          <w:b/>
          <w:bCs/>
          <w:sz w:val="22"/>
          <w:szCs w:val="22"/>
        </w:rPr>
        <w:t xml:space="preserve">2.1.1 Function</w:t>
      </w:r>
    </w:p>
    <w:p>
      <w:pPr>
        <w:spacing w:after="120"/>
      </w:pPr>
      <w:r>
        <w:rPr>
          <w:rFonts w:ascii="Times New Roman" w:cs="Times New Roman" w:eastAsia="Times New Roman" w:hAnsi="Times New Roman"/>
          <w:sz w:val="22"/>
          <w:szCs w:val="22"/>
        </w:rPr>
        <w:t xml:space="preserve">A disciplined process that provides a common and structured approach necessary to minimize variation in establishing and maintaining consistency between a product or service function, requirements, performance, physical attributes and its design and operational information, applying management and planning, configuration identification, configuration control, configuration status accounting, and configuration verification and audit functions in a closed-loop process throughout its life cycle.</w:t>
      </w:r>
    </w:p>
    <w:p>
      <w:pPr>
        <w:pStyle w:val="Heading3"/>
        <w:spacing w:after="80" w:before="160"/>
      </w:pPr>
      <w:r>
        <w:rPr>
          <w:rFonts w:ascii="Times New Roman" w:cs="Times New Roman" w:eastAsia="Times New Roman" w:hAnsi="Times New Roman"/>
          <w:b/>
          <w:bCs/>
          <w:sz w:val="22"/>
          <w:szCs w:val="22"/>
        </w:rPr>
        <w:t xml:space="preserve">2.1.2 Principle</w:t>
      </w:r>
    </w:p>
    <w:p>
      <w:pPr>
        <w:spacing w:after="120"/>
      </w:pPr>
      <w:r>
        <w:rPr>
          <w:rFonts w:ascii="Times New Roman" w:cs="Times New Roman" w:eastAsia="Times New Roman" w:hAnsi="Times New Roman"/>
          <w:sz w:val="22"/>
          <w:szCs w:val="22"/>
        </w:rPr>
        <w:t xml:space="preserve">Configuration Management implementation requires a balanced and continuous application of CM functions and their underlying principles throughout the life cycle.</w:t>
      </w:r>
    </w:p>
    <w:p>
      <w:pPr>
        <w:pStyle w:val="Heading3"/>
        <w:spacing w:after="80" w:before="160"/>
      </w:pPr>
      <w:r>
        <w:rPr>
          <w:rFonts w:ascii="Times New Roman" w:cs="Times New Roman" w:eastAsia="Times New Roman" w:hAnsi="Times New Roman"/>
          <w:b/>
          <w:bCs/>
          <w:sz w:val="22"/>
          <w:szCs w:val="22"/>
        </w:rPr>
        <w:t xml:space="preserve">2.1.3 Activity</w:t>
      </w:r>
    </w:p>
    <w:p>
      <w:pPr>
        <w:spacing w:after="120"/>
      </w:pPr>
      <w:r>
        <w:rPr>
          <w:rFonts w:ascii="Times New Roman" w:cs="Times New Roman" w:eastAsia="Times New Roman" w:hAnsi="Times New Roman"/>
          <w:sz w:val="22"/>
          <w:szCs w:val="22"/>
        </w:rPr>
        <w:t xml:space="preserve">All five CM functions — planning and management, identification, change control, status accounting, and verification and audit — are applied to Program XYZ as a closed-loop process. This section gives overarching guidance for each function; Sections 5 and 6 map them to life cycle phase tasks and deliverables, and Section 7 records how each CM floor requirement is satisfied.</w:t>
      </w:r>
    </w:p>
    <w:p>
      <w:pPr>
        <w:pStyle w:val="Heading2"/>
        <w:spacing w:after="100" w:before="200"/>
      </w:pPr>
      <w:r>
        <w:rPr>
          <w:rFonts w:ascii="Times New Roman" w:cs="Times New Roman" w:eastAsia="Times New Roman" w:hAnsi="Times New Roman"/>
          <w:b/>
          <w:bCs/>
          <w:sz w:val="24"/>
          <w:szCs w:val="24"/>
        </w:rPr>
        <w:t xml:space="preserve">2.2 Configuration Management &amp; Planning</w:t>
      </w:r>
    </w:p>
    <w:p>
      <w:pPr>
        <w:pStyle w:val="Heading3"/>
        <w:spacing w:after="80" w:before="160"/>
      </w:pPr>
      <w:r>
        <w:rPr>
          <w:rFonts w:ascii="Times New Roman" w:cs="Times New Roman" w:eastAsia="Times New Roman" w:hAnsi="Times New Roman"/>
          <w:b/>
          <w:bCs/>
          <w:sz w:val="22"/>
          <w:szCs w:val="22"/>
        </w:rPr>
        <w:t xml:space="preserve">2.2.1 Function</w:t>
      </w:r>
    </w:p>
    <w:p>
      <w:pPr>
        <w:spacing w:after="120"/>
      </w:pPr>
      <w:r>
        <w:rPr>
          <w:rFonts w:ascii="Times New Roman" w:cs="Times New Roman" w:eastAsia="Times New Roman" w:hAnsi="Times New Roman"/>
          <w:sz w:val="22"/>
          <w:szCs w:val="22"/>
        </w:rPr>
        <w:t xml:space="preserve">A planned, established, and managed repeatable process that is applied across all CM pillar functions, documented in a CM Plan that includes continuous improvement in all phases of a life cycle for processes, products and services.</w:t>
      </w:r>
    </w:p>
    <w:p>
      <w:pPr>
        <w:pStyle w:val="Heading3"/>
        <w:spacing w:after="80" w:before="160"/>
      </w:pPr>
      <w:r>
        <w:rPr>
          <w:rFonts w:ascii="Times New Roman" w:cs="Times New Roman" w:eastAsia="Times New Roman" w:hAnsi="Times New Roman"/>
          <w:b/>
          <w:bCs/>
          <w:sz w:val="22"/>
          <w:szCs w:val="22"/>
        </w:rPr>
        <w:t xml:space="preserve">2.2.2 Principle</w:t>
      </w:r>
    </w:p>
    <w:p>
      <w:pPr>
        <w:spacing w:after="120"/>
      </w:pPr>
      <w:r>
        <w:rPr>
          <w:rFonts w:ascii="Times New Roman" w:cs="Times New Roman" w:eastAsia="Times New Roman" w:hAnsi="Times New Roman"/>
          <w:sz w:val="22"/>
          <w:szCs w:val="22"/>
        </w:rPr>
        <w:t xml:space="preserve">The organization will implement CM throughout the applicable phases of the life cycle to provide consistency among the product, platform, requirements, information, and the contractors/suppliers. Training and periodic assessment of the effectiveness of CM procedures and tools and of compliance with the CMP maintains the health of the CM process.</w:t>
      </w:r>
    </w:p>
    <w:p>
      <w:pPr>
        <w:pStyle w:val="Heading3"/>
        <w:spacing w:after="80" w:before="160"/>
      </w:pPr>
      <w:r>
        <w:rPr>
          <w:rFonts w:ascii="Times New Roman" w:cs="Times New Roman" w:eastAsia="Times New Roman" w:hAnsi="Times New Roman"/>
          <w:b/>
          <w:bCs/>
          <w:sz w:val="22"/>
          <w:szCs w:val="22"/>
        </w:rPr>
        <w:t xml:space="preserve">2.2.3 Activity</w:t>
      </w:r>
    </w:p>
    <w:p>
      <w:pPr>
        <w:spacing w:after="120"/>
      </w:pPr>
      <w:r>
        <w:rPr>
          <w:rFonts w:ascii="Times New Roman" w:cs="Times New Roman" w:eastAsia="Times New Roman" w:hAnsi="Times New Roman"/>
          <w:sz w:val="22"/>
          <w:szCs w:val="22"/>
        </w:rPr>
        <w:t xml:space="preserve">The CM process for Program XYZ is documented in this plan, reviewed at least annually, and reviewed on any change of scope, tooling, organization, or contract. CM training, periodic process assessment, and continuous improvement actions are tracked by the Configuration Manager and reported through the measures defined in Appendix O.</w:t>
      </w:r>
    </w:p>
    <w:p>
      <w:pPr>
        <w:spacing w:after="120"/>
      </w:pPr>
      <w:r>
        <w:rPr>
          <w:rFonts w:ascii="Times New Roman" w:cs="Times New Roman" w:eastAsia="Times New Roman" w:hAnsi="Times New Roman"/>
          <w:sz w:val="22"/>
          <w:szCs w:val="22"/>
        </w:rPr>
        <w:t xml:space="preserve">Enterprise-standard CM measures are reported monthly for Program XYZ and are comparable across programs; program-specific measures are added by the Configuration Manager where a local risk warrants. For each measure this plan records the organization whose activity is measured, the numerator and denominator, the source system, the reporting frequency, and the threshold; the definitions are held in Appendix O and the data are drawn from Teamcenter. Where a measure depends on a review or a signature, the signature attests that the review occurred and that the reviewed content was found adequate; that attestation is defined before the measure is first reported.</w:t>
      </w:r>
    </w:p>
    <w:p>
      <w:pPr>
        <w:spacing w:after="120"/>
      </w:pPr>
      <w:r>
        <w:rPr>
          <w:rFonts w:ascii="Times New Roman" w:cs="Times New Roman" w:eastAsia="Times New Roman" w:hAnsi="Times New Roman"/>
          <w:sz w:val="22"/>
          <w:szCs w:val="22"/>
        </w:rPr>
        <w:t xml:space="preserve">Safety-floor coverage is reported two ways and the two are never combined: a severity-weighted coverage percentage for trend, and an unweighted count of undispositioned top-band floor requirements as the safety-exposure measure, with a target of zero. The share of coverage achieved by risk acceptance rather than by performance is reported separately. A nonzero count of undispositioned top-band requirements is reported as a finding regardless of the coverage percentage.</w:t>
      </w:r>
    </w:p>
    <w:p>
      <w:pPr>
        <w:pStyle w:val="Heading2"/>
        <w:spacing w:after="100" w:before="200"/>
      </w:pPr>
      <w:r>
        <w:rPr>
          <w:rFonts w:ascii="Times New Roman" w:cs="Times New Roman" w:eastAsia="Times New Roman" w:hAnsi="Times New Roman"/>
          <w:b/>
          <w:bCs/>
          <w:sz w:val="24"/>
          <w:szCs w:val="24"/>
        </w:rPr>
        <w:t xml:space="preserve">2.3 Configuration Identification</w:t>
      </w:r>
    </w:p>
    <w:p>
      <w:pPr>
        <w:pStyle w:val="Heading3"/>
        <w:spacing w:after="80" w:before="160"/>
      </w:pPr>
      <w:r>
        <w:rPr>
          <w:rFonts w:ascii="Times New Roman" w:cs="Times New Roman" w:eastAsia="Times New Roman" w:hAnsi="Times New Roman"/>
          <w:b/>
          <w:bCs/>
          <w:sz w:val="22"/>
          <w:szCs w:val="22"/>
        </w:rPr>
        <w:t xml:space="preserve">2.3.1 Function</w:t>
      </w:r>
    </w:p>
    <w:p>
      <w:pPr>
        <w:spacing w:after="120"/>
      </w:pPr>
      <w:r>
        <w:rPr>
          <w:rFonts w:ascii="Times New Roman" w:cs="Times New Roman" w:eastAsia="Times New Roman" w:hAnsi="Times New Roman"/>
          <w:sz w:val="22"/>
          <w:szCs w:val="22"/>
        </w:rPr>
        <w:t xml:space="preserve">The CM function that selects, defines, documents, and baselines product and service attributes and assigns unique identifiers to processes, products and services, and associated configuration information throughout the lifecycle.</w:t>
      </w:r>
    </w:p>
    <w:p>
      <w:pPr>
        <w:pStyle w:val="Heading3"/>
        <w:spacing w:after="80" w:before="160"/>
      </w:pPr>
      <w:r>
        <w:rPr>
          <w:rFonts w:ascii="Times New Roman" w:cs="Times New Roman" w:eastAsia="Times New Roman" w:hAnsi="Times New Roman"/>
          <w:b/>
          <w:bCs/>
          <w:sz w:val="22"/>
          <w:szCs w:val="22"/>
        </w:rPr>
        <w:t xml:space="preserve">2.3.2 Principle</w:t>
      </w:r>
    </w:p>
    <w:p>
      <w:pPr>
        <w:spacing w:after="120"/>
      </w:pPr>
      <w:r>
        <w:rPr>
          <w:rFonts w:ascii="Times New Roman" w:cs="Times New Roman" w:eastAsia="Times New Roman" w:hAnsi="Times New Roman"/>
          <w:sz w:val="22"/>
          <w:szCs w:val="22"/>
        </w:rPr>
        <w:t xml:space="preserve">Configuration identification is the basis from which the configuration of products is defined, structured, and labeled to provide traceability throughout the product life cycle. All documents reflecting product performance, functional, or physical requirements and other product information are uniquely identified in a baseline so that they can be correctly associated with the applicable configuration of the product.</w:t>
      </w:r>
    </w:p>
    <w:p>
      <w:pPr>
        <w:pStyle w:val="Heading3"/>
        <w:spacing w:after="80" w:before="160"/>
      </w:pPr>
      <w:r>
        <w:rPr>
          <w:rFonts w:ascii="Times New Roman" w:cs="Times New Roman" w:eastAsia="Times New Roman" w:hAnsi="Times New Roman"/>
          <w:b/>
          <w:bCs/>
          <w:sz w:val="22"/>
          <w:szCs w:val="22"/>
        </w:rPr>
        <w:t xml:space="preserve">2.3.3 Activity</w:t>
      </w:r>
    </w:p>
    <w:p>
      <w:pPr>
        <w:spacing w:after="120"/>
      </w:pPr>
      <w:r>
        <w:rPr>
          <w:rFonts w:ascii="Times New Roman" w:cs="Times New Roman" w:eastAsia="Times New Roman" w:hAnsi="Times New Roman"/>
          <w:sz w:val="22"/>
          <w:szCs w:val="22"/>
        </w:rPr>
        <w:t xml:space="preserve">Configuration identification for Program XYZ is a coordinated effort by the program office, systems engineering, logistics, the Configuration Manager, and the supplier(s). CI selection criteria — including selection as a CI of any item whose failure could cause serious injury, loss of life, or loss of primary system capability (F01) — are documented in Appendix B. Document typing, identifier issuance, version and revision schemes, and the CI hierarchy are controlled in Teamcenter; baselines are established at the milestones listed in Sections 5 and 6 and recorded in the baseline reports of Appendix C.</w:t>
      </w:r>
    </w:p>
    <w:p>
      <w:pPr>
        <w:pStyle w:val="Heading3"/>
        <w:spacing w:after="80" w:before="160"/>
      </w:pPr>
      <w:r>
        <w:rPr>
          <w:rFonts w:ascii="Times New Roman" w:cs="Times New Roman" w:eastAsia="Times New Roman" w:hAnsi="Times New Roman"/>
          <w:b/>
          <w:bCs/>
          <w:sz w:val="22"/>
          <w:szCs w:val="22"/>
        </w:rPr>
        <w:t xml:space="preserve">2.3.4 CM Floor Requirements Applicable to this Function</w:t>
      </w:r>
    </w:p>
    <w:p>
      <w:pPr>
        <w:spacing w:after="120"/>
      </w:pPr>
      <w:r>
        <w:rPr>
          <w:rFonts w:ascii="Times New Roman" w:cs="Times New Roman" w:eastAsia="Times New Roman" w:hAnsi="Times New Roman"/>
          <w:sz w:val="22"/>
          <w:szCs w:val="22"/>
        </w:rPr>
        <w:t xml:space="preserve">Floor requirements F01 (safety-critical CI selection) and F35–F37 (interface requirement identification, incorporation into FCD/ACD/PCD, and configuration control of baselined interfaces) are implemented through this function. See Section 7.1 and 7.4.</w:t>
      </w:r>
    </w:p>
    <w:p>
      <w:pPr>
        <w:pStyle w:val="Heading2"/>
        <w:spacing w:after="100" w:before="200"/>
      </w:pPr>
      <w:r>
        <w:rPr>
          <w:rFonts w:ascii="Times New Roman" w:cs="Times New Roman" w:eastAsia="Times New Roman" w:hAnsi="Times New Roman"/>
          <w:b/>
          <w:bCs/>
          <w:sz w:val="24"/>
          <w:szCs w:val="24"/>
        </w:rPr>
        <w:t xml:space="preserve">2.4 Configuration Control</w:t>
      </w:r>
    </w:p>
    <w:p>
      <w:pPr>
        <w:pStyle w:val="Heading3"/>
        <w:spacing w:after="80" w:before="160"/>
      </w:pPr>
      <w:r>
        <w:rPr>
          <w:rFonts w:ascii="Times New Roman" w:cs="Times New Roman" w:eastAsia="Times New Roman" w:hAnsi="Times New Roman"/>
          <w:b/>
          <w:bCs/>
          <w:sz w:val="22"/>
          <w:szCs w:val="22"/>
        </w:rPr>
        <w:t xml:space="preserve">2.4.1 Function</w:t>
      </w:r>
    </w:p>
    <w:p>
      <w:pPr>
        <w:spacing w:after="120"/>
      </w:pPr>
      <w:r>
        <w:rPr>
          <w:rFonts w:ascii="Times New Roman" w:cs="Times New Roman" w:eastAsia="Times New Roman" w:hAnsi="Times New Roman"/>
          <w:sz w:val="22"/>
          <w:szCs w:val="22"/>
        </w:rPr>
        <w:t xml:space="preserve">The CM function that ensures a consistent systematic change process establishes and maintains control of configuration baselines, and that changes to processes, products, and services are properly identified, recorded, evaluated, approved or disapproved, incorporated and verified as appropriate.</w:t>
      </w:r>
    </w:p>
    <w:p>
      <w:pPr>
        <w:pStyle w:val="Heading3"/>
        <w:spacing w:after="80" w:before="160"/>
      </w:pPr>
      <w:r>
        <w:rPr>
          <w:rFonts w:ascii="Times New Roman" w:cs="Times New Roman" w:eastAsia="Times New Roman" w:hAnsi="Times New Roman"/>
          <w:b/>
          <w:bCs/>
          <w:sz w:val="22"/>
          <w:szCs w:val="22"/>
        </w:rPr>
        <w:t xml:space="preserve">2.4.2 Principle</w:t>
      </w:r>
    </w:p>
    <w:p>
      <w:pPr>
        <w:spacing w:after="120"/>
      </w:pPr>
      <w:r>
        <w:rPr>
          <w:rFonts w:ascii="Times New Roman" w:cs="Times New Roman" w:eastAsia="Times New Roman" w:hAnsi="Times New Roman"/>
          <w:sz w:val="22"/>
          <w:szCs w:val="22"/>
        </w:rPr>
        <w:t xml:space="preserve">Product and document changes are accomplished using a systematic, measurable change process. Classification of a requested change determines the appropriate level of review and the applicable change approval authority. A unique change identifier enables tracking of the change request and the status of implementation and verification of the approved change.</w:t>
      </w:r>
    </w:p>
    <w:p>
      <w:pPr>
        <w:pStyle w:val="Heading3"/>
        <w:spacing w:after="80" w:before="160"/>
      </w:pPr>
      <w:r>
        <w:rPr>
          <w:rFonts w:ascii="Times New Roman" w:cs="Times New Roman" w:eastAsia="Times New Roman" w:hAnsi="Times New Roman"/>
          <w:b/>
          <w:bCs/>
          <w:sz w:val="22"/>
          <w:szCs w:val="22"/>
        </w:rPr>
        <w:t xml:space="preserve">2.4.3 Activity</w:t>
      </w:r>
    </w:p>
    <w:p>
      <w:pPr>
        <w:spacing w:after="120"/>
      </w:pPr>
      <w:r>
        <w:rPr>
          <w:rFonts w:ascii="Times New Roman" w:cs="Times New Roman" w:eastAsia="Times New Roman" w:hAnsi="Times New Roman"/>
          <w:sz w:val="22"/>
          <w:szCs w:val="22"/>
        </w:rPr>
        <w:t xml:space="preserve">Changes to Program XYZ baselines are processed through the Configuration Control Board (CCB) under the charter in Appendix E, using the change request process in Appendix F. Every engineering change is classified Major (Class I) or Minor (Class II) (F02), and any change affecting safety is treated as Major (F03). Changes are documented on an engineering change proposal, notice of revision, or request for variance as applicable; evaluated for technical, cost, schedule, safety, and interface impact; dispositioned by the change approval authority; recorded in status accounting (F07); released through the documented engineering release system (F13); and verified as incorporated (F09, F15). Acquirer concurrence is obtained on Minor/Class II classification (F05), and the Acquirer participates in the Configuration Control Board (CCB) where a joint board applies (F04).</w:t>
      </w:r>
    </w:p>
    <w:p>
      <w:pPr>
        <w:pStyle w:val="Heading3"/>
        <w:spacing w:after="80" w:before="160"/>
      </w:pPr>
      <w:r>
        <w:rPr>
          <w:rFonts w:ascii="Times New Roman" w:cs="Times New Roman" w:eastAsia="Times New Roman" w:hAnsi="Times New Roman"/>
          <w:b/>
          <w:bCs/>
          <w:sz w:val="22"/>
          <w:szCs w:val="22"/>
        </w:rPr>
        <w:t xml:space="preserve">2.4.4 CM Floor Requirements Applicable to this Function</w:t>
      </w:r>
    </w:p>
    <w:p>
      <w:pPr>
        <w:spacing w:after="120"/>
      </w:pPr>
      <w:r>
        <w:rPr>
          <w:rFonts w:ascii="Times New Roman" w:cs="Times New Roman" w:eastAsia="Times New Roman" w:hAnsi="Times New Roman"/>
          <w:sz w:val="22"/>
          <w:szCs w:val="22"/>
        </w:rPr>
        <w:t xml:space="preserve">The bulk of the CM floor lands in this function: F02–F05 (change classification and joint CCB), F06–F13, F15–F23 (change discipline, ECP/NOR/variance processing, release, and incorporation verification), and F37 (interface baseline control). See Sections 7.1 and 7.2.</w:t>
      </w:r>
    </w:p>
    <w:p>
      <w:pPr>
        <w:pStyle w:val="Heading2"/>
        <w:spacing w:after="100" w:before="200"/>
      </w:pPr>
      <w:r>
        <w:rPr>
          <w:rFonts w:ascii="Times New Roman" w:cs="Times New Roman" w:eastAsia="Times New Roman" w:hAnsi="Times New Roman"/>
          <w:b/>
          <w:bCs/>
          <w:sz w:val="24"/>
          <w:szCs w:val="24"/>
        </w:rPr>
        <w:t xml:space="preserve">2.5 Configuration Status Accounting</w:t>
      </w:r>
    </w:p>
    <w:p>
      <w:pPr>
        <w:pStyle w:val="Heading3"/>
        <w:spacing w:after="80" w:before="160"/>
      </w:pPr>
      <w:r>
        <w:rPr>
          <w:rFonts w:ascii="Times New Roman" w:cs="Times New Roman" w:eastAsia="Times New Roman" w:hAnsi="Times New Roman"/>
          <w:b/>
          <w:bCs/>
          <w:sz w:val="22"/>
          <w:szCs w:val="22"/>
        </w:rPr>
        <w:t xml:space="preserve">2.5.1 Function</w:t>
      </w:r>
    </w:p>
    <w:p>
      <w:pPr>
        <w:spacing w:after="120"/>
      </w:pPr>
      <w:r>
        <w:rPr>
          <w:rFonts w:ascii="Times New Roman" w:cs="Times New Roman" w:eastAsia="Times New Roman" w:hAnsi="Times New Roman"/>
          <w:sz w:val="22"/>
          <w:szCs w:val="22"/>
        </w:rPr>
        <w:t xml:space="preserve">The CM function that manages the capture of establishing, maintaining and reporting process, product, and service information to ensure the configuration can be determined, recorded, safeguarded and validated throughout its life cycle.</w:t>
      </w:r>
    </w:p>
    <w:p>
      <w:pPr>
        <w:pStyle w:val="Heading3"/>
        <w:spacing w:after="80" w:before="160"/>
      </w:pPr>
      <w:r>
        <w:rPr>
          <w:rFonts w:ascii="Times New Roman" w:cs="Times New Roman" w:eastAsia="Times New Roman" w:hAnsi="Times New Roman"/>
          <w:b/>
          <w:bCs/>
          <w:sz w:val="22"/>
          <w:szCs w:val="22"/>
        </w:rPr>
        <w:t xml:space="preserve">2.5.2 Principle</w:t>
      </w:r>
    </w:p>
    <w:p>
      <w:pPr>
        <w:spacing w:after="120"/>
      </w:pPr>
      <w:r>
        <w:rPr>
          <w:rFonts w:ascii="Times New Roman" w:cs="Times New Roman" w:eastAsia="Times New Roman" w:hAnsi="Times New Roman"/>
          <w:sz w:val="22"/>
          <w:szCs w:val="22"/>
        </w:rPr>
        <w:t xml:space="preserve">As CM tasks are performed throughout the lifecycle, information and data about the product, documentation, and the configuration are captured and recorded to support program/project activities in an accurate and timely manner. Metrics derived from CSA information are used to evaluate and support process improvement.</w:t>
      </w:r>
    </w:p>
    <w:p>
      <w:pPr>
        <w:pStyle w:val="Heading3"/>
        <w:spacing w:after="80" w:before="160"/>
      </w:pPr>
      <w:r>
        <w:rPr>
          <w:rFonts w:ascii="Times New Roman" w:cs="Times New Roman" w:eastAsia="Times New Roman" w:hAnsi="Times New Roman"/>
          <w:b/>
          <w:bCs/>
          <w:sz w:val="22"/>
          <w:szCs w:val="22"/>
        </w:rPr>
        <w:t xml:space="preserve">2.5.3 Activity</w:t>
      </w:r>
    </w:p>
    <w:p>
      <w:pPr>
        <w:spacing w:after="120"/>
      </w:pPr>
      <w:r>
        <w:rPr>
          <w:rFonts w:ascii="Times New Roman" w:cs="Times New Roman" w:eastAsia="Times New Roman" w:hAnsi="Times New Roman"/>
          <w:sz w:val="22"/>
          <w:szCs w:val="22"/>
        </w:rPr>
        <w:t xml:space="preserve">Teamcenter is the configuration status accounting system of record for Program XYZ. It captures baseline content, CI structure, change requests and their disposition, release records, variances, retrofit incorporation status (F33), and sub-tier supplier data (F39), and links them to support impact assessment and historical traceability from contract award to the present (F32). Baseline reports, change request logs, and open-action reports are produced monthly and on demand.</w:t>
      </w:r>
    </w:p>
    <w:p>
      <w:pPr>
        <w:spacing w:after="120"/>
      </w:pPr>
      <w:r>
        <w:rPr>
          <w:rFonts w:ascii="Times New Roman" w:cs="Times New Roman" w:eastAsia="Times New Roman" w:hAnsi="Times New Roman"/>
          <w:sz w:val="22"/>
          <w:szCs w:val="22"/>
        </w:rPr>
        <w:t xml:space="preserve">The system of record for Program XYZ configuration information is Teamcenter. It captures configuration information when it is created, keeps it current, stores and safeguards it, and makes it retrievable across the retention period and the full program history; it therefore satisfies the record obligations F24 through F28 and F32. the BOM comparison utility is analysis tooling: it compares, verifies, and reports on information held in the system of record and does not satisfy any capture, currency, storage, retention, retrieval, or historical-traceability obligation. Where both systems hold the same information, the system of record is authoritative.</w:t>
      </w:r>
    </w:p>
    <w:p>
      <w:pPr>
        <w:pStyle w:val="Heading3"/>
        <w:spacing w:after="80" w:before="160"/>
      </w:pPr>
      <w:r>
        <w:rPr>
          <w:rFonts w:ascii="Times New Roman" w:cs="Times New Roman" w:eastAsia="Times New Roman" w:hAnsi="Times New Roman"/>
          <w:b/>
          <w:bCs/>
          <w:sz w:val="22"/>
          <w:szCs w:val="22"/>
        </w:rPr>
        <w:t xml:space="preserve">2.5.4 CM Floor Requirements Applicable to this Function</w:t>
      </w:r>
    </w:p>
    <w:p>
      <w:pPr>
        <w:spacing w:after="120"/>
      </w:pPr>
      <w:r>
        <w:rPr>
          <w:rFonts w:ascii="Times New Roman" w:cs="Times New Roman" w:eastAsia="Times New Roman" w:hAnsi="Times New Roman"/>
          <w:sz w:val="22"/>
          <w:szCs w:val="22"/>
        </w:rPr>
        <w:t xml:space="preserve">Floor requirements F07 and F14 (recording changes in CSA), F24–F28 (CSA validity, capture, storage, safeguarding and retrieval), F32 (historical traceability from contract award to present), F33 (retrofit incorporation), and F39 (sub-tier supplier data traceability) are implemented through this function. See Sections 7.2, 7.3 and 7.4.</w:t>
      </w:r>
    </w:p>
    <w:p>
      <w:pPr>
        <w:pStyle w:val="Heading2"/>
        <w:spacing w:after="100" w:before="200"/>
      </w:pPr>
      <w:r>
        <w:rPr>
          <w:rFonts w:ascii="Times New Roman" w:cs="Times New Roman" w:eastAsia="Times New Roman" w:hAnsi="Times New Roman"/>
          <w:b/>
          <w:bCs/>
          <w:sz w:val="24"/>
          <w:szCs w:val="24"/>
        </w:rPr>
        <w:t xml:space="preserve">2.6 Configuration Verification &amp; Audit</w:t>
      </w:r>
    </w:p>
    <w:p>
      <w:pPr>
        <w:pStyle w:val="Heading3"/>
        <w:spacing w:after="80" w:before="160"/>
      </w:pPr>
      <w:r>
        <w:rPr>
          <w:rFonts w:ascii="Times New Roman" w:cs="Times New Roman" w:eastAsia="Times New Roman" w:hAnsi="Times New Roman"/>
          <w:b/>
          <w:bCs/>
          <w:sz w:val="22"/>
          <w:szCs w:val="22"/>
        </w:rPr>
        <w:t xml:space="preserve">2.6.1 Function</w:t>
      </w:r>
    </w:p>
    <w:p>
      <w:pPr>
        <w:spacing w:after="120"/>
      </w:pPr>
      <w:r>
        <w:rPr>
          <w:rFonts w:ascii="Times New Roman" w:cs="Times New Roman" w:eastAsia="Times New Roman" w:hAnsi="Times New Roman"/>
          <w:sz w:val="22"/>
          <w:szCs w:val="22"/>
        </w:rPr>
        <w:t xml:space="preserve">The CM function that reviews and evaluates processes, products, and services to validate compliance and ensure integrity with requirements, conformance to definition information, and confirmation that specified process requirements have been fulfilled.</w:t>
      </w:r>
    </w:p>
    <w:p>
      <w:pPr>
        <w:pStyle w:val="Heading3"/>
        <w:spacing w:after="80" w:before="160"/>
      </w:pPr>
      <w:r>
        <w:rPr>
          <w:rFonts w:ascii="Times New Roman" w:cs="Times New Roman" w:eastAsia="Times New Roman" w:hAnsi="Times New Roman"/>
          <w:b/>
          <w:bCs/>
          <w:sz w:val="22"/>
          <w:szCs w:val="22"/>
        </w:rPr>
        <w:t xml:space="preserve">2.6.2 Principle</w:t>
      </w:r>
    </w:p>
    <w:p>
      <w:pPr>
        <w:spacing w:after="120"/>
      </w:pPr>
      <w:r>
        <w:rPr>
          <w:rFonts w:ascii="Times New Roman" w:cs="Times New Roman" w:eastAsia="Times New Roman" w:hAnsi="Times New Roman"/>
          <w:sz w:val="22"/>
          <w:szCs w:val="22"/>
        </w:rPr>
        <w:t xml:space="preserve">To validate compliance, configuration verification uses the physical, functional, and interface requirements to ensure consistency is maintained between a product, its configuration information, and related support documentation. Configuration audits assure that specified process requirements have been fulfilled and baselines are established at key points in the life cycle.</w:t>
      </w:r>
    </w:p>
    <w:p>
      <w:pPr>
        <w:pStyle w:val="Heading3"/>
        <w:spacing w:after="80" w:before="160"/>
      </w:pPr>
      <w:r>
        <w:rPr>
          <w:rFonts w:ascii="Times New Roman" w:cs="Times New Roman" w:eastAsia="Times New Roman" w:hAnsi="Times New Roman"/>
          <w:b/>
          <w:bCs/>
          <w:sz w:val="22"/>
          <w:szCs w:val="22"/>
        </w:rPr>
        <w:t xml:space="preserve">2.6.3 Activity</w:t>
      </w:r>
    </w:p>
    <w:p>
      <w:pPr>
        <w:spacing w:after="120"/>
      </w:pPr>
      <w:r>
        <w:rPr>
          <w:rFonts w:ascii="Times New Roman" w:cs="Times New Roman" w:eastAsia="Times New Roman" w:hAnsi="Times New Roman"/>
          <w:sz w:val="22"/>
          <w:szCs w:val="22"/>
        </w:rPr>
        <w:t xml:space="preserve">Functional and physical configuration audits are conducted per the standard processes in Appendices I and L. The FCA validates that documentation and test evidence meet the approved functional requirements, supported by a requirements-to-test traceability matrix (F42, F44). The PCA validates that the as-built item conforms to the approved product configuration information, confirms the program parts selection list, and identifies differences between the production CI and the development CI used for FCA (F29, F30, F34). Non-compliances from either audit are documented and provided to the Acquirer (F31, F43). CM process assessments are performed after each major milestone, and Systems Engineering Division, Code 4.1 supports Acquirer audits of its own and its suppliers' CM processes (F41).</w:t>
      </w:r>
    </w:p>
    <w:p>
      <w:pPr>
        <w:pStyle w:val="Heading3"/>
        <w:spacing w:after="80" w:before="160"/>
      </w:pPr>
      <w:r>
        <w:rPr>
          <w:rFonts w:ascii="Times New Roman" w:cs="Times New Roman" w:eastAsia="Times New Roman" w:hAnsi="Times New Roman"/>
          <w:b/>
          <w:bCs/>
          <w:sz w:val="22"/>
          <w:szCs w:val="22"/>
        </w:rPr>
        <w:t xml:space="preserve">2.6.4 CM Floor Requirements Applicable to this Function</w:t>
      </w:r>
    </w:p>
    <w:p>
      <w:pPr>
        <w:spacing w:after="120"/>
      </w:pPr>
      <w:r>
        <w:rPr>
          <w:rFonts w:ascii="Times New Roman" w:cs="Times New Roman" w:eastAsia="Times New Roman" w:hAnsi="Times New Roman"/>
          <w:sz w:val="22"/>
          <w:szCs w:val="22"/>
        </w:rPr>
        <w:t xml:space="preserve">Floor requirements F09 and F15 (change incorporation verification), F29–F31 and F34 (PCA conduct, PPSL confirmation, non-compliance reporting, production/development CI differences), F41 (support to Acquirer CM audits), and F42–F44 (FCA conduct, non-compliance reporting, requirements-to-test traceability matrix) are implemented through this function. See Sections 7.2, 7.3 and 7.4.</w:t>
      </w:r>
    </w:p>
    <w:p>
      <w:pPr>
        <w:pStyle w:val="Heading2"/>
        <w:spacing w:after="100" w:before="200"/>
      </w:pPr>
      <w:r>
        <w:rPr>
          <w:rFonts w:ascii="Times New Roman" w:cs="Times New Roman" w:eastAsia="Times New Roman" w:hAnsi="Times New Roman"/>
          <w:b/>
          <w:bCs/>
          <w:sz w:val="24"/>
          <w:szCs w:val="24"/>
        </w:rPr>
        <w:t xml:space="preserve">2.7 Data &amp; Document Management</w:t>
      </w:r>
    </w:p>
    <w:p>
      <w:pPr>
        <w:pStyle w:val="Heading3"/>
        <w:spacing w:after="80" w:before="160"/>
      </w:pPr>
      <w:r>
        <w:rPr>
          <w:rFonts w:ascii="Times New Roman" w:cs="Times New Roman" w:eastAsia="Times New Roman" w:hAnsi="Times New Roman"/>
          <w:b/>
          <w:bCs/>
          <w:sz w:val="22"/>
          <w:szCs w:val="22"/>
        </w:rPr>
        <w:t xml:space="preserve">2.7.1 Function</w:t>
      </w:r>
    </w:p>
    <w:p>
      <w:pPr>
        <w:spacing w:after="120"/>
      </w:pPr>
      <w:r>
        <w:rPr>
          <w:rFonts w:ascii="Times New Roman" w:cs="Times New Roman" w:eastAsia="Times New Roman" w:hAnsi="Times New Roman"/>
          <w:sz w:val="22"/>
          <w:szCs w:val="22"/>
        </w:rPr>
        <w:t xml:space="preserve">A discipline that monitors all recorded administrative, managerial, financial, and technical configuration information, regardless of medium or characteristics. It includes ownership and approval of documentation and data, versioning of documentation and software, and document and data repository control and access.</w:t>
      </w:r>
    </w:p>
    <w:p>
      <w:pPr>
        <w:pStyle w:val="Heading3"/>
        <w:spacing w:after="80" w:before="160"/>
      </w:pPr>
      <w:r>
        <w:rPr>
          <w:rFonts w:ascii="Times New Roman" w:cs="Times New Roman" w:eastAsia="Times New Roman" w:hAnsi="Times New Roman"/>
          <w:b/>
          <w:bCs/>
          <w:sz w:val="22"/>
          <w:szCs w:val="22"/>
        </w:rPr>
        <w:t xml:space="preserve">2.7.2 Principle</w:t>
      </w:r>
    </w:p>
    <w:p>
      <w:pPr>
        <w:spacing w:after="120"/>
      </w:pPr>
      <w:r>
        <w:rPr>
          <w:rFonts w:ascii="Times New Roman" w:cs="Times New Roman" w:eastAsia="Times New Roman" w:hAnsi="Times New Roman"/>
          <w:sz w:val="22"/>
          <w:szCs w:val="22"/>
        </w:rPr>
        <w:t xml:space="preserve">Define the relevant scope of data; plan for, acquire and provide data responses; identify data products and views so their requirements and attributes can be controlled; control data, repositories, data products, data views, and metadata using an approved change control process.</w:t>
      </w:r>
    </w:p>
    <w:p>
      <w:pPr>
        <w:pStyle w:val="Heading3"/>
        <w:spacing w:after="80" w:before="160"/>
      </w:pPr>
      <w:r>
        <w:rPr>
          <w:rFonts w:ascii="Times New Roman" w:cs="Times New Roman" w:eastAsia="Times New Roman" w:hAnsi="Times New Roman"/>
          <w:b/>
          <w:bCs/>
          <w:sz w:val="22"/>
          <w:szCs w:val="22"/>
        </w:rPr>
        <w:t xml:space="preserve">2.7.3 Activity</w:t>
      </w:r>
    </w:p>
    <w:p>
      <w:pPr>
        <w:spacing w:after="120"/>
      </w:pPr>
      <w:r>
        <w:rPr>
          <w:rFonts w:ascii="Times New Roman" w:cs="Times New Roman" w:eastAsia="Times New Roman" w:hAnsi="Times New Roman"/>
          <w:sz w:val="22"/>
          <w:szCs w:val="22"/>
        </w:rPr>
        <w:t xml:space="preserve">Data and document management conventions for Program XYZ — metadata fields, entry patterns, standard titles, numbering schemes, version and revision schemes, and naming conventions — are defined in Appendix P and enforced in the controlled SharePoint library. Each revision is created so that the before and after configuration of the document is traceable (F23); access control, storage, and safeguarding satisfy F27 and F28.</w:t>
      </w:r>
    </w:p>
    <w:p>
      <w:pPr>
        <w:pStyle w:val="Heading3"/>
        <w:spacing w:after="80" w:before="160"/>
      </w:pPr>
      <w:r>
        <w:rPr>
          <w:rFonts w:ascii="Times New Roman" w:cs="Times New Roman" w:eastAsia="Times New Roman" w:hAnsi="Times New Roman"/>
          <w:b/>
          <w:bCs/>
          <w:sz w:val="22"/>
          <w:szCs w:val="22"/>
        </w:rPr>
        <w:t xml:space="preserve">2.7.4 CM Floor Requirements Applicable to this Function</w:t>
      </w:r>
    </w:p>
    <w:p>
      <w:pPr>
        <w:spacing w:after="120"/>
      </w:pPr>
      <w:r>
        <w:rPr>
          <w:rFonts w:ascii="Times New Roman" w:cs="Times New Roman" w:eastAsia="Times New Roman" w:hAnsi="Times New Roman"/>
          <w:sz w:val="22"/>
          <w:szCs w:val="22"/>
        </w:rPr>
        <w:t xml:space="preserve">Floor requirements F13 (documented engineering release system), F23 (revision creation with before/after traceability), and F27–F28 (storage, safeguarding and retrieval of configuration information) rely on this function jointly with 2.4 and 2.5. See Section 7.2 and 7.3.</w:t>
      </w:r>
    </w:p>
    <w:p>
      <w:r>
        <w:br w:type="page"/>
      </w:r>
    </w:p>
    <w:p>
      <w:pPr>
        <w:pStyle w:val="Heading1"/>
        <w:spacing w:after="120" w:before="240"/>
      </w:pPr>
      <w:r>
        <w:rPr>
          <w:rFonts w:ascii="Times New Roman" w:cs="Times New Roman" w:eastAsia="Times New Roman" w:hAnsi="Times New Roman"/>
          <w:b/>
          <w:bCs/>
          <w:sz w:val="28"/>
          <w:szCs w:val="28"/>
        </w:rPr>
        <w:t xml:space="preserve">3.0 Configuration Management Paradigms</w:t>
      </w:r>
    </w:p>
    <w:p>
      <w:pPr>
        <w:spacing w:after="120"/>
      </w:pPr>
      <w:r>
        <w:rPr>
          <w:rFonts w:ascii="Times New Roman" w:cs="Times New Roman" w:eastAsia="Times New Roman" w:hAnsi="Times New Roman"/>
          <w:sz w:val="22"/>
          <w:szCs w:val="22"/>
        </w:rPr>
        <w:t xml:space="preserve">CM paradigms are defined in the context of the relationship between products and platforms, acquirer and supplier, hardware and software, acquisition and operational environments, data and document management, and system of systems / family of systems.</w:t>
      </w:r>
    </w:p>
    <w:p>
      <w:pPr>
        <w:pStyle w:val="Heading2"/>
        <w:spacing w:after="100" w:before="200"/>
      </w:pPr>
      <w:r>
        <w:rPr>
          <w:rFonts w:ascii="Times New Roman" w:cs="Times New Roman" w:eastAsia="Times New Roman" w:hAnsi="Times New Roman"/>
          <w:b/>
          <w:bCs/>
          <w:sz w:val="24"/>
          <w:szCs w:val="24"/>
        </w:rPr>
        <w:t xml:space="preserve">3.1 Product – Platform</w:t>
      </w:r>
    </w:p>
    <w:p>
      <w:pPr>
        <w:spacing w:after="120"/>
      </w:pPr>
      <w:r>
        <w:rPr>
          <w:rFonts w:ascii="Times New Roman" w:cs="Times New Roman" w:eastAsia="Times New Roman" w:hAnsi="Times New Roman"/>
          <w:sz w:val="22"/>
          <w:szCs w:val="22"/>
        </w:rPr>
        <w:t xml:space="preserve">Program XYZ products are fielded on the platforms identified in Appendix D. Configuration data transition to the platform occurs at the points defined in Section 6.1. the Configuration Manager coordinates fielding, release notification, and as-installed reporting with the platform CM organization, and product and platform change boards exchange representation for any change that crosses the product/platform boundary.</w:t>
      </w:r>
    </w:p>
    <w:p>
      <w:pPr>
        <w:pStyle w:val="Heading2"/>
        <w:spacing w:after="100" w:before="200"/>
      </w:pPr>
      <w:r>
        <w:rPr>
          <w:rFonts w:ascii="Times New Roman" w:cs="Times New Roman" w:eastAsia="Times New Roman" w:hAnsi="Times New Roman"/>
          <w:b/>
          <w:bCs/>
          <w:sz w:val="24"/>
          <w:szCs w:val="24"/>
        </w:rPr>
        <w:t xml:space="preserve">3.2 Acquirer – Supplier</w:t>
      </w:r>
    </w:p>
    <w:p>
      <w:pPr>
        <w:spacing w:after="120"/>
      </w:pPr>
      <w:r>
        <w:rPr>
          <w:rFonts w:ascii="Times New Roman" w:cs="Times New Roman" w:eastAsia="Times New Roman" w:hAnsi="Times New Roman"/>
          <w:sz w:val="22"/>
          <w:szCs w:val="22"/>
        </w:rPr>
        <w:t xml:space="preserve">Systems Engineering Division, Code 4.1 acts as the Supplier on Program XYZ. The acquirer monitors supplier performance under the contract; the supplier performs the work and delivers the products and data required. A joint Acquirer/Supplier configuration control board is supported for changes affecting the acquirer's baselines (F04), and Acquirer concurrence is obtained on Minor/Class II classification (F05). The CM floor requirements of Section 7 are imposed on sub-supplier purchase orders, tailored only where the tailoring is documented and approved (F40). Systems Engineering Division, Code 4.1 supports Acquirer audits of supplier and sub-supplier CM (F41), requires sub-tier supplier data sufficient for traceability of delivered items (F39), and is represented on the interface control working group where one exists (F38).</w:t>
      </w:r>
    </w:p>
    <w:p>
      <w:pPr>
        <w:pStyle w:val="Heading3"/>
        <w:spacing w:after="80" w:before="160"/>
      </w:pPr>
      <w:r>
        <w:t>3.2.1 Sub-Supplier CM Requirements Flowdown Method</w:t>
      </w:r>
    </w:p>
    <w:p>
      <w:pPr>
        <w:spacing w:after="120"/>
      </w:pPr>
      <w:r>
        <w:rPr>
          <w:rFonts w:ascii="Times New Roman" w:cs="Times New Roman" w:eastAsia="Times New Roman" w:hAnsi="Times New Roman"/>
          <w:sz w:val="22"/>
          <w:szCs w:val="22"/>
        </w:rPr>
        <w:t xml:space="preserve">Each procurement is classified by work type at statement-of-work development — who holds design authority, who performs the build, and the item type — and the classification is recorded on the Sub-Supplier Work Type Classification Log in Appendix R. The applicable CM requirement set and supplier data deliverables are derived from that classification, and the recorded classification is the documented tailoring rationale required by F40. the Configuration Manager reviews and signs the supplier statement of work before release.</w:t>
      </w:r>
    </w:p>
    <w:p>
      <w:pPr>
        <w:pStyle w:val="Heading3"/>
        <w:spacing w:after="80" w:before="160"/>
      </w:pPr>
      <w:r>
        <w:t>3.2.2 Sub-Supplier CM Effectiveness Determination and Actions</w:t>
      </w:r>
    </w:p>
    <w:p>
      <w:pPr>
        <w:spacing w:after="120"/>
      </w:pPr>
      <w:r>
        <w:rPr>
          <w:rFonts w:ascii="Times New Roman" w:cs="Times New Roman" w:eastAsia="Times New Roman" w:hAnsi="Times New Roman"/>
          <w:sz w:val="22"/>
          <w:szCs w:val="22"/>
        </w:rPr>
        <w:t xml:space="preserve">Sub-supplier CM effectiveness is determined from accrued evidence: data deliverable review results with defect codes, audit and surveillance findings, configuration escapes, and non-submittal events, recorded in Appendix S. Determinations are made quarterly by the CM Technical Process Owner, and off-cycle whenever a configuration escape, a repeat finding, a failed data deliverable, or a change of the supplier's design authority occurs. Determination levels are effective, marginal, and less than effective. Actions are graduated: increased surveillance and deliverable sampling; formal corrective action with closure evidence; source inspection; and restriction of further award. On a determination of less than effective, the configuration audit designation for that supplier's items is re-assessed, safety-relevant evidence is reported into the safety data stream, and any documented equivalent control that depends on that supplier's process is revalidated before continued reliance.</w:t>
      </w:r>
    </w:p>
    <w:p>
      <w:pPr>
        <w:pStyle w:val="Heading3"/>
        <w:spacing w:after="80" w:before="160"/>
      </w:pPr>
      <w:r>
        <w:t>3.2.3 Conditional Configuration Audit Obligations in Supplier Agreements</w:t>
      </w:r>
    </w:p>
    <w:p>
      <w:pPr>
        <w:spacing w:after="120"/>
      </w:pPr>
      <w:r>
        <w:rPr>
          <w:rFonts w:ascii="Times New Roman" w:cs="Times New Roman" w:eastAsia="Times New Roman" w:hAnsi="Times New Roman"/>
          <w:sz w:val="22"/>
          <w:szCs w:val="22"/>
        </w:rPr>
        <w:t xml:space="preserve">Supplier statements of work for items where configuration audit designation is possible carry a standing conditional configuration audit clause: the audit obligations take effect if and when the item is or becomes designated, with the audit data deliverables cited as triggered items. The supplier's audit role — conduct, support, or data support — follows the classification of the work performed under Section 3.2.1. Audit ceremony may be tailored at the supplier tier; audit substance may not. Because awarding to a new source is itself a designation trigger, the conditional clause is included at award rather than negotiated after designation occurs.</w:t>
      </w:r>
    </w:p>
    <w:p>
      <w:pPr>
        <w:pStyle w:val="Heading2"/>
        <w:spacing w:after="100" w:before="200"/>
      </w:pPr>
      <w:r>
        <w:rPr>
          <w:rFonts w:ascii="Times New Roman" w:cs="Times New Roman" w:eastAsia="Times New Roman" w:hAnsi="Times New Roman"/>
          <w:b/>
          <w:bCs/>
          <w:sz w:val="24"/>
          <w:szCs w:val="24"/>
        </w:rPr>
        <w:t xml:space="preserve">3.3 Hardware – Software</w:t>
      </w:r>
    </w:p>
    <w:p>
      <w:pPr>
        <w:spacing w:after="120"/>
      </w:pPr>
      <w:r>
        <w:rPr>
          <w:rFonts w:ascii="Times New Roman" w:cs="Times New Roman" w:eastAsia="Times New Roman" w:hAnsi="Times New Roman"/>
          <w:sz w:val="22"/>
          <w:szCs w:val="22"/>
        </w:rPr>
        <w:t xml:space="preserve">Hardware and software configuration items on Program XYZ are identified, baselined, and controlled under the same change process and the same board, with software items additionally versioned and released per the software release conventions in Appendix P. Where a change affects both, a single change request records the coupled hardware and software effectivity so that the fielded combination remains traceable.</w:t>
      </w:r>
    </w:p>
    <w:p>
      <w:pPr>
        <w:pStyle w:val="Heading2"/>
        <w:spacing w:after="100" w:before="200"/>
      </w:pPr>
      <w:r>
        <w:rPr>
          <w:rFonts w:ascii="Times New Roman" w:cs="Times New Roman" w:eastAsia="Times New Roman" w:hAnsi="Times New Roman"/>
          <w:b/>
          <w:bCs/>
          <w:sz w:val="24"/>
          <w:szCs w:val="24"/>
        </w:rPr>
        <w:t xml:space="preserve">3.4 Acquisition – Operational</w:t>
      </w:r>
    </w:p>
    <w:p>
      <w:pPr>
        <w:spacing w:after="120"/>
      </w:pPr>
      <w:r>
        <w:rPr>
          <w:rFonts w:ascii="Times New Roman" w:cs="Times New Roman" w:eastAsia="Times New Roman" w:hAnsi="Times New Roman"/>
          <w:sz w:val="22"/>
          <w:szCs w:val="22"/>
        </w:rPr>
        <w:t xml:space="preserve">During acquisition, Systems Engineering Division, Code 4.1 establishes and controls the functional, allocated, and product baselines and the associated configuration information. On transition to operations, control of the as-installed configuration passes to the sustaining organization, which maintains it under the same change classification rules; Systems Engineering Division, Code 4.1 retains the product baseline of record and remains the approval authority for changes to it.</w:t>
      </w:r>
    </w:p>
    <w:p>
      <w:pPr>
        <w:pStyle w:val="Heading2"/>
        <w:spacing w:after="100" w:before="200"/>
      </w:pPr>
      <w:r>
        <w:rPr>
          <w:rFonts w:ascii="Times New Roman" w:cs="Times New Roman" w:eastAsia="Times New Roman" w:hAnsi="Times New Roman"/>
          <w:b/>
          <w:bCs/>
          <w:sz w:val="24"/>
          <w:szCs w:val="24"/>
        </w:rPr>
        <w:t xml:space="preserve">3.5 Data – Document</w:t>
      </w:r>
    </w:p>
    <w:p>
      <w:pPr>
        <w:spacing w:after="120"/>
      </w:pPr>
      <w:r>
        <w:rPr>
          <w:rFonts w:ascii="Times New Roman" w:cs="Times New Roman" w:eastAsia="Times New Roman" w:hAnsi="Times New Roman"/>
          <w:sz w:val="22"/>
          <w:szCs w:val="22"/>
        </w:rPr>
        <w:t xml:space="preserve">Data management governs the content, attributes, and delivery of data products; document management governs the containers those data products are recorded in and their storage, versioning, access, and retention. Both are controlled by the same change process, using the conventions in Appendix P, so that a data product and the document that carries it always identify the same configuration.</w:t>
      </w:r>
    </w:p>
    <w:p>
      <w:pPr>
        <w:pStyle w:val="Heading2"/>
        <w:spacing w:after="100" w:before="200"/>
      </w:pPr>
      <w:r>
        <w:rPr>
          <w:rFonts w:ascii="Times New Roman" w:cs="Times New Roman" w:eastAsia="Times New Roman" w:hAnsi="Times New Roman"/>
          <w:b/>
          <w:bCs/>
          <w:sz w:val="24"/>
          <w:szCs w:val="24"/>
        </w:rPr>
        <w:t xml:space="preserve">3.6 System of Systems (SOS) – Family of Systems (FOS)</w:t>
      </w:r>
    </w:p>
    <w:p>
      <w:pPr>
        <w:spacing w:after="120"/>
      </w:pPr>
      <w:r>
        <w:rPr>
          <w:rFonts w:ascii="Times New Roman" w:cs="Times New Roman" w:eastAsia="Times New Roman" w:hAnsi="Times New Roman"/>
          <w:sz w:val="22"/>
          <w:szCs w:val="22"/>
        </w:rPr>
        <w:t xml:space="preserve">Where Program XYZ operates as part of a system of systems or a family of systems, Systems Engineering Division, Code 4.1 participates in the joint configuration control board for the affected systems and in the interface control working group where one exists (F38). Interface requirements crossing system boundaries are identified, incorporated into the functional, allocated, and product configuration documentation, and placed under configuration control (F35–F37).</w:t>
      </w:r>
    </w:p>
    <w:p>
      <w:r>
        <w:br w:type="page"/>
      </w:r>
    </w:p>
    <w:p>
      <w:pPr>
        <w:pStyle w:val="Heading1"/>
        <w:spacing w:after="120" w:before="240"/>
      </w:pPr>
      <w:r>
        <w:rPr>
          <w:rFonts w:ascii="Times New Roman" w:cs="Times New Roman" w:eastAsia="Times New Roman" w:hAnsi="Times New Roman"/>
          <w:b/>
          <w:bCs/>
          <w:sz w:val="28"/>
          <w:szCs w:val="28"/>
        </w:rPr>
        <w:t xml:space="preserve">4.0 Organizational Roles &amp; Responsibilities</w:t>
      </w:r>
    </w:p>
    <w:p>
      <w:pPr>
        <w:spacing w:after="120"/>
      </w:pPr>
      <w:r>
        <w:rPr>
          <w:rFonts w:ascii="Times New Roman" w:cs="Times New Roman" w:eastAsia="Times New Roman" w:hAnsi="Times New Roman"/>
          <w:sz w:val="22"/>
          <w:szCs w:val="22"/>
        </w:rPr>
        <w:t xml:space="preserve">Figure 4-1 Configuration Management Roles Alignment</w:t>
      </w:r>
    </w:p>
    <w:p>
      <w:pPr>
        <w:pStyle w:val="Heading2"/>
        <w:spacing w:after="100" w:before="200"/>
      </w:pPr>
      <w:r>
        <w:rPr>
          <w:rFonts w:ascii="Times New Roman" w:cs="Times New Roman" w:eastAsia="Times New Roman" w:hAnsi="Times New Roman"/>
          <w:b/>
          <w:bCs/>
          <w:sz w:val="24"/>
          <w:szCs w:val="24"/>
        </w:rPr>
        <w:t xml:space="preserve">4.1 Process Participants</w:t>
      </w:r>
    </w:p>
    <w:p>
      <w:pPr>
        <w:spacing w:after="120"/>
      </w:pPr>
      <w:r>
        <w:rPr>
          <w:rFonts w:ascii="Times New Roman" w:cs="Times New Roman" w:eastAsia="Times New Roman" w:hAnsi="Times New Roman"/>
          <w:sz w:val="22"/>
          <w:szCs w:val="22"/>
        </w:rPr>
        <w:t xml:space="preserve">Participants execute the documented CM process steps. Assign ownership of each CM floor requirement (Section 7) to a participant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Participant Role</w:t>
            </w:r>
          </w:p>
        </w:tc>
        <w:tc>
          <w:tcPr>
            <w:tcW w:type="dxa" w:w="65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Participant Responsibility</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Configuration Manager (CMGR)</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Owns this CMP and the CM process; chairs the Configuration Control Board (CCB); maintains the floor disposition record; approves CM tool and repository conventions; signs supplier statements of work before release.</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CM Specialist</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Processes change requests, maintains baselines and CSA records in Teamcenter, produces baseline and status reports, and records release and retrofit incorporation.</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Systems Engineer</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Defines CI selection criteria and the CI hierarchy, identifies interface requirements, assesses technical impact of proposed changes, and supports FCA and PCA.</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Program Manager</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Approves the CMP, resources the CM function, and acts as the change approval authority for changes above the delegated threshold.</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Design Engineer</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Prepares change documentation, incorporates approved changes into product configuration information, and supports verification of incorporation.</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Quality / Safety Engineer</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Confirms safety impact classification, reports non-compliances found in audit, and routes safety-relevant CM evidence into the safety data stream.</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Supplier CM Lead</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Executes flowed-down CM floor requirements, submits contractual CM data deliverables, and supports Acquirer audits.</w:t>
            </w:r>
          </w:p>
        </w:tc>
      </w:tr>
    </w:tbl>
    <w:p>
      <w:pPr>
        <w:pStyle w:val="Heading2"/>
        <w:spacing w:after="100" w:before="200"/>
      </w:pPr>
      <w:r>
        <w:rPr>
          <w:rFonts w:ascii="Times New Roman" w:cs="Times New Roman" w:eastAsia="Times New Roman" w:hAnsi="Times New Roman"/>
          <w:b/>
          <w:bCs/>
          <w:sz w:val="24"/>
          <w:szCs w:val="24"/>
        </w:rPr>
        <w:t xml:space="preserve">4.2 Process Stakeholders</w:t>
      </w:r>
    </w:p>
    <w:p>
      <w:pPr>
        <w:spacing w:after="120"/>
      </w:pPr>
      <w:r>
        <w:rPr>
          <w:rFonts w:ascii="Times New Roman" w:cs="Times New Roman" w:eastAsia="Times New Roman" w:hAnsi="Times New Roman"/>
          <w:sz w:val="22"/>
          <w:szCs w:val="22"/>
        </w:rPr>
        <w:t xml:space="preserve">Stakeholders have roles and responsibilities related to the documented CM process but do not execute the process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Stakeholder Role</w:t>
            </w:r>
          </w:p>
        </w:tc>
        <w:tc>
          <w:tcPr>
            <w:tcW w:type="dxa" w:w="65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Stakeholder Responsibility</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CM Technical Process Owner (CM TPO)</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Owns the organizational standard CM process, approves tailoring, and assesses CMP compliance.</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Safety Manager</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Reviews floor disposition and risk acceptances against SM-0001 hazards and the applicable severity bands.</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Contracting Officer</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Places CM requirements and data deliverables on contract and enforces supplier compliance.</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Logistics / ILS Manager</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Uses baseline and as-installed data for provisioning, support planning, and retrofit.</w:t>
            </w:r>
          </w:p>
        </w:tc>
      </w:tr>
      <w: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c>
          <w:tcPr>
            <w:tcW w:type="dxa" w:w="28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Acquirer CM Representative</w:t>
            </w:r>
          </w:p>
        </w:tc>
        <w:tc>
          <w:tcPr>
            <w:tcW w:type="dxa" w:w="656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Participates in the joint CCB, concurs on Minor/Class II classification, and receives audit non-compliance reports.</w:t>
            </w:r>
          </w:p>
        </w:tc>
      </w:tr>
    </w:tbl>
    <w:p>
      <w:r>
        <w:br w:type="page"/>
      </w:r>
    </w:p>
    <w:p>
      <w:pPr>
        <w:pStyle w:val="Heading1"/>
        <w:spacing w:after="120" w:before="240"/>
      </w:pPr>
      <w:r>
        <w:rPr>
          <w:rFonts w:ascii="Times New Roman" w:cs="Times New Roman" w:eastAsia="Times New Roman" w:hAnsi="Times New Roman"/>
          <w:b/>
          <w:bCs/>
          <w:sz w:val="28"/>
          <w:szCs w:val="28"/>
        </w:rPr>
        <w:t xml:space="preserve">5.0 Product Configuration Management</w:t>
      </w:r>
    </w:p>
    <w:p>
      <w:pPr>
        <w:pStyle w:val="Heading2"/>
        <w:spacing w:after="100" w:before="200"/>
      </w:pPr>
      <w:r>
        <w:rPr>
          <w:rFonts w:ascii="Times New Roman" w:cs="Times New Roman" w:eastAsia="Times New Roman" w:hAnsi="Times New Roman"/>
          <w:b/>
          <w:bCs/>
          <w:sz w:val="24"/>
          <w:szCs w:val="24"/>
        </w:rPr>
        <w:t xml:space="preserve">5.1 Material Solution Analysis CM Tasks</w:t>
      </w:r>
    </w:p>
    <w:p>
      <w:pPr>
        <w:spacing w:after="120"/>
      </w:pPr>
      <w:r>
        <w:rPr>
          <w:rFonts w:ascii="Times New Roman" w:cs="Times New Roman" w:eastAsia="Times New Roman" w:hAnsi="Times New Roman"/>
          <w:sz w:val="22"/>
          <w:szCs w:val="22"/>
        </w:rPr>
        <w:t xml:space="preserve">Calculate CM personnel requirement</w:t>
      </w:r>
    </w:p>
    <w:p>
      <w:pPr>
        <w:spacing w:after="120"/>
      </w:pPr>
      <w:r>
        <w:rPr>
          <w:rFonts w:ascii="Times New Roman" w:cs="Times New Roman" w:eastAsia="Times New Roman" w:hAnsi="Times New Roman"/>
          <w:sz w:val="22"/>
          <w:szCs w:val="22"/>
        </w:rPr>
        <w:t xml:space="preserve">Identify contractual deliverable requirements</w:t>
      </w:r>
    </w:p>
    <w:p>
      <w:pPr>
        <w:spacing w:after="120"/>
      </w:pPr>
      <w:r>
        <w:rPr>
          <w:rFonts w:ascii="Times New Roman" w:cs="Times New Roman" w:eastAsia="Times New Roman" w:hAnsi="Times New Roman"/>
          <w:sz w:val="22"/>
          <w:szCs w:val="22"/>
        </w:rPr>
        <w:t xml:space="preserve">Create CM Training Plan</w:t>
      </w:r>
    </w:p>
    <w:p>
      <w:pPr>
        <w:pStyle w:val="Heading2"/>
        <w:spacing w:after="100" w:before="200"/>
      </w:pPr>
      <w:r>
        <w:rPr>
          <w:rFonts w:ascii="Times New Roman" w:cs="Times New Roman" w:eastAsia="Times New Roman" w:hAnsi="Times New Roman"/>
          <w:b/>
          <w:bCs/>
          <w:sz w:val="24"/>
          <w:szCs w:val="24"/>
        </w:rPr>
        <w:t xml:space="preserve">5.2 Material Solution Analysis CM Deliverables</w:t>
      </w:r>
    </w:p>
    <w:p>
      <w:pPr>
        <w:spacing w:after="120"/>
      </w:pPr>
      <w:r>
        <w:rPr>
          <w:rFonts w:ascii="Times New Roman" w:cs="Times New Roman" w:eastAsia="Times New Roman" w:hAnsi="Times New Roman"/>
          <w:sz w:val="22"/>
          <w:szCs w:val="22"/>
        </w:rPr>
        <w:t xml:space="preserve">CM personnel budget</w:t>
      </w:r>
    </w:p>
    <w:p>
      <w:pPr>
        <w:spacing w:after="120"/>
      </w:pPr>
      <w:r>
        <w:rPr>
          <w:rFonts w:ascii="Times New Roman" w:cs="Times New Roman" w:eastAsia="Times New Roman" w:hAnsi="Times New Roman"/>
          <w:sz w:val="22"/>
          <w:szCs w:val="22"/>
        </w:rPr>
        <w:t xml:space="preserve">Contract documentation (RFP, SOW, CDRL, DID)</w:t>
      </w:r>
    </w:p>
    <w:p>
      <w:pPr>
        <w:spacing w:after="120"/>
      </w:pPr>
      <w:r>
        <w:rPr>
          <w:rFonts w:ascii="Times New Roman" w:cs="Times New Roman" w:eastAsia="Times New Roman" w:hAnsi="Times New Roman"/>
          <w:sz w:val="22"/>
          <w:szCs w:val="22"/>
        </w:rPr>
        <w:t xml:space="preserve">CM Training Plan</w:t>
      </w:r>
    </w:p>
    <w:p>
      <w:pPr>
        <w:pStyle w:val="Heading2"/>
        <w:spacing w:after="100" w:before="200"/>
      </w:pPr>
      <w:r>
        <w:rPr>
          <w:rFonts w:ascii="Times New Roman" w:cs="Times New Roman" w:eastAsia="Times New Roman" w:hAnsi="Times New Roman"/>
          <w:b/>
          <w:bCs/>
          <w:sz w:val="24"/>
          <w:szCs w:val="24"/>
        </w:rPr>
        <w:t xml:space="preserve">5.3 Technology &amp; Maturation Risk Reduction CM Tasks</w:t>
      </w:r>
    </w:p>
    <w:p>
      <w:pPr>
        <w:spacing w:after="120"/>
      </w:pPr>
      <w:r>
        <w:rPr>
          <w:rFonts w:ascii="Times New Roman" w:cs="Times New Roman" w:eastAsia="Times New Roman" w:hAnsi="Times New Roman"/>
          <w:sz w:val="22"/>
          <w:szCs w:val="22"/>
        </w:rPr>
        <w:t xml:space="preserve">Update functional baseline</w:t>
      </w:r>
    </w:p>
    <w:p>
      <w:pPr>
        <w:spacing w:after="120"/>
      </w:pPr>
      <w:r>
        <w:rPr>
          <w:rFonts w:ascii="Times New Roman" w:cs="Times New Roman" w:eastAsia="Times New Roman" w:hAnsi="Times New Roman"/>
          <w:sz w:val="22"/>
          <w:szCs w:val="22"/>
        </w:rPr>
        <w:t xml:space="preserve">Capture all required information</w:t>
      </w:r>
    </w:p>
    <w:p>
      <w:pPr>
        <w:spacing w:after="120"/>
      </w:pPr>
      <w:r>
        <w:rPr>
          <w:rFonts w:ascii="Times New Roman" w:cs="Times New Roman" w:eastAsia="Times New Roman" w:hAnsi="Times New Roman"/>
          <w:sz w:val="22"/>
          <w:szCs w:val="22"/>
        </w:rPr>
        <w:t xml:space="preserve">Distribute updated CMP</w:t>
      </w:r>
    </w:p>
    <w:p>
      <w:pPr>
        <w:pStyle w:val="Heading2"/>
        <w:spacing w:after="100" w:before="200"/>
      </w:pPr>
      <w:r>
        <w:rPr>
          <w:rFonts w:ascii="Times New Roman" w:cs="Times New Roman" w:eastAsia="Times New Roman" w:hAnsi="Times New Roman"/>
          <w:b/>
          <w:bCs/>
          <w:sz w:val="24"/>
          <w:szCs w:val="24"/>
        </w:rPr>
        <w:t xml:space="preserve">5.4 Technology &amp; Maturation Risk Reduction CM Deliverables</w:t>
      </w:r>
    </w:p>
    <w:p>
      <w:pPr>
        <w:spacing w:after="120"/>
      </w:pPr>
      <w:r>
        <w:rPr>
          <w:rFonts w:ascii="Times New Roman" w:cs="Times New Roman" w:eastAsia="Times New Roman" w:hAnsi="Times New Roman"/>
          <w:sz w:val="22"/>
          <w:szCs w:val="22"/>
        </w:rPr>
        <w:t xml:space="preserve">Functional Baseline Report</w:t>
      </w:r>
    </w:p>
    <w:p>
      <w:pPr>
        <w:spacing w:after="120"/>
      </w:pPr>
      <w:r>
        <w:rPr>
          <w:rFonts w:ascii="Times New Roman" w:cs="Times New Roman" w:eastAsia="Times New Roman" w:hAnsi="Times New Roman"/>
          <w:sz w:val="22"/>
          <w:szCs w:val="22"/>
        </w:rPr>
        <w:t xml:space="preserve">Configuration Status Accounting Report</w:t>
      </w:r>
    </w:p>
    <w:p>
      <w:pPr>
        <w:spacing w:after="120"/>
      </w:pPr>
      <w:r>
        <w:rPr>
          <w:rFonts w:ascii="Times New Roman" w:cs="Times New Roman" w:eastAsia="Times New Roman" w:hAnsi="Times New Roman"/>
          <w:sz w:val="22"/>
          <w:szCs w:val="22"/>
        </w:rPr>
        <w:t xml:space="preserve">Acquisition documentation</w:t>
      </w:r>
    </w:p>
    <w:p>
      <w:pPr>
        <w:pStyle w:val="Heading2"/>
        <w:spacing w:after="100" w:before="200"/>
      </w:pPr>
      <w:r>
        <w:rPr>
          <w:rFonts w:ascii="Times New Roman" w:cs="Times New Roman" w:eastAsia="Times New Roman" w:hAnsi="Times New Roman"/>
          <w:b/>
          <w:bCs/>
          <w:sz w:val="24"/>
          <w:szCs w:val="24"/>
        </w:rPr>
        <w:t xml:space="preserve">5.5 Engineering &amp; Manufacturing CM Tasks</w:t>
      </w:r>
    </w:p>
    <w:p>
      <w:pPr>
        <w:spacing w:after="120"/>
      </w:pPr>
      <w:r>
        <w:rPr>
          <w:rFonts w:ascii="Times New Roman" w:cs="Times New Roman" w:eastAsia="Times New Roman" w:hAnsi="Times New Roman"/>
          <w:sz w:val="22"/>
          <w:szCs w:val="22"/>
        </w:rPr>
        <w:t xml:space="preserve">Update change request process</w:t>
      </w:r>
    </w:p>
    <w:p>
      <w:pPr>
        <w:spacing w:after="120"/>
      </w:pPr>
      <w:r>
        <w:rPr>
          <w:rFonts w:ascii="Times New Roman" w:cs="Times New Roman" w:eastAsia="Times New Roman" w:hAnsi="Times New Roman"/>
          <w:sz w:val="22"/>
          <w:szCs w:val="22"/>
        </w:rPr>
        <w:t xml:space="preserve">Create allocated baseline</w:t>
      </w:r>
    </w:p>
    <w:p>
      <w:pPr>
        <w:spacing w:after="120"/>
      </w:pPr>
      <w:r>
        <w:rPr>
          <w:rFonts w:ascii="Times New Roman" w:cs="Times New Roman" w:eastAsia="Times New Roman" w:hAnsi="Times New Roman"/>
          <w:sz w:val="22"/>
          <w:szCs w:val="22"/>
        </w:rPr>
        <w:t xml:space="preserve">Conduct Functional Configuration Audit (F42–F44)</w:t>
      </w:r>
    </w:p>
    <w:p>
      <w:pPr>
        <w:pStyle w:val="Heading2"/>
        <w:spacing w:after="100" w:before="200"/>
      </w:pPr>
      <w:r>
        <w:rPr>
          <w:rFonts w:ascii="Times New Roman" w:cs="Times New Roman" w:eastAsia="Times New Roman" w:hAnsi="Times New Roman"/>
          <w:b/>
          <w:bCs/>
          <w:sz w:val="24"/>
          <w:szCs w:val="24"/>
        </w:rPr>
        <w:t xml:space="preserve">5.6 Engineering &amp; Manufacturing CM Deliverables</w:t>
      </w:r>
    </w:p>
    <w:p>
      <w:pPr>
        <w:spacing w:after="120"/>
      </w:pPr>
      <w:r>
        <w:rPr>
          <w:rFonts w:ascii="Times New Roman" w:cs="Times New Roman" w:eastAsia="Times New Roman" w:hAnsi="Times New Roman"/>
          <w:sz w:val="22"/>
          <w:szCs w:val="22"/>
        </w:rPr>
        <w:t xml:space="preserve">Change request process flow</w:t>
      </w:r>
    </w:p>
    <w:p>
      <w:pPr>
        <w:spacing w:after="120"/>
      </w:pPr>
      <w:r>
        <w:rPr>
          <w:rFonts w:ascii="Times New Roman" w:cs="Times New Roman" w:eastAsia="Times New Roman" w:hAnsi="Times New Roman"/>
          <w:sz w:val="22"/>
          <w:szCs w:val="22"/>
        </w:rPr>
        <w:t xml:space="preserve">Allocated Baseline Report</w:t>
      </w:r>
    </w:p>
    <w:p>
      <w:pPr>
        <w:spacing w:after="120"/>
      </w:pPr>
      <w:r>
        <w:rPr>
          <w:rFonts w:ascii="Times New Roman" w:cs="Times New Roman" w:eastAsia="Times New Roman" w:hAnsi="Times New Roman"/>
          <w:sz w:val="22"/>
          <w:szCs w:val="22"/>
        </w:rPr>
        <w:t xml:space="preserve">Functional Configuration Audit Report including documented non-compliances provided to the Acquirer (F43)</w:t>
      </w:r>
    </w:p>
    <w:p>
      <w:pPr>
        <w:pStyle w:val="Heading2"/>
        <w:spacing w:after="100" w:before="200"/>
      </w:pPr>
      <w:r>
        <w:rPr>
          <w:rFonts w:ascii="Times New Roman" w:cs="Times New Roman" w:eastAsia="Times New Roman" w:hAnsi="Times New Roman"/>
          <w:b/>
          <w:bCs/>
          <w:sz w:val="24"/>
          <w:szCs w:val="24"/>
        </w:rPr>
        <w:t xml:space="preserve">5.7 Production &amp; Development CM Tasks</w:t>
      </w:r>
    </w:p>
    <w:p>
      <w:pPr>
        <w:spacing w:after="120"/>
      </w:pPr>
      <w:r>
        <w:rPr>
          <w:rFonts w:ascii="Times New Roman" w:cs="Times New Roman" w:eastAsia="Times New Roman" w:hAnsi="Times New Roman"/>
          <w:sz w:val="22"/>
          <w:szCs w:val="22"/>
        </w:rPr>
        <w:t xml:space="preserve">Conduct Physical Configuration Audit (F29–F31)</w:t>
      </w:r>
    </w:p>
    <w:p>
      <w:pPr>
        <w:spacing w:after="120"/>
      </w:pPr>
      <w:r>
        <w:rPr>
          <w:rFonts w:ascii="Times New Roman" w:cs="Times New Roman" w:eastAsia="Times New Roman" w:hAnsi="Times New Roman"/>
          <w:sz w:val="22"/>
          <w:szCs w:val="22"/>
        </w:rPr>
        <w:t xml:space="preserve">Identify differences between production CI and the development CI used for FCA (F34)</w:t>
      </w:r>
    </w:p>
    <w:p>
      <w:pPr>
        <w:spacing w:after="120"/>
      </w:pPr>
      <w:r>
        <w:rPr>
          <w:rFonts w:ascii="Times New Roman" w:cs="Times New Roman" w:eastAsia="Times New Roman" w:hAnsi="Times New Roman"/>
          <w:sz w:val="22"/>
          <w:szCs w:val="22"/>
        </w:rPr>
        <w:t xml:space="preserve">Update product baseline</w:t>
      </w:r>
    </w:p>
    <w:p>
      <w:pPr>
        <w:spacing w:after="120"/>
      </w:pPr>
      <w:r>
        <w:rPr>
          <w:rFonts w:ascii="Times New Roman" w:cs="Times New Roman" w:eastAsia="Times New Roman" w:hAnsi="Times New Roman"/>
          <w:sz w:val="22"/>
          <w:szCs w:val="22"/>
        </w:rPr>
        <w:t xml:space="preserve">Verify CMP implementation</w:t>
      </w:r>
    </w:p>
    <w:p>
      <w:pPr>
        <w:pStyle w:val="Heading2"/>
        <w:spacing w:after="100" w:before="200"/>
      </w:pPr>
      <w:r>
        <w:rPr>
          <w:rFonts w:ascii="Times New Roman" w:cs="Times New Roman" w:eastAsia="Times New Roman" w:hAnsi="Times New Roman"/>
          <w:b/>
          <w:bCs/>
          <w:sz w:val="24"/>
          <w:szCs w:val="24"/>
        </w:rPr>
        <w:t xml:space="preserve">5.8 Production &amp; Development CM Deliverables</w:t>
      </w:r>
    </w:p>
    <w:p>
      <w:pPr>
        <w:spacing w:after="120"/>
      </w:pPr>
      <w:r>
        <w:rPr>
          <w:rFonts w:ascii="Times New Roman" w:cs="Times New Roman" w:eastAsia="Times New Roman" w:hAnsi="Times New Roman"/>
          <w:sz w:val="22"/>
          <w:szCs w:val="22"/>
        </w:rPr>
        <w:t xml:space="preserve">Physical Configuration Audit Report including documented non-compliances provided to the Acquirer (F31)</w:t>
      </w:r>
    </w:p>
    <w:p>
      <w:pPr>
        <w:spacing w:after="120"/>
      </w:pPr>
      <w:r>
        <w:rPr>
          <w:rFonts w:ascii="Times New Roman" w:cs="Times New Roman" w:eastAsia="Times New Roman" w:hAnsi="Times New Roman"/>
          <w:sz w:val="22"/>
          <w:szCs w:val="22"/>
        </w:rPr>
        <w:t xml:space="preserve">Product Baseline Report</w:t>
      </w:r>
    </w:p>
    <w:p>
      <w:pPr>
        <w:spacing w:after="120"/>
      </w:pPr>
      <w:r>
        <w:rPr>
          <w:rFonts w:ascii="Times New Roman" w:cs="Times New Roman" w:eastAsia="Times New Roman" w:hAnsi="Times New Roman"/>
          <w:sz w:val="22"/>
          <w:szCs w:val="22"/>
        </w:rPr>
        <w:t xml:space="preserve">Process Audit Report</w:t>
      </w:r>
    </w:p>
    <w:p>
      <w:pPr>
        <w:pStyle w:val="Heading2"/>
        <w:spacing w:after="100" w:before="200"/>
      </w:pPr>
      <w:r>
        <w:rPr>
          <w:rFonts w:ascii="Times New Roman" w:cs="Times New Roman" w:eastAsia="Times New Roman" w:hAnsi="Times New Roman"/>
          <w:b/>
          <w:bCs/>
          <w:sz w:val="24"/>
          <w:szCs w:val="24"/>
        </w:rPr>
        <w:t xml:space="preserve">5.9 Operations &amp; Support CM Tasks</w:t>
      </w:r>
    </w:p>
    <w:p>
      <w:pPr>
        <w:spacing w:after="120"/>
      </w:pPr>
      <w:r>
        <w:rPr>
          <w:rFonts w:ascii="Times New Roman" w:cs="Times New Roman" w:eastAsia="Times New Roman" w:hAnsi="Times New Roman"/>
          <w:sz w:val="22"/>
          <w:szCs w:val="22"/>
        </w:rPr>
        <w:t xml:space="preserve">Create as-installed baseline</w:t>
      </w:r>
    </w:p>
    <w:p>
      <w:pPr>
        <w:spacing w:after="120"/>
      </w:pPr>
      <w:r>
        <w:rPr>
          <w:rFonts w:ascii="Times New Roman" w:cs="Times New Roman" w:eastAsia="Times New Roman" w:hAnsi="Times New Roman"/>
          <w:sz w:val="22"/>
          <w:szCs w:val="22"/>
        </w:rPr>
        <w:t xml:space="preserve">Document incorporation of retrofit changes to units identified for retrofit (F33)</w:t>
      </w:r>
    </w:p>
    <w:p>
      <w:pPr>
        <w:spacing w:after="120"/>
      </w:pPr>
      <w:r>
        <w:rPr>
          <w:rFonts w:ascii="Times New Roman" w:cs="Times New Roman" w:eastAsia="Times New Roman" w:hAnsi="Times New Roman"/>
          <w:sz w:val="22"/>
          <w:szCs w:val="22"/>
        </w:rPr>
        <w:t xml:space="preserve">Capture CI disposal status</w:t>
      </w:r>
    </w:p>
    <w:p>
      <w:pPr>
        <w:spacing w:after="120"/>
      </w:pPr>
      <w:r>
        <w:rPr>
          <w:rFonts w:ascii="Times New Roman" w:cs="Times New Roman" w:eastAsia="Times New Roman" w:hAnsi="Times New Roman"/>
          <w:sz w:val="22"/>
          <w:szCs w:val="22"/>
        </w:rPr>
        <w:t xml:space="preserve">Update the CMP</w:t>
      </w:r>
    </w:p>
    <w:p>
      <w:pPr>
        <w:pStyle w:val="Heading2"/>
        <w:spacing w:after="100" w:before="200"/>
      </w:pPr>
      <w:r>
        <w:rPr>
          <w:rFonts w:ascii="Times New Roman" w:cs="Times New Roman" w:eastAsia="Times New Roman" w:hAnsi="Times New Roman"/>
          <w:b/>
          <w:bCs/>
          <w:sz w:val="24"/>
          <w:szCs w:val="24"/>
        </w:rPr>
        <w:t xml:space="preserve">5.10 Operations &amp; Support CM Deliverables</w:t>
      </w:r>
    </w:p>
    <w:p>
      <w:pPr>
        <w:spacing w:after="120"/>
      </w:pPr>
      <w:r>
        <w:rPr>
          <w:rFonts w:ascii="Times New Roman" w:cs="Times New Roman" w:eastAsia="Times New Roman" w:hAnsi="Times New Roman"/>
          <w:sz w:val="22"/>
          <w:szCs w:val="22"/>
        </w:rPr>
        <w:t xml:space="preserve">As-Installed Baseline Report</w:t>
      </w:r>
    </w:p>
    <w:p>
      <w:pPr>
        <w:spacing w:after="120"/>
      </w:pPr>
      <w:r>
        <w:rPr>
          <w:rFonts w:ascii="Times New Roman" w:cs="Times New Roman" w:eastAsia="Times New Roman" w:hAnsi="Times New Roman"/>
          <w:sz w:val="22"/>
          <w:szCs w:val="22"/>
        </w:rPr>
        <w:t xml:space="preserve">Baseline report reflecting disposal status</w:t>
      </w:r>
    </w:p>
    <w:p>
      <w:pPr>
        <w:spacing w:after="120"/>
      </w:pPr>
      <w:r>
        <w:rPr>
          <w:rFonts w:ascii="Times New Roman" w:cs="Times New Roman" w:eastAsia="Times New Roman" w:hAnsi="Times New Roman"/>
          <w:sz w:val="22"/>
          <w:szCs w:val="22"/>
        </w:rPr>
        <w:t xml:space="preserve">Updated CMP</w:t>
      </w:r>
    </w:p>
    <w:p>
      <w:r>
        <w:br w:type="page"/>
      </w:r>
    </w:p>
    <w:p>
      <w:pPr>
        <w:pStyle w:val="Heading1"/>
        <w:spacing w:after="120" w:before="240"/>
      </w:pPr>
      <w:r>
        <w:rPr>
          <w:rFonts w:ascii="Times New Roman" w:cs="Times New Roman" w:eastAsia="Times New Roman" w:hAnsi="Times New Roman"/>
          <w:b/>
          <w:bCs/>
          <w:sz w:val="28"/>
          <w:szCs w:val="28"/>
        </w:rPr>
        <w:t xml:space="preserve">6.0 Platform Configuration Management</w:t>
      </w:r>
    </w:p>
    <w:p>
      <w:pPr>
        <w:pStyle w:val="Heading2"/>
        <w:spacing w:after="100" w:before="200"/>
      </w:pPr>
      <w:r>
        <w:rPr>
          <w:rFonts w:ascii="Times New Roman" w:cs="Times New Roman" w:eastAsia="Times New Roman" w:hAnsi="Times New Roman"/>
          <w:b/>
          <w:bCs/>
          <w:sz w:val="24"/>
          <w:szCs w:val="24"/>
        </w:rPr>
        <w:t xml:space="preserve">6.1 Configuration Data Transition CM Tasks</w:t>
      </w:r>
    </w:p>
    <w:p>
      <w:pPr>
        <w:spacing w:after="120"/>
      </w:pPr>
      <w:r>
        <w:rPr>
          <w:rFonts w:ascii="Times New Roman" w:cs="Times New Roman" w:eastAsia="Times New Roman" w:hAnsi="Times New Roman"/>
          <w:sz w:val="22"/>
          <w:szCs w:val="22"/>
        </w:rPr>
        <w:t xml:space="preserve">Collect planning and requirement documents</w:t>
      </w:r>
    </w:p>
    <w:p>
      <w:pPr>
        <w:spacing w:after="120"/>
      </w:pPr>
      <w:r>
        <w:rPr>
          <w:rFonts w:ascii="Times New Roman" w:cs="Times New Roman" w:eastAsia="Times New Roman" w:hAnsi="Times New Roman"/>
          <w:sz w:val="22"/>
          <w:szCs w:val="22"/>
        </w:rPr>
        <w:t xml:space="preserve">Create advanced coordinated fielding plan</w:t>
      </w:r>
    </w:p>
    <w:p>
      <w:pPr>
        <w:spacing w:after="120"/>
      </w:pPr>
      <w:r>
        <w:rPr>
          <w:rFonts w:ascii="Times New Roman" w:cs="Times New Roman" w:eastAsia="Times New Roman" w:hAnsi="Times New Roman"/>
          <w:sz w:val="22"/>
          <w:szCs w:val="22"/>
        </w:rPr>
        <w:t xml:space="preserve">Verify data and document management information</w:t>
      </w:r>
    </w:p>
    <w:p>
      <w:pPr>
        <w:pStyle w:val="Heading2"/>
        <w:spacing w:after="100" w:before="200"/>
      </w:pPr>
      <w:r>
        <w:rPr>
          <w:rFonts w:ascii="Times New Roman" w:cs="Times New Roman" w:eastAsia="Times New Roman" w:hAnsi="Times New Roman"/>
          <w:b/>
          <w:bCs/>
          <w:sz w:val="24"/>
          <w:szCs w:val="24"/>
        </w:rPr>
        <w:t xml:space="preserve">6.2 Configuration Data Transition CM Deliverables</w:t>
      </w:r>
    </w:p>
    <w:p>
      <w:pPr>
        <w:spacing w:after="120"/>
      </w:pPr>
      <w:r>
        <w:rPr>
          <w:rFonts w:ascii="Times New Roman" w:cs="Times New Roman" w:eastAsia="Times New Roman" w:hAnsi="Times New Roman"/>
          <w:sz w:val="22"/>
          <w:szCs w:val="22"/>
        </w:rPr>
        <w:t xml:space="preserve">Planning and requirement document library</w:t>
      </w:r>
    </w:p>
    <w:p>
      <w:pPr>
        <w:spacing w:after="120"/>
      </w:pPr>
      <w:r>
        <w:rPr>
          <w:rFonts w:ascii="Times New Roman" w:cs="Times New Roman" w:eastAsia="Times New Roman" w:hAnsi="Times New Roman"/>
          <w:sz w:val="22"/>
          <w:szCs w:val="22"/>
        </w:rPr>
        <w:t xml:space="preserve">Advanced coordinated fielding plan</w:t>
      </w:r>
    </w:p>
    <w:p>
      <w:pPr>
        <w:spacing w:after="120"/>
      </w:pPr>
      <w:r>
        <w:rPr>
          <w:rFonts w:ascii="Times New Roman" w:cs="Times New Roman" w:eastAsia="Times New Roman" w:hAnsi="Times New Roman"/>
          <w:sz w:val="22"/>
          <w:szCs w:val="22"/>
        </w:rPr>
        <w:t xml:space="preserve">Data and document management information</w:t>
      </w:r>
    </w:p>
    <w:p>
      <w:pPr>
        <w:pStyle w:val="Heading2"/>
        <w:spacing w:after="100" w:before="200"/>
      </w:pPr>
      <w:r>
        <w:rPr>
          <w:rFonts w:ascii="Times New Roman" w:cs="Times New Roman" w:eastAsia="Times New Roman" w:hAnsi="Times New Roman"/>
          <w:b/>
          <w:bCs/>
          <w:sz w:val="24"/>
          <w:szCs w:val="24"/>
        </w:rPr>
        <w:t xml:space="preserve">6.3 Baseline Management CM Tasks</w:t>
      </w:r>
    </w:p>
    <w:p>
      <w:pPr>
        <w:spacing w:after="120"/>
      </w:pPr>
      <w:r>
        <w:rPr>
          <w:rFonts w:ascii="Times New Roman" w:cs="Times New Roman" w:eastAsia="Times New Roman" w:hAnsi="Times New Roman"/>
          <w:sz w:val="22"/>
          <w:szCs w:val="22"/>
        </w:rPr>
        <w:t xml:space="preserve">Create platform baseline</w:t>
      </w:r>
    </w:p>
    <w:p>
      <w:pPr>
        <w:spacing w:after="120"/>
      </w:pPr>
      <w:r>
        <w:rPr>
          <w:rFonts w:ascii="Times New Roman" w:cs="Times New Roman" w:eastAsia="Times New Roman" w:hAnsi="Times New Roman"/>
          <w:sz w:val="22"/>
          <w:szCs w:val="22"/>
        </w:rPr>
        <w:t xml:space="preserve">Process change requests against platform baseline</w:t>
      </w:r>
    </w:p>
    <w:p>
      <w:pPr>
        <w:pStyle w:val="Heading2"/>
        <w:spacing w:after="100" w:before="200"/>
      </w:pPr>
      <w:r>
        <w:rPr>
          <w:rFonts w:ascii="Times New Roman" w:cs="Times New Roman" w:eastAsia="Times New Roman" w:hAnsi="Times New Roman"/>
          <w:b/>
          <w:bCs/>
          <w:sz w:val="24"/>
          <w:szCs w:val="24"/>
        </w:rPr>
        <w:t xml:space="preserve">6.4 Baseline Management CM Deliverables</w:t>
      </w:r>
    </w:p>
    <w:p>
      <w:pPr>
        <w:spacing w:after="120"/>
      </w:pPr>
      <w:r>
        <w:rPr>
          <w:rFonts w:ascii="Times New Roman" w:cs="Times New Roman" w:eastAsia="Times New Roman" w:hAnsi="Times New Roman"/>
          <w:sz w:val="22"/>
          <w:szCs w:val="22"/>
        </w:rPr>
        <w:t xml:space="preserve">Platform Baseline Report</w:t>
      </w:r>
    </w:p>
    <w:p>
      <w:pPr>
        <w:spacing w:after="120"/>
      </w:pPr>
      <w:r>
        <w:rPr>
          <w:rFonts w:ascii="Times New Roman" w:cs="Times New Roman" w:eastAsia="Times New Roman" w:hAnsi="Times New Roman"/>
          <w:sz w:val="22"/>
          <w:szCs w:val="22"/>
        </w:rPr>
        <w:t xml:space="preserve">Change request log</w:t>
      </w:r>
    </w:p>
    <w:p>
      <w:pPr>
        <w:pStyle w:val="Heading2"/>
        <w:spacing w:after="100" w:before="200"/>
      </w:pPr>
      <w:r>
        <w:rPr>
          <w:rFonts w:ascii="Times New Roman" w:cs="Times New Roman" w:eastAsia="Times New Roman" w:hAnsi="Times New Roman"/>
          <w:b/>
          <w:bCs/>
          <w:sz w:val="24"/>
          <w:szCs w:val="24"/>
        </w:rPr>
        <w:t xml:space="preserve">6.5 Release Management CM Tasks</w:t>
      </w:r>
    </w:p>
    <w:p>
      <w:pPr>
        <w:spacing w:after="120"/>
      </w:pPr>
      <w:r>
        <w:rPr>
          <w:rFonts w:ascii="Times New Roman" w:cs="Times New Roman" w:eastAsia="Times New Roman" w:hAnsi="Times New Roman"/>
          <w:sz w:val="22"/>
          <w:szCs w:val="22"/>
        </w:rPr>
        <w:t xml:space="preserve">Verify release package content</w:t>
      </w:r>
    </w:p>
    <w:p>
      <w:pPr>
        <w:spacing w:after="120"/>
      </w:pPr>
      <w:r>
        <w:rPr>
          <w:rFonts w:ascii="Times New Roman" w:cs="Times New Roman" w:eastAsia="Times New Roman" w:hAnsi="Times New Roman"/>
          <w:sz w:val="22"/>
          <w:szCs w:val="22"/>
        </w:rPr>
        <w:t xml:space="preserve">Release approved baseline changes via the documented engineering release system (F13)</w:t>
      </w:r>
    </w:p>
    <w:p>
      <w:pPr>
        <w:pStyle w:val="Heading2"/>
        <w:spacing w:after="100" w:before="200"/>
      </w:pPr>
      <w:r>
        <w:rPr>
          <w:rFonts w:ascii="Times New Roman" w:cs="Times New Roman" w:eastAsia="Times New Roman" w:hAnsi="Times New Roman"/>
          <w:b/>
          <w:bCs/>
          <w:sz w:val="24"/>
          <w:szCs w:val="24"/>
        </w:rPr>
        <w:t xml:space="preserve">6.6 Release Management CM Deliverables</w:t>
      </w:r>
    </w:p>
    <w:p>
      <w:pPr>
        <w:spacing w:after="120"/>
      </w:pPr>
      <w:r>
        <w:rPr>
          <w:rFonts w:ascii="Times New Roman" w:cs="Times New Roman" w:eastAsia="Times New Roman" w:hAnsi="Times New Roman"/>
          <w:sz w:val="22"/>
          <w:szCs w:val="22"/>
        </w:rPr>
        <w:t xml:space="preserve">Release records with before/after revision traceability (F23)</w:t>
      </w:r>
    </w:p>
    <w:p>
      <w:pPr>
        <w:pStyle w:val="Heading2"/>
        <w:spacing w:after="100" w:before="200"/>
      </w:pPr>
      <w:r>
        <w:rPr>
          <w:rFonts w:ascii="Times New Roman" w:cs="Times New Roman" w:eastAsia="Times New Roman" w:hAnsi="Times New Roman"/>
          <w:b/>
          <w:bCs/>
          <w:sz w:val="24"/>
          <w:szCs w:val="24"/>
        </w:rPr>
        <w:t xml:space="preserve">6.7 Installation Management CM Tasks</w:t>
      </w:r>
    </w:p>
    <w:p>
      <w:pPr>
        <w:spacing w:after="120"/>
      </w:pPr>
      <w:r>
        <w:rPr>
          <w:rFonts w:ascii="Times New Roman" w:cs="Times New Roman" w:eastAsia="Times New Roman" w:hAnsi="Times New Roman"/>
          <w:sz w:val="22"/>
          <w:szCs w:val="22"/>
        </w:rPr>
        <w:t xml:space="preserve">Track installation status</w:t>
      </w:r>
    </w:p>
    <w:p>
      <w:pPr>
        <w:spacing w:after="120"/>
      </w:pPr>
      <w:r>
        <w:rPr>
          <w:rFonts w:ascii="Times New Roman" w:cs="Times New Roman" w:eastAsia="Times New Roman" w:hAnsi="Times New Roman"/>
          <w:sz w:val="22"/>
          <w:szCs w:val="22"/>
        </w:rPr>
        <w:t xml:space="preserve">Verify proper parts installed against approved configuration (F30)</w:t>
      </w:r>
    </w:p>
    <w:p>
      <w:pPr>
        <w:pStyle w:val="Heading2"/>
        <w:spacing w:after="100" w:before="200"/>
      </w:pPr>
      <w:r>
        <w:rPr>
          <w:rFonts w:ascii="Times New Roman" w:cs="Times New Roman" w:eastAsia="Times New Roman" w:hAnsi="Times New Roman"/>
          <w:b/>
          <w:bCs/>
          <w:sz w:val="24"/>
          <w:szCs w:val="24"/>
        </w:rPr>
        <w:t xml:space="preserve">6.8 Installation Management CM Deliverables</w:t>
      </w:r>
    </w:p>
    <w:p>
      <w:pPr>
        <w:spacing w:after="120"/>
      </w:pPr>
      <w:r>
        <w:rPr>
          <w:rFonts w:ascii="Times New Roman" w:cs="Times New Roman" w:eastAsia="Times New Roman" w:hAnsi="Times New Roman"/>
          <w:sz w:val="22"/>
          <w:szCs w:val="22"/>
        </w:rPr>
        <w:t xml:space="preserve">Installation status records</w:t>
      </w:r>
    </w:p>
    <w:p>
      <w:pPr>
        <w:spacing w:after="120"/>
      </w:pPr>
      <w:r>
        <w:rPr>
          <w:rFonts w:ascii="Times New Roman" w:cs="Times New Roman" w:eastAsia="Times New Roman" w:hAnsi="Times New Roman"/>
          <w:sz w:val="22"/>
          <w:szCs w:val="22"/>
        </w:rPr>
        <w:t xml:space="preserve">As-installed discrepancy report</w:t>
      </w:r>
    </w:p>
    <w:p>
      <w:pPr>
        <w:pStyle w:val="Heading2"/>
        <w:spacing w:after="100" w:before="200"/>
      </w:pPr>
      <w:r>
        <w:rPr>
          <w:rFonts w:ascii="Times New Roman" w:cs="Times New Roman" w:eastAsia="Times New Roman" w:hAnsi="Times New Roman"/>
          <w:b/>
          <w:bCs/>
          <w:sz w:val="24"/>
          <w:szCs w:val="24"/>
        </w:rPr>
        <w:t xml:space="preserve">6.9 Sustainment CM Tasks</w:t>
      </w:r>
    </w:p>
    <w:p>
      <w:pPr>
        <w:spacing w:after="120"/>
      </w:pPr>
      <w:r>
        <w:rPr>
          <w:rFonts w:ascii="Times New Roman" w:cs="Times New Roman" w:eastAsia="Times New Roman" w:hAnsi="Times New Roman"/>
          <w:sz w:val="22"/>
          <w:szCs w:val="22"/>
        </w:rPr>
        <w:t xml:space="preserve">Monitor platform baseline</w:t>
      </w:r>
    </w:p>
    <w:p>
      <w:pPr>
        <w:spacing w:after="120"/>
      </w:pPr>
      <w:r>
        <w:rPr>
          <w:rFonts w:ascii="Times New Roman" w:cs="Times New Roman" w:eastAsia="Times New Roman" w:hAnsi="Times New Roman"/>
          <w:sz w:val="22"/>
          <w:szCs w:val="22"/>
        </w:rPr>
        <w:t xml:space="preserve">Participate in platform configuration audit</w:t>
      </w:r>
    </w:p>
    <w:p>
      <w:pPr>
        <w:spacing w:after="120"/>
      </w:pPr>
      <w:r>
        <w:rPr>
          <w:rFonts w:ascii="Times New Roman" w:cs="Times New Roman" w:eastAsia="Times New Roman" w:hAnsi="Times New Roman"/>
          <w:sz w:val="22"/>
          <w:szCs w:val="22"/>
        </w:rPr>
        <w:t xml:space="preserve">Review platform CSA records</w:t>
      </w:r>
    </w:p>
    <w:p>
      <w:pPr>
        <w:pStyle w:val="Heading2"/>
        <w:spacing w:after="100" w:before="200"/>
      </w:pPr>
      <w:r>
        <w:rPr>
          <w:rFonts w:ascii="Times New Roman" w:cs="Times New Roman" w:eastAsia="Times New Roman" w:hAnsi="Times New Roman"/>
          <w:b/>
          <w:bCs/>
          <w:sz w:val="24"/>
          <w:szCs w:val="24"/>
        </w:rPr>
        <w:t xml:space="preserve">6.10 Sustainment CM Deliverables</w:t>
      </w:r>
    </w:p>
    <w:p>
      <w:pPr>
        <w:spacing w:after="120"/>
      </w:pPr>
      <w:r>
        <w:rPr>
          <w:rFonts w:ascii="Times New Roman" w:cs="Times New Roman" w:eastAsia="Times New Roman" w:hAnsi="Times New Roman"/>
          <w:sz w:val="22"/>
          <w:szCs w:val="22"/>
        </w:rPr>
        <w:t xml:space="preserve">Platform baseline discrepancy report</w:t>
      </w:r>
    </w:p>
    <w:p>
      <w:pPr>
        <w:spacing w:after="120"/>
      </w:pPr>
      <w:r>
        <w:rPr>
          <w:rFonts w:ascii="Times New Roman" w:cs="Times New Roman" w:eastAsia="Times New Roman" w:hAnsi="Times New Roman"/>
          <w:sz w:val="22"/>
          <w:szCs w:val="22"/>
        </w:rPr>
        <w:t xml:space="preserve">Platform configuration audit report</w:t>
      </w:r>
    </w:p>
    <w:p>
      <w:pPr>
        <w:spacing w:after="120"/>
      </w:pPr>
      <w:r>
        <w:rPr>
          <w:rFonts w:ascii="Times New Roman" w:cs="Times New Roman" w:eastAsia="Times New Roman" w:hAnsi="Times New Roman"/>
          <w:sz w:val="22"/>
          <w:szCs w:val="22"/>
        </w:rPr>
        <w:t xml:space="preserve">Platform CSA records</w:t>
      </w:r>
    </w:p>
    <w:p>
      <w:pPr>
        <w:pStyle w:val="Heading2"/>
        <w:spacing w:after="100" w:before="200"/>
      </w:pPr>
      <w:r>
        <w:rPr>
          <w:rFonts w:ascii="Times New Roman" w:cs="Times New Roman" w:eastAsia="Times New Roman" w:hAnsi="Times New Roman"/>
          <w:b/>
          <w:bCs/>
          <w:sz w:val="24"/>
          <w:szCs w:val="24"/>
        </w:rPr>
        <w:t xml:space="preserve">6.11 Disposal CM Tasks</w:t>
      </w:r>
    </w:p>
    <w:p>
      <w:pPr>
        <w:spacing w:after="120"/>
      </w:pPr>
      <w:r>
        <w:rPr>
          <w:rFonts w:ascii="Times New Roman" w:cs="Times New Roman" w:eastAsia="Times New Roman" w:hAnsi="Times New Roman"/>
          <w:sz w:val="22"/>
          <w:szCs w:val="22"/>
        </w:rPr>
        <w:t xml:space="preserve">Create change request for end of life</w:t>
      </w:r>
    </w:p>
    <w:p>
      <w:pPr>
        <w:spacing w:after="120"/>
      </w:pPr>
      <w:r>
        <w:rPr>
          <w:rFonts w:ascii="Times New Roman" w:cs="Times New Roman" w:eastAsia="Times New Roman" w:hAnsi="Times New Roman"/>
          <w:sz w:val="22"/>
          <w:szCs w:val="22"/>
        </w:rPr>
        <w:t xml:space="preserve">Update the platform baseline</w:t>
      </w:r>
    </w:p>
    <w:p>
      <w:pPr>
        <w:spacing w:after="120"/>
      </w:pPr>
      <w:r>
        <w:rPr>
          <w:rFonts w:ascii="Times New Roman" w:cs="Times New Roman" w:eastAsia="Times New Roman" w:hAnsi="Times New Roman"/>
          <w:sz w:val="22"/>
          <w:szCs w:val="22"/>
        </w:rPr>
        <w:t xml:space="preserve">Update platform CSA records</w:t>
      </w:r>
    </w:p>
    <w:p>
      <w:pPr>
        <w:pStyle w:val="Heading2"/>
        <w:spacing w:after="100" w:before="200"/>
      </w:pPr>
      <w:r>
        <w:rPr>
          <w:rFonts w:ascii="Times New Roman" w:cs="Times New Roman" w:eastAsia="Times New Roman" w:hAnsi="Times New Roman"/>
          <w:b/>
          <w:bCs/>
          <w:sz w:val="24"/>
          <w:szCs w:val="24"/>
        </w:rPr>
        <w:t xml:space="preserve">6.12 Disposal CM Deliverables</w:t>
      </w:r>
    </w:p>
    <w:p>
      <w:pPr>
        <w:spacing w:after="120"/>
      </w:pPr>
      <w:r>
        <w:rPr>
          <w:rFonts w:ascii="Times New Roman" w:cs="Times New Roman" w:eastAsia="Times New Roman" w:hAnsi="Times New Roman"/>
          <w:sz w:val="22"/>
          <w:szCs w:val="22"/>
        </w:rPr>
        <w:t xml:space="preserve">Alteration completion report</w:t>
      </w:r>
    </w:p>
    <w:p>
      <w:pPr>
        <w:spacing w:after="120"/>
      </w:pPr>
      <w:r>
        <w:rPr>
          <w:rFonts w:ascii="Times New Roman" w:cs="Times New Roman" w:eastAsia="Times New Roman" w:hAnsi="Times New Roman"/>
          <w:sz w:val="22"/>
          <w:szCs w:val="22"/>
        </w:rPr>
        <w:t xml:space="preserve">Platform baseline report</w:t>
      </w:r>
    </w:p>
    <w:p>
      <w:pPr>
        <w:spacing w:after="120"/>
      </w:pPr>
      <w:r>
        <w:rPr>
          <w:rFonts w:ascii="Times New Roman" w:cs="Times New Roman" w:eastAsia="Times New Roman" w:hAnsi="Times New Roman"/>
          <w:sz w:val="22"/>
          <w:szCs w:val="22"/>
        </w:rPr>
        <w:t xml:space="preserve">Platform CSA records</w:t>
      </w:r>
    </w:p>
    <w:p>
      <w:r>
        <w:br w:type="page"/>
      </w:r>
    </w:p>
    <w:p>
      <w:pPr>
        <w:pStyle w:val="Heading1"/>
        <w:spacing w:after="120" w:before="240"/>
      </w:pPr>
      <w:r>
        <w:rPr>
          <w:rFonts w:ascii="Times New Roman" w:cs="Times New Roman" w:eastAsia="Times New Roman" w:hAnsi="Times New Roman"/>
          <w:b/>
          <w:bCs/>
          <w:sz w:val="28"/>
          <w:szCs w:val="28"/>
        </w:rPr>
        <w:t xml:space="preserve">7.0 CM Floor Requirements Implementation</w:t>
      </w:r>
    </w:p>
    <w:p>
      <w:pPr>
        <w:spacing w:after="120"/>
      </w:pPr>
      <w:r>
        <w:rPr>
          <w:rFonts w:ascii="Times New Roman" w:cs="Times New Roman" w:eastAsia="Times New Roman" w:hAnsi="Times New Roman"/>
          <w:sz w:val="22"/>
          <w:szCs w:val="22"/>
        </w:rPr>
        <w:t xml:space="preserve">This section implements the CM floor: the discrete EIA-649-1A (Rev. A) "shall" statements obligated through the SMS pathway. These requirements are performed on all safety-significant product lines regardless of contract flow-down, or are replaced by documented equivalent controls approved by the CM Technical Process Owner. Requirement text below is paraphrased for reference by EIA-649-1A clause; the governing text is the standard itself (EIA-649-1A, SAE, issued Nov 2014, revised Aug 2020). Inclusion categories: Clean, Judgment, Conditional (see Section 1.4 and Appendix Q).</w:t>
      </w:r>
    </w:p>
    <w:p>
      <w:pPr>
        <w:pStyle w:val="Heading2"/>
        <w:spacing w:after="100" w:before="200"/>
      </w:pPr>
      <w:r>
        <w:rPr>
          <w:rFonts w:ascii="Times New Roman" w:cs="Times New Roman" w:eastAsia="Times New Roman" w:hAnsi="Times New Roman"/>
          <w:b/>
          <w:bCs/>
          <w:sz w:val="24"/>
          <w:szCs w:val="24"/>
        </w:rPr>
        <w:t xml:space="preserve">7.1 Cluster 1: Hazard Identification &amp; Critical-Item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60"/>
        <w:gridCol w:w="3600"/>
      </w:tblGrid>
      <w:tr>
        <w:trPr>
          <w:tblHeader/>
        </w:trP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36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 — governing text is EIA-649-1A)</w:t>
            </w:r>
          </w:p>
        </w:tc>
        <w:tc>
          <w:tcPr>
            <w:tcW w:type="dxa" w:w="36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Implementation in this CMP</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3.2.1(2)(b)</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Identify as a CI any item whose failure could cause serious injury, loss of life, or loss of primary system capability</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2.3 Configuration Identification;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3.3.1.2(1)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Classify every engineering change as Major (Class I) or Minor (Class II)</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3.3.1.2(2)(e)(6)(a)</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Treat changes affecting safety as Major (Class I)</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3.3(3)</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Support a joint Acquirer/Supplier Configuration Control Board</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3.2 Acquirer–Supplier;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F05</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3.3.1.8.1(1)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Obtain Acquirer concurrence on Minor (Class II) classification</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Replaced by a documented equivalent control approved by the CM Technical Process Owner. Acquirer concurrence is obtained at the quarterly baseline review. Owned by Configuration Manager (CMGR).</w:t>
            </w:r>
          </w:p>
        </w:tc>
      </w:tr>
    </w:tbl>
    <w:p>
      <w:pPr>
        <w:spacing w:after="12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sz w:val="24"/>
          <w:szCs w:val="24"/>
        </w:rPr>
        <w:t xml:space="preserve">7.2 Cluster 2: Change Discipline &amp;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60"/>
        <w:gridCol w:w="3600"/>
      </w:tblGrid>
      <w:tr>
        <w:trPr>
          <w:tblHeader/>
        </w:trP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36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 — governing text is EIA-649-1A)</w:t>
            </w:r>
          </w:p>
        </w:tc>
        <w:tc>
          <w:tcPr>
            <w:tcW w:type="dxa" w:w="36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Implementation in this CMP</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F06</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Apply configuration control to each CI, its components, and its documentation</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F07</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Document, evaluate, disposition, record in CSA, and report changes and variances</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2.5 CSA;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F08</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3.3(2)(e)</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Incorporate approved changes into all product configuration information and implement them</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F09</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3.3(2)(f)</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Verify approved changes were incorporated</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2.6 Verification &amp; Audit;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F10</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Use an ECP to document baseline changes and submit to the change approval authority</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3.3.1.1(1)(a)</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Define the need for each change</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3.3.1.1(1)(e)</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Incorporate the approved ECP into the configuration documentation</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3.3.1.1(1)(f)</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Implement and update documentation via a documented engineering release system</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2.7 Data &amp; Document Management;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3.3.1.1(1)(g)</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Record all changes in the CSA system</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Configuration Status Accounting;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F15</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3.3.1.1(1)(h)</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Verify the approved change was implemented correctly</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2.6 Verification &amp; Audit;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F16</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3.3.1.4(1)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Support each ECP with data to evaluate the change and its full impacts</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F17</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3.3.1.4(3)</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Include a summary of testing validating new concepts or technology</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F18</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Obtain Acquirer approval for any non-conforming item via a Request for Variance</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F19</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3.3.2(2)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Submit an ECP when a variance is determined permanently acceptable (recurring-to-permanent)</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F20</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3.3.1.1(1)(c)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Prepare an ECP, NOR, and supporting technical data for the change</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3.3.4(1)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Submit a NOR for each document affected by an ECP</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3.3.4(2)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Provide all information needed to disposition each NOR</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3.2.3.3(1)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Create a new revision of approved documentation after change approval, with before/after traceability</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2.4 Configuration Control; 2.7 Data &amp; Document Management; owned by Configuration Manager (CMGR); evidence recorded in Teamcenter.</w:t>
            </w:r>
          </w:p>
        </w:tc>
      </w:tr>
    </w:tbl>
    <w:p>
      <w:pPr>
        <w:spacing w:after="12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sz w:val="24"/>
          <w:szCs w:val="24"/>
        </w:rPr>
        <w:t xml:space="preserve">7.3 Cluster 3: As-Designed to As-Built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60"/>
        <w:gridCol w:w="3600"/>
      </w:tblGrid>
      <w:tr>
        <w:trPr>
          <w:tblHeader/>
        </w:trP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36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 — governing text is EIA-649-1A)</w:t>
            </w:r>
          </w:p>
        </w:tc>
        <w:tc>
          <w:tcPr>
            <w:tcW w:type="dxa" w:w="36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Implementation in this CMP</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Maintain CSA legitimacy by storing valid data</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Configuration Status Accounting;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F25</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Capture, store, and maintain product configuration information</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Configuration Status Accounting;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F26</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3.4.1(3)(a)</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Capture and maintain currently approved configuration information by each CI's identification number</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Configuration Status Accounting;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F27</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3.4.1(3)(c)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Store and manage all product configuration information</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CSA; 2.7 Data &amp; Document Management;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F28</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3.4.1(4)(c)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Secure, safeguard, and retrieve recorded configuration information</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CSA; 2.7 Data &amp; Document Management;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F29</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3.5.3(1)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Conduct the PCA to verify product configuration documentation is consistent with the validated CI</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2.6 Configuration Verification &amp; Audit;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F30</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3.5.3(2)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Confirm the CI against the PPSL and verify proper parts are installed</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2.6 Configuration Verification &amp; Audit;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3.5.3(4)</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Document each PCA non-compliance and provide it to the Acquirer</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2.6 Configuration Verification &amp; Audit;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3.4.1(3)(b)</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Capture and maintain all historical configuration information with traceability from contract award to present</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Configuration Status Accounting;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3.4.1(6)</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Document the incorporation of all retrofit changes to units identified for retrofit</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Configuration Status Accounting;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3.5.3.1(1)(b)</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Identify differences between the production CI and the development CI used for FCA</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2.6 Configuration Verification &amp; Audit; owned by Configuration Manager (CMGR); evidence recorded in Teamcenter.</w:t>
            </w:r>
          </w:p>
        </w:tc>
      </w:tr>
    </w:tbl>
    <w:p>
      <w:pPr>
        <w:spacing w:after="120"/>
      </w:pPr>
      <w:r>
        <w:rPr>
          <w:rFonts w:ascii="Times New Roman" w:cs="Times New Roman" w:eastAsia="Times New Roman" w:hAnsi="Times New Roman"/>
          <w:sz w:val="22"/>
          <w:szCs w:val="22"/>
        </w:rPr>
        <w:t xml:space="preserve"/>
      </w:r>
    </w:p>
    <w:p>
      <w:pPr>
        <w:pStyle w:val="Heading2"/>
        <w:spacing w:after="100" w:before="200"/>
      </w:pPr>
      <w:r>
        <w:rPr>
          <w:rFonts w:ascii="Times New Roman" w:cs="Times New Roman" w:eastAsia="Times New Roman" w:hAnsi="Times New Roman"/>
          <w:b/>
          <w:bCs/>
          <w:sz w:val="24"/>
          <w:szCs w:val="24"/>
        </w:rPr>
        <w:t xml:space="preserve">7.4 Cluster 4: Supply Chain, Interfaces &amp;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60"/>
        <w:gridCol w:w="3600"/>
      </w:tblGrid>
      <w:tr>
        <w:trPr>
          <w:tblHeader/>
        </w:trPr>
        <w:tc>
          <w:tcPr>
            <w:tcW w:type="dxa" w:w="7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4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366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 — governing text is EIA-649-1A)</w:t>
            </w:r>
          </w:p>
        </w:tc>
        <w:tc>
          <w:tcPr>
            <w:tcW w:type="dxa" w:w="36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Implementation in this CMP</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F35</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3.2.5.1(1)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Identify internal and external interface requirements</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2.3 Configuration Identification;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F36</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3.2.5.1(2)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Incorporate interface information into the FCD/ACD/PCD</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2.3 Configuration Identification;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F37</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3.2.5.1(3)</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Maintain configuration control of baselined interface requirements</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2.3 Configuration Identification; 2.4 Configuration Control;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F38</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3.2.5.2(1)</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Provide a representative to the Acquirer's ICWG where one exists</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Risk-accepted. Acceptance reference [insert], approved by the CM Technical Process Owner at the level required for the hazard severity band. Owned by Configuration Manager (CMGR).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F39</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3.4.1(3)(j)</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Record and report sub-tier supplier data with traceability to the next higher assembly</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2.5 CSA; 3.2 Acquirer–Supplier;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F40</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Require sub-suppliers to comply with or suitably tailor the same CM requirements imposed on the Supplier</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3.2 Acquirer–Supplier;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F41</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3.(4)</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Support Acquirer audits of Supplier and sub-supplier CM</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3.2 Acquirer–Supplier; 2.6 Verification &amp; Audit;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F42</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3.5.2(2)</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Conduct the FCA to verify the CI meets performance requirements per approved FCD/ACD</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2.6 Configuration Verification &amp; Audit;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F43</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3.5.2(3)</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Document each FCA non-compliance and provide it to the Acquirer</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2.6 Configuration Verification &amp; Audit; owned by Configuration Manager (CMGR); evidence recorded in Teamcenter.</w:t>
            </w:r>
          </w:p>
        </w:tc>
      </w:tr>
      <w:tr>
        <w:tc>
          <w:tcPr>
            <w:tcW w:type="dxa" w:w="700"/>
            <w:tcMar>
              <w:top w:type="dxa" w:w="60"/>
              <w:left w:type="dxa" w:w="80"/>
              <w:bottom w:type="dxa" w:w="60"/>
              <w:right w:type="dxa" w:w="80"/>
            </w:tcMar>
          </w:tcPr>
          <w:p>
            <w:r>
              <w:rPr>
                <w:rFonts w:ascii="Times New Roman" w:cs="Times New Roman" w:eastAsia="Times New Roman" w:hAnsi="Times New Roman"/>
                <w:sz w:val="20"/>
                <w:szCs w:val="20"/>
              </w:rPr>
              <w:t xml:space="preserve">F44</w:t>
            </w:r>
          </w:p>
        </w:tc>
        <w:tc>
          <w:tcPr>
            <w:tcW w:type="dxa" w:w="1400"/>
            <w:tcMar>
              <w:top w:type="dxa" w:w="60"/>
              <w:left w:type="dxa" w:w="80"/>
              <w:bottom w:type="dxa" w:w="60"/>
              <w:right w:type="dxa" w:w="80"/>
            </w:tcMar>
          </w:tcPr>
          <w:p>
            <w:r>
              <w:rPr>
                <w:rFonts w:ascii="Times New Roman" w:cs="Times New Roman" w:eastAsia="Times New Roman" w:hAnsi="Times New Roman"/>
                <w:sz w:val="20"/>
                <w:szCs w:val="20"/>
              </w:rPr>
              <w:t xml:space="preserve">3.5.2.1(1)(c)</w:t>
            </w:r>
          </w:p>
        </w:tc>
        <w:tc>
          <w:tcPr>
            <w:tcW w:type="dxa" w:w="3660"/>
            <w:tcMar>
              <w:top w:type="dxa" w:w="60"/>
              <w:left w:type="dxa" w:w="80"/>
              <w:bottom w:type="dxa" w:w="60"/>
              <w:right w:type="dxa" w:w="80"/>
            </w:tcMar>
          </w:tcPr>
          <w:p>
            <w:r>
              <w:rPr>
                <w:rFonts w:ascii="Times New Roman" w:cs="Times New Roman" w:eastAsia="Times New Roman" w:hAnsi="Times New Roman"/>
                <w:sz w:val="20"/>
                <w:szCs w:val="20"/>
              </w:rPr>
              <w:t xml:space="preserve">Provide a requirements-to-test traceability matrix (each requirement maps to a test step)</w:t>
            </w:r>
          </w:p>
        </w:tc>
        <w:tc>
          <w:tcPr>
            <w:tcW w:type="dxa" w:w="3600"/>
            <w:tcMar>
              <w:top w:type="dxa" w:w="60"/>
              <w:left w:type="dxa" w:w="80"/>
              <w:bottom w:type="dxa" w:w="60"/>
              <w:right w:type="dxa" w:w="80"/>
            </w:tcMar>
          </w:tcPr>
          <w:p>
            <w:pPr>
              <w:spacing w:after="120"/>
            </w:pPr>
            <w:r>
              <w:rPr>
                <w:rFonts w:ascii="Times New Roman" w:cs="Times New Roman" w:eastAsia="Times New Roman" w:hAnsi="Times New Roman"/>
                <w:sz w:val="22"/>
                <w:szCs w:val="22"/>
              </w:rPr>
              <w:t xml:space="preserve">Performed. Implemented per 2.6 Configuration Verification &amp; Audit; owned by Configuration Manager (CMGR); evidence recorded in Teamcenter.</w:t>
            </w:r>
          </w:p>
        </w:tc>
      </w:tr>
    </w:tbl>
    <w:p>
      <w:pPr>
        <w:spacing w:after="120"/>
      </w:pPr>
      <w:r>
        <w:rPr>
          <w:rFonts w:ascii="Times New Roman" w:cs="Times New Roman" w:eastAsia="Times New Roman" w:hAnsi="Times New Roman"/>
          <w:sz w:val="22"/>
          <w:szCs w:val="22"/>
        </w:rPr>
        <w:t xml:space="preserve"/>
      </w:r>
    </w:p>
    <w:p>
      <w:r>
        <w:br w:type="page"/>
      </w:r>
    </w:p>
    <w:p>
      <w:pPr>
        <w:pStyle w:val="Heading1"/>
        <w:spacing w:after="120" w:before="240"/>
      </w:pPr>
      <w:r>
        <w:rPr>
          <w:rFonts w:ascii="Times New Roman" w:cs="Times New Roman" w:eastAsia="Times New Roman" w:hAnsi="Times New Roman"/>
          <w:b/>
          <w:bCs/>
          <w:sz w:val="28"/>
          <w:szCs w:val="28"/>
        </w:rPr>
        <w:t xml:space="preserve">8.0 Appendices</w:t>
      </w:r>
    </w:p>
    <w:p>
      <w:pPr>
        <w:spacing w:after="120"/>
      </w:pPr>
      <w:r>
        <w:rPr>
          <w:rFonts w:ascii="Times New Roman" w:cs="Times New Roman" w:eastAsia="Times New Roman" w:hAnsi="Times New Roman"/>
          <w:sz w:val="22"/>
          <w:szCs w:val="22"/>
        </w:rPr>
        <w:t xml:space="preserve">Appendices A through T apply to Program XYZ. Any appendix marked not applicable states the rationale and the approving authority in the CM floor disposition record.</w:t>
      </w:r>
    </w:p>
    <w:p>
      <w:pPr>
        <w:spacing w:after="120"/>
      </w:pPr>
      <w:r>
        <w:rPr>
          <w:rFonts w:ascii="Times New Roman" w:cs="Times New Roman" w:eastAsia="Times New Roman" w:hAnsi="Times New Roman"/>
          <w:sz w:val="22"/>
          <w:szCs w:val="22"/>
        </w:rPr>
        <w:t xml:space="preserve">Appendix A – Configuration Management Training Plan</w:t>
      </w:r>
    </w:p>
    <w:p>
      <w:pPr>
        <w:spacing w:after="120"/>
      </w:pPr>
      <w:r>
        <w:rPr>
          <w:rFonts w:ascii="Times New Roman" w:cs="Times New Roman" w:eastAsia="Times New Roman" w:hAnsi="Times New Roman"/>
          <w:sz w:val="22"/>
          <w:szCs w:val="22"/>
        </w:rPr>
        <w:t xml:space="preserve">Appendix B – Configuration Item Selection Criteria (must implement F01: safety-critical CI selection)</w:t>
      </w:r>
    </w:p>
    <w:p>
      <w:pPr>
        <w:spacing w:after="120"/>
      </w:pPr>
      <w:r>
        <w:rPr>
          <w:rFonts w:ascii="Times New Roman" w:cs="Times New Roman" w:eastAsia="Times New Roman" w:hAnsi="Times New Roman"/>
          <w:sz w:val="22"/>
          <w:szCs w:val="22"/>
        </w:rPr>
        <w:t xml:space="preserve">Appendix C – Technical Baseline Report Template</w:t>
      </w:r>
    </w:p>
    <w:p>
      <w:pPr>
        <w:spacing w:after="120"/>
      </w:pPr>
      <w:r>
        <w:rPr>
          <w:rFonts w:ascii="Times New Roman" w:cs="Times New Roman" w:eastAsia="Times New Roman" w:hAnsi="Times New Roman"/>
          <w:sz w:val="22"/>
          <w:szCs w:val="22"/>
        </w:rPr>
        <w:t xml:space="preserve">Appendix D – Technical Baseline Hierarchical Structure View</w:t>
      </w:r>
    </w:p>
    <w:p>
      <w:pPr>
        <w:spacing w:after="120"/>
      </w:pPr>
      <w:r>
        <w:rPr>
          <w:rFonts w:ascii="Times New Roman" w:cs="Times New Roman" w:eastAsia="Times New Roman" w:hAnsi="Times New Roman"/>
          <w:sz w:val="22"/>
          <w:szCs w:val="22"/>
        </w:rPr>
        <w:t xml:space="preserve">Appendix E – Configuration Control Board Charter (must implement F04: joint Acquirer/Supplier CCB support)</w:t>
      </w:r>
    </w:p>
    <w:p>
      <w:pPr>
        <w:spacing w:after="120"/>
      </w:pPr>
      <w:r>
        <w:rPr>
          <w:rFonts w:ascii="Times New Roman" w:cs="Times New Roman" w:eastAsia="Times New Roman" w:hAnsi="Times New Roman"/>
          <w:sz w:val="22"/>
          <w:szCs w:val="22"/>
        </w:rPr>
        <w:t xml:space="preserve">Appendix F – Change Request Standard Process</w:t>
      </w:r>
    </w:p>
    <w:p>
      <w:pPr>
        <w:spacing w:after="120"/>
      </w:pPr>
      <w:r>
        <w:rPr>
          <w:rFonts w:ascii="Times New Roman" w:cs="Times New Roman" w:eastAsia="Times New Roman" w:hAnsi="Times New Roman"/>
          <w:sz w:val="22"/>
          <w:szCs w:val="22"/>
        </w:rPr>
        <w:t xml:space="preserve">Appendix G – Change Request Template</w:t>
      </w:r>
    </w:p>
    <w:p>
      <w:pPr>
        <w:spacing w:after="120"/>
      </w:pPr>
      <w:r>
        <w:rPr>
          <w:rFonts w:ascii="Times New Roman" w:cs="Times New Roman" w:eastAsia="Times New Roman" w:hAnsi="Times New Roman"/>
          <w:sz w:val="22"/>
          <w:szCs w:val="22"/>
        </w:rPr>
        <w:t xml:space="preserve">Appendix H – Configuration Control Board Agenda Minutes Template</w:t>
      </w:r>
    </w:p>
    <w:p>
      <w:pPr>
        <w:spacing w:after="120"/>
      </w:pPr>
      <w:r>
        <w:rPr>
          <w:rFonts w:ascii="Times New Roman" w:cs="Times New Roman" w:eastAsia="Times New Roman" w:hAnsi="Times New Roman"/>
          <w:sz w:val="22"/>
          <w:szCs w:val="22"/>
        </w:rPr>
        <w:t xml:space="preserve">Appendix I – Functional Configuration Audit Standard Process (must implement F42–F44)</w:t>
      </w:r>
    </w:p>
    <w:p>
      <w:pPr>
        <w:spacing w:after="120"/>
      </w:pPr>
      <w:r>
        <w:rPr>
          <w:rFonts w:ascii="Times New Roman" w:cs="Times New Roman" w:eastAsia="Times New Roman" w:hAnsi="Times New Roman"/>
          <w:sz w:val="22"/>
          <w:szCs w:val="22"/>
        </w:rPr>
        <w:t xml:space="preserve">Appendix J – Functional Configuration Audit Checklist</w:t>
      </w:r>
    </w:p>
    <w:p>
      <w:pPr>
        <w:spacing w:after="120"/>
      </w:pPr>
      <w:r>
        <w:rPr>
          <w:rFonts w:ascii="Times New Roman" w:cs="Times New Roman" w:eastAsia="Times New Roman" w:hAnsi="Times New Roman"/>
          <w:sz w:val="22"/>
          <w:szCs w:val="22"/>
        </w:rPr>
        <w:t xml:space="preserve">Appendix K – Functional Configuration Audit Report Template</w:t>
      </w:r>
    </w:p>
    <w:p>
      <w:pPr>
        <w:spacing w:after="120"/>
      </w:pPr>
      <w:r>
        <w:rPr>
          <w:rFonts w:ascii="Times New Roman" w:cs="Times New Roman" w:eastAsia="Times New Roman" w:hAnsi="Times New Roman"/>
          <w:sz w:val="22"/>
          <w:szCs w:val="22"/>
        </w:rPr>
        <w:t xml:space="preserve">Appendix L – Physical Configuration Audit Standard Process (must implement F29–F31, F34)</w:t>
      </w:r>
    </w:p>
    <w:p>
      <w:pPr>
        <w:spacing w:after="120"/>
      </w:pPr>
      <w:r>
        <w:rPr>
          <w:rFonts w:ascii="Times New Roman" w:cs="Times New Roman" w:eastAsia="Times New Roman" w:hAnsi="Times New Roman"/>
          <w:sz w:val="22"/>
          <w:szCs w:val="22"/>
        </w:rPr>
        <w:t xml:space="preserve">Appendix M – Physical Configuration Audit Checklist</w:t>
      </w:r>
    </w:p>
    <w:p>
      <w:pPr>
        <w:spacing w:after="120"/>
      </w:pPr>
      <w:r>
        <w:rPr>
          <w:rFonts w:ascii="Times New Roman" w:cs="Times New Roman" w:eastAsia="Times New Roman" w:hAnsi="Times New Roman"/>
          <w:sz w:val="22"/>
          <w:szCs w:val="22"/>
        </w:rPr>
        <w:t xml:space="preserve">Appendix N – Physical Configuration Audit Report Template</w:t>
      </w:r>
    </w:p>
    <w:p>
      <w:pPr>
        <w:spacing w:after="120"/>
      </w:pPr>
      <w:r>
        <w:rPr>
          <w:rFonts w:ascii="Times New Roman" w:cs="Times New Roman" w:eastAsia="Times New Roman" w:hAnsi="Times New Roman"/>
          <w:sz w:val="22"/>
          <w:szCs w:val="22"/>
        </w:rPr>
        <w:t xml:space="preserve">Appendix O – Process Improvement Metrics</w:t>
      </w:r>
    </w:p>
    <w:p>
      <w:pPr>
        <w:spacing w:after="120"/>
      </w:pPr>
      <w:r>
        <w:rPr>
          <w:rFonts w:ascii="Times New Roman" w:cs="Times New Roman" w:eastAsia="Times New Roman" w:hAnsi="Times New Roman"/>
          <w:sz w:val="22"/>
          <w:szCs w:val="22"/>
        </w:rPr>
        <w:t xml:space="preserve">Appendix P – Data and Document Management Conventions</w:t>
      </w:r>
    </w:p>
    <w:p>
      <w:pPr>
        <w:spacing w:after="120"/>
      </w:pPr>
      <w:r>
        <w:rPr>
          <w:rFonts w:ascii="Times New Roman" w:cs="Times New Roman" w:eastAsia="Times New Roman" w:hAnsi="Times New Roman"/>
          <w:sz w:val="22"/>
          <w:szCs w:val="22"/>
        </w:rPr>
        <w:t xml:space="preserve">Appendix Q – CM Floor Requirement Compliance Matrix (this template, below)</w:t>
      </w:r>
    </w:p>
    <w:p>
      <w:pPr>
        <w:spacing w:after="120"/>
      </w:pPr>
      <w:r>
        <w:t>Appendix R – Sub-Supplier Work Type Classification Log (implements F40: recorded classification is the tailoring rationale)</w:t>
      </w:r>
    </w:p>
    <w:p>
      <w:pPr>
        <w:spacing w:after="120"/>
      </w:pPr>
      <w:r>
        <w:t>Appendix S – Sub-Supplier CM Effectiveness Records (deliverable receipts, findings and escapes, determinations, actions)</w:t>
      </w:r>
    </w:p>
    <w:p>
      <w:pPr>
        <w:spacing w:after="120"/>
      </w:pPr>
      <w:r>
        <w:t>Appendix T – CM Floor Disposition Record (structured and queryable; Appendix Q is its static traceability baseline)</w:t>
      </w:r>
    </w:p>
    <w:p>
      <w:r>
        <w:br w:type="page"/>
      </w:r>
    </w:p>
    <w:p>
      <w:pPr>
        <w:pStyle w:val="Heading1"/>
        <w:spacing w:after="120" w:before="240"/>
      </w:pPr>
      <w:r>
        <w:rPr>
          <w:rFonts w:ascii="Times New Roman" w:cs="Times New Roman" w:eastAsia="Times New Roman" w:hAnsi="Times New Roman"/>
          <w:b/>
          <w:bCs/>
          <w:sz w:val="28"/>
          <w:szCs w:val="28"/>
        </w:rPr>
        <w:t xml:space="preserve">9.0 References</w:t>
      </w:r>
    </w:p>
    <w:p>
      <w:pPr>
        <w:spacing w:after="120"/>
      </w:pPr>
      <w:r>
        <w:rPr>
          <w:rFonts w:ascii="Times New Roman" w:cs="Times New Roman" w:eastAsia="Times New Roman" w:hAnsi="Times New Roman"/>
          <w:sz w:val="22"/>
          <w:szCs w:val="22"/>
        </w:rPr>
        <w:t xml:space="preserve">SAE EIA-649-1A – Configuration Management Requirements for Defense Contracts (governing text for all Section 7 floor requirements)</w:t>
      </w:r>
    </w:p>
    <w:p>
      <w:pPr>
        <w:spacing w:after="120"/>
      </w:pPr>
      <w:r>
        <w:rPr>
          <w:rFonts w:ascii="Times New Roman" w:cs="Times New Roman" w:eastAsia="Times New Roman" w:hAnsi="Times New Roman"/>
          <w:sz w:val="22"/>
          <w:szCs w:val="22"/>
        </w:rPr>
        <w:t xml:space="preserve">ANSI/EIA-649 (Series) – Configuration Management Standard</w:t>
      </w:r>
    </w:p>
    <w:p>
      <w:pPr>
        <w:spacing w:after="120"/>
      </w:pPr>
      <w:r>
        <w:rPr>
          <w:rFonts w:ascii="Times New Roman" w:cs="Times New Roman" w:eastAsia="Times New Roman" w:hAnsi="Times New Roman"/>
          <w:sz w:val="22"/>
          <w:szCs w:val="22"/>
        </w:rPr>
        <w:t xml:space="preserve">GEIA-HB-649 (Series) – Configuration Management Implementation Guidance</w:t>
      </w:r>
    </w:p>
    <w:p>
      <w:pPr>
        <w:spacing w:after="120"/>
      </w:pPr>
      <w:r>
        <w:rPr>
          <w:rFonts w:ascii="Times New Roman" w:cs="Times New Roman" w:eastAsia="Times New Roman" w:hAnsi="Times New Roman"/>
          <w:sz w:val="22"/>
          <w:szCs w:val="22"/>
        </w:rPr>
        <w:t xml:space="preserve">SM-0001 (Issue C) – Safety Management System Standard (hazard linkage in Appendix Q)</w:t>
      </w:r>
    </w:p>
    <w:p>
      <w:pPr>
        <w:spacing w:after="120"/>
      </w:pPr>
      <w:r>
        <w:rPr>
          <w:rFonts w:ascii="Times New Roman" w:cs="Times New Roman" w:eastAsia="Times New Roman" w:hAnsi="Times New Roman"/>
          <w:sz w:val="22"/>
          <w:szCs w:val="22"/>
        </w:rPr>
        <w:t xml:space="preserve">ANSI/EIA-836 (Series) – Configuration Management Data Exchange and Interoperability</w:t>
      </w:r>
    </w:p>
    <w:p>
      <w:pPr>
        <w:spacing w:after="120"/>
      </w:pPr>
      <w:r>
        <w:rPr>
          <w:rFonts w:ascii="Times New Roman" w:cs="Times New Roman" w:eastAsia="Times New Roman" w:hAnsi="Times New Roman"/>
          <w:sz w:val="22"/>
          <w:szCs w:val="22"/>
        </w:rPr>
        <w:t xml:space="preserve">ANSI/GEIA-859 (Series) – Data Management</w:t>
      </w:r>
    </w:p>
    <w:p>
      <w:pPr>
        <w:spacing w:after="120"/>
      </w:pPr>
      <w:r>
        <w:rPr>
          <w:rFonts w:ascii="Times New Roman" w:cs="Times New Roman" w:eastAsia="Times New Roman" w:hAnsi="Times New Roman"/>
          <w:sz w:val="22"/>
          <w:szCs w:val="22"/>
        </w:rPr>
        <w:t xml:space="preserve">IEEE 828 (Series) – IEEE Standard for Software Configuration Management Plans</w:t>
      </w:r>
    </w:p>
    <w:p>
      <w:pPr>
        <w:spacing w:after="120"/>
      </w:pPr>
      <w:r>
        <w:rPr>
          <w:rFonts w:ascii="Times New Roman" w:cs="Times New Roman" w:eastAsia="Times New Roman" w:hAnsi="Times New Roman"/>
          <w:sz w:val="22"/>
          <w:szCs w:val="22"/>
        </w:rPr>
        <w:t xml:space="preserve">MIL-STD-881 (Series) – Work Breakdown Structures</w:t>
      </w:r>
    </w:p>
    <w:p>
      <w:pPr>
        <w:spacing w:after="120"/>
      </w:pPr>
      <w:r>
        <w:rPr>
          <w:rFonts w:ascii="Times New Roman" w:cs="Times New Roman" w:eastAsia="Times New Roman" w:hAnsi="Times New Roman"/>
          <w:sz w:val="22"/>
          <w:szCs w:val="22"/>
        </w:rPr>
        <w:t xml:space="preserve">Systems Engineering Division, Code 4.1 CM Planning and Management Process</w:t>
      </w:r>
    </w:p>
    <w:p>
      <w:pPr>
        <w:spacing w:after="120"/>
      </w:pPr>
      <w:r>
        <w:rPr>
          <w:rFonts w:ascii="Times New Roman" w:cs="Times New Roman" w:eastAsia="Times New Roman" w:hAnsi="Times New Roman"/>
          <w:sz w:val="22"/>
          <w:szCs w:val="22"/>
        </w:rPr>
        <w:t xml:space="preserve">Systems Engineering Division, Code 4.1 Configuration Item Identification Process</w:t>
      </w:r>
    </w:p>
    <w:p>
      <w:pPr>
        <w:spacing w:after="120"/>
      </w:pPr>
      <w:r>
        <w:rPr>
          <w:rFonts w:ascii="Times New Roman" w:cs="Times New Roman" w:eastAsia="Times New Roman" w:hAnsi="Times New Roman"/>
          <w:sz w:val="22"/>
          <w:szCs w:val="22"/>
        </w:rPr>
        <w:t xml:space="preserve">Systems Engineering Division, Code 4.1 Configuration Change Management Process</w:t>
      </w:r>
    </w:p>
    <w:p>
      <w:pPr>
        <w:spacing w:after="120"/>
      </w:pPr>
      <w:r>
        <w:rPr>
          <w:rFonts w:ascii="Times New Roman" w:cs="Times New Roman" w:eastAsia="Times New Roman" w:hAnsi="Times New Roman"/>
          <w:sz w:val="22"/>
          <w:szCs w:val="22"/>
        </w:rPr>
        <w:t xml:space="preserve">Systems Engineering Division, Code 4.1 Configuration Status Accounting Process</w:t>
      </w:r>
    </w:p>
    <w:p>
      <w:pPr>
        <w:spacing w:after="120"/>
      </w:pPr>
      <w:r>
        <w:rPr>
          <w:rFonts w:ascii="Times New Roman" w:cs="Times New Roman" w:eastAsia="Times New Roman" w:hAnsi="Times New Roman"/>
          <w:sz w:val="22"/>
          <w:szCs w:val="22"/>
        </w:rPr>
        <w:t xml:space="preserve">Systems Engineering Division, Code 4.1 Configuration Audit (FCA/PCA) Process</w:t>
      </w:r>
    </w:p>
    <w:p>
      <w:pPr>
        <w:spacing w:after="120"/>
      </w:pPr>
      <w:r>
        <w:rPr>
          <w:rFonts w:ascii="Times New Roman" w:cs="Times New Roman" w:eastAsia="Times New Roman" w:hAnsi="Times New Roman"/>
          <w:sz w:val="22"/>
          <w:szCs w:val="22"/>
        </w:rPr>
        <w:t xml:space="preserve">Systems Engineering Division, Code 4.1 Sub-Supplier CM Requirements Flowdown and Effectiveness Process</w:t>
      </w:r>
    </w:p>
    <w:p>
      <w:r>
        <w:br w:type="page"/>
      </w:r>
    </w:p>
    <w:p>
      <w:pPr>
        <w:pStyle w:val="Heading1"/>
        <w:spacing w:after="120" w:before="240"/>
      </w:pPr>
      <w:r>
        <w:rPr>
          <w:rFonts w:ascii="Times New Roman" w:cs="Times New Roman" w:eastAsia="Times New Roman" w:hAnsi="Times New Roman"/>
          <w:b/>
          <w:bCs/>
          <w:sz w:val="28"/>
          <w:szCs w:val="28"/>
        </w:rPr>
        <w:t xml:space="preserve">10.0 Glossary</w:t>
      </w:r>
    </w:p>
    <w:p>
      <w:pPr>
        <w:spacing w:after="120"/>
      </w:pPr>
      <w:r>
        <w:rPr>
          <w:rFonts w:ascii="Times New Roman" w:cs="Times New Roman" w:eastAsia="Times New Roman" w:hAnsi="Times New Roman"/>
          <w:sz w:val="22"/>
          <w:szCs w:val="22"/>
        </w:rPr>
        <w:t xml:space="preserve">ACD — Allocated Configuration Documentation</w:t>
      </w:r>
    </w:p>
    <w:p>
      <w:pPr>
        <w:spacing w:after="120"/>
      </w:pPr>
      <w:r>
        <w:rPr>
          <w:rFonts w:ascii="Times New Roman" w:cs="Times New Roman" w:eastAsia="Times New Roman" w:hAnsi="Times New Roman"/>
          <w:sz w:val="22"/>
          <w:szCs w:val="22"/>
        </w:rPr>
        <w:t xml:space="preserve">CCB — Configuration Control Board</w:t>
      </w:r>
    </w:p>
    <w:p>
      <w:pPr>
        <w:spacing w:after="120"/>
      </w:pPr>
      <w:r>
        <w:rPr>
          <w:rFonts w:ascii="Times New Roman" w:cs="Times New Roman" w:eastAsia="Times New Roman" w:hAnsi="Times New Roman"/>
          <w:sz w:val="22"/>
          <w:szCs w:val="22"/>
        </w:rPr>
        <w:t xml:space="preserve">CI — Configuration Item</w:t>
      </w:r>
    </w:p>
    <w:p>
      <w:pPr>
        <w:spacing w:after="120"/>
      </w:pPr>
      <w:r>
        <w:rPr>
          <w:rFonts w:ascii="Times New Roman" w:cs="Times New Roman" w:eastAsia="Times New Roman" w:hAnsi="Times New Roman"/>
          <w:sz w:val="22"/>
          <w:szCs w:val="22"/>
        </w:rPr>
        <w:t xml:space="preserve">CMP — Configuration Management Plan</w:t>
      </w:r>
    </w:p>
    <w:p>
      <w:pPr>
        <w:spacing w:after="120"/>
      </w:pPr>
      <w:r>
        <w:rPr>
          <w:rFonts w:ascii="Times New Roman" w:cs="Times New Roman" w:eastAsia="Times New Roman" w:hAnsi="Times New Roman"/>
          <w:sz w:val="22"/>
          <w:szCs w:val="22"/>
        </w:rPr>
        <w:t xml:space="preserve">CSA — Configuration Status Accounting</w:t>
      </w:r>
    </w:p>
    <w:p>
      <w:pPr>
        <w:spacing w:after="120"/>
      </w:pPr>
      <w:r>
        <w:rPr>
          <w:rFonts w:ascii="Times New Roman" w:cs="Times New Roman" w:eastAsia="Times New Roman" w:hAnsi="Times New Roman"/>
          <w:sz w:val="22"/>
          <w:szCs w:val="22"/>
        </w:rPr>
        <w:t xml:space="preserve">ECP — Engineering Change Proposal</w:t>
      </w:r>
    </w:p>
    <w:p>
      <w:pPr>
        <w:spacing w:after="120"/>
      </w:pPr>
      <w:r>
        <w:rPr>
          <w:rFonts w:ascii="Times New Roman" w:cs="Times New Roman" w:eastAsia="Times New Roman" w:hAnsi="Times New Roman"/>
          <w:sz w:val="22"/>
          <w:szCs w:val="22"/>
        </w:rPr>
        <w:t xml:space="preserve">FCA — Functional Configuration Audit</w:t>
      </w:r>
    </w:p>
    <w:p>
      <w:pPr>
        <w:spacing w:after="120"/>
      </w:pPr>
      <w:r>
        <w:rPr>
          <w:rFonts w:ascii="Times New Roman" w:cs="Times New Roman" w:eastAsia="Times New Roman" w:hAnsi="Times New Roman"/>
          <w:sz w:val="22"/>
          <w:szCs w:val="22"/>
        </w:rPr>
        <w:t xml:space="preserve">FCD — Functional Configuration Documentation</w:t>
      </w:r>
    </w:p>
    <w:p>
      <w:pPr>
        <w:spacing w:after="120"/>
      </w:pPr>
      <w:r>
        <w:rPr>
          <w:rFonts w:ascii="Times New Roman" w:cs="Times New Roman" w:eastAsia="Times New Roman" w:hAnsi="Times New Roman"/>
          <w:sz w:val="22"/>
          <w:szCs w:val="22"/>
        </w:rPr>
        <w:t xml:space="preserve">ICWG — Interface Control Working Group</w:t>
      </w:r>
    </w:p>
    <w:p>
      <w:pPr>
        <w:spacing w:after="120"/>
      </w:pPr>
      <w:r>
        <w:rPr>
          <w:rFonts w:ascii="Times New Roman" w:cs="Times New Roman" w:eastAsia="Times New Roman" w:hAnsi="Times New Roman"/>
          <w:sz w:val="22"/>
          <w:szCs w:val="22"/>
        </w:rPr>
        <w:t xml:space="preserve">NOR — Notice of Revision</w:t>
      </w:r>
    </w:p>
    <w:p>
      <w:pPr>
        <w:spacing w:after="120"/>
      </w:pPr>
      <w:r>
        <w:rPr>
          <w:rFonts w:ascii="Times New Roman" w:cs="Times New Roman" w:eastAsia="Times New Roman" w:hAnsi="Times New Roman"/>
          <w:sz w:val="22"/>
          <w:szCs w:val="22"/>
        </w:rPr>
        <w:t xml:space="preserve">PCA — Physical Configuration Audit</w:t>
      </w:r>
    </w:p>
    <w:p>
      <w:pPr>
        <w:spacing w:after="120"/>
      </w:pPr>
      <w:r>
        <w:rPr>
          <w:rFonts w:ascii="Times New Roman" w:cs="Times New Roman" w:eastAsia="Times New Roman" w:hAnsi="Times New Roman"/>
          <w:sz w:val="22"/>
          <w:szCs w:val="22"/>
        </w:rPr>
        <w:t xml:space="preserve">PCD — Product Configuration Documentation</w:t>
      </w:r>
    </w:p>
    <w:p>
      <w:pPr>
        <w:spacing w:after="120"/>
      </w:pPr>
      <w:r>
        <w:rPr>
          <w:rFonts w:ascii="Times New Roman" w:cs="Times New Roman" w:eastAsia="Times New Roman" w:hAnsi="Times New Roman"/>
          <w:sz w:val="22"/>
          <w:szCs w:val="22"/>
        </w:rPr>
        <w:t xml:space="preserve">PPSL — Program Parts Selection List</w:t>
      </w:r>
    </w:p>
    <w:p>
      <w:pPr>
        <w:spacing w:after="120"/>
      </w:pPr>
      <w:r>
        <w:rPr>
          <w:rFonts w:ascii="Times New Roman" w:cs="Times New Roman" w:eastAsia="Times New Roman" w:hAnsi="Times New Roman"/>
          <w:sz w:val="22"/>
          <w:szCs w:val="22"/>
        </w:rPr>
        <w:t xml:space="preserve">RFV — Request for Variance</w:t>
      </w:r>
    </w:p>
    <w:p>
      <w:r>
        <w:br w:type="page"/>
      </w:r>
    </w:p>
    <w:p>
      <w:pPr>
        <w:pStyle w:val="Heading1"/>
        <w:spacing w:after="120" w:before="240"/>
      </w:pPr>
      <w:r>
        <w:rPr>
          <w:rFonts w:ascii="Times New Roman" w:cs="Times New Roman" w:eastAsia="Times New Roman" w:hAnsi="Times New Roman"/>
          <w:b/>
          <w:bCs/>
          <w:sz w:val="28"/>
          <w:szCs w:val="28"/>
        </w:rPr>
        <w:t xml:space="preserve">Appendix Q – CM Floor Requirement Compliance Matrix</w:t>
      </w:r>
    </w:p>
    <w:p>
      <w:pPr>
        <w:spacing w:after="120"/>
      </w:pPr>
      <w:r>
        <w:rPr>
          <w:rFonts w:ascii="Times New Roman" w:cs="Times New Roman" w:eastAsia="Times New Roman" w:hAnsi="Times New Roman"/>
          <w:sz w:val="22"/>
          <w:szCs w:val="22"/>
        </w:rPr>
        <w:t xml:space="preserve">Source: CM Floor Register — EIA-649-1 requirements obligated through the SMS pathway. Requirement text is paraphrased; the governing text is EIA-649-1A. Maintain this matrix under configuration control; each row must trace to the Section 7 implementation statement.</w:t>
      </w:r>
    </w:p>
    <w:p>
      <w:pPr>
        <w:spacing w:after="120"/>
      </w:pPr>
      <w:r>
        <w:t>This matrix is the traceability baseline: it fixes each floor requirement to its clause, barrier, hazard, inclusion category, and implementing CMP section. It is not the disposition record. The disposition of each floor requirement on this program — performed, equivalent control, or risk-accepted — with its evidence reference, health check, next-due date, and sign-off is maintained as structured records per Appendix T and is the evidence from which floor coverage is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250"/>
        <w:gridCol w:w="2900"/>
        <w:gridCol w:w="900"/>
        <w:gridCol w:w="1550"/>
        <w:gridCol w:w="950"/>
        <w:gridCol w:w="1190"/>
      </w:tblGrid>
      <w:tr>
        <w:trPr>
          <w:tblHeader/>
        </w:trPr>
        <w:tc>
          <w:tcPr>
            <w:tcW w:type="dxa" w:w="62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Floor ID</w:t>
            </w:r>
          </w:p>
        </w:tc>
        <w:tc>
          <w:tcPr>
            <w:tcW w:type="dxa" w:w="125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EIA-649-1A Clause</w:t>
            </w:r>
          </w:p>
        </w:tc>
        <w:tc>
          <w:tcPr>
            <w:tcW w:type="dxa" w:w="29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Requirement (paraphrased)</w:t>
            </w:r>
          </w:p>
        </w:tc>
        <w:tc>
          <w:tcPr>
            <w:tcW w:type="dxa" w:w="90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Barrier(s)</w:t>
            </w:r>
          </w:p>
        </w:tc>
        <w:tc>
          <w:tcPr>
            <w:tcW w:type="dxa" w:w="155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SM-0001 hazard controlled</w:t>
            </w:r>
          </w:p>
        </w:tc>
        <w:tc>
          <w:tcPr>
            <w:tcW w:type="dxa" w:w="95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Inclusion</w:t>
            </w:r>
          </w:p>
        </w:tc>
        <w:tc>
          <w:tcPr>
            <w:tcW w:type="dxa" w:w="1190"/>
            <w:shd w:fill="D9D9D9" w:val="clear"/>
            <w:tcMar>
              <w:top w:type="dxa" w:w="60"/>
              <w:left w:type="dxa" w:w="80"/>
              <w:bottom w:type="dxa" w:w="60"/>
              <w:right w:type="dxa" w:w="80"/>
            </w:tcMar>
          </w:tcPr>
          <w:p>
            <w:r>
              <w:rPr>
                <w:rFonts w:ascii="Times New Roman" w:cs="Times New Roman" w:eastAsia="Times New Roman" w:hAnsi="Times New Roman"/>
                <w:b/>
                <w:bCs/>
                <w:sz w:val="20"/>
                <w:szCs w:val="20"/>
              </w:rPr>
              <w:t xml:space="preserve">CMP Section(s)</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3.2.1(2)(b)</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Identify as a CI any item whose failure could cause serious injury, loss of life, or loss of primary system capability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Hazard identification</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2.3 Configuration Identification</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3.3.1.2(1)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Classify every engineering change as Major (Class I) or Minor (Class II)</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§6.2.2 Risk-acceptance authority</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3.3.1.2(2)(e)(6)(a)</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Treat changes affecting safety as Major (Class I)</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§6.2.2 Risk-acceptance authority</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3.3(3)</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Support a joint Acquirer/Supplier Configuration Control Board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§6.2.2 Risk-acceptance authority</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3.2 Acquirer–Supplier</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F05</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3.3.1.8.1(1)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Obtain Acquirer concurrence on Minor (Class II) classification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§6.2.2 Risk-acceptance authority</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F06</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Apply configuration control to each CI, its components, and its documentation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F07</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Document, evaluate, disposition, record in CSA, and report changes and variances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2.5 CSA</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F08</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3.3(2)(e)</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Incorporate approved changes into all product configuration information and implement them</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F09</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3.3(2)(f)</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Verify approved changes were incorporated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2.6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F10</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Use an ECP to document baseline changes and submit to the change approval authority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B2, 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3.3.1.1(1)(a)</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Define the need for each change</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3.3.1.1(1)(e)</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Incorporate the approved ECP into the configuration documentation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3.3.1.1(1)(f)</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Implement and update documentation via a documented engineering release system</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2.7 Data &amp; Document Management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3.3.1.1(1)(g)</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Record all changes in the CSA system</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F15</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3.3.1.1(1)(h)</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Verify the approved change was implemented correctly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Work not per approved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2.6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F16</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3.3.1.4(1)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Support each ECP with data to evaluate the change and its full impacts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B4</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§6.2.3 Management of change</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F17</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3.3.1.4(3)</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Include a summary of testing validating new concepts or technology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B4</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§6.2.3 Management of change</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F18</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Obtain Acquirer approval for any non-conforming item via a Request for Variance</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B5</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§6.3.3 Continuous improvement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F19</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3.3.2(2)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Submit an ECP when a variance is determined permanently acceptable (recurring-to-permanent)</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B5</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§6.3.3 Continuous improvement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 (core)</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F20</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3.3.1.1(1)(c)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Prepare an ECP, NOR, and supporting technical data for the change</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Inaccurate/incomplete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3.3.4(1)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Submit a NOR for each document affected by an ECP</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Inaccurate/incomplete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3.3.4(2)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Provide all information needed to disposition each NOR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Inaccurate/incomplete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3.2.3.3(1)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Create a new revision of approved documentation after change approval, with before/after traceability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B7</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Inaccurate/incomplete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2.4 Configuration Control; 2.7 Data &amp; Document Management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Maintain CSA legitimacy by storing valid data</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 manufacturing/maintenance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F25</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Capture, store, and maintain product configuration information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 manufacturing/maintenance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F26</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3.4.1(3)(a)</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Capture and maintain currently approved configuration information by each CI's identification number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 B11</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 §6.3.2</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F27</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3.4.1(3)(c)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Store and manage all product configuration information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 manufacturing/maintenance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CSA; 2.7 Data &amp; Document Management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F28</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3.4.1(4)(c)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Secure, safeguard, and retrieve recorded configuration information</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B8</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Inaccurate manufacturing/maintenance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CSA; 2.7 Data &amp; Document Management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F29</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3.5.3(1)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Conduct the PCA to verify product configuration documentation is consistent with the validated CI</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B9</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Non-conformance / FOD</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F30</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3.5.3(2)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Confirm the CI against the PPSL and verify proper parts are installed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B9</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Non-conformance / FOD</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3.5.3(4)</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Document each PCA non-compliance and provide it to the Acquirer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B9</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Non-conformance / FOD</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3.4.1(3)(b)</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Capture and maintain all historical configuration information with traceability from contract award to present</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B10</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§6.3.1 Continued airworthiness data</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3.4.1(6)</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Document the incorporation of all retrofit changes to units identified for retrofit</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B11</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§6.3.2 MoC effectiveness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Configuration Status Accounting</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3.5.3.1(1)(b)</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Identify differences between the production CI and the development CI used for FCA</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B12</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Quality escapes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F35</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3.2.5.1(1)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Identify internal and external interface requirements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§7.3.2 Interface management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2.3 Configuration Identification</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F36</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3.2.5.1(2)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Incorporate interface information into the FCD/ACD/PCD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§7.3.2 Interface management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2.3 Configuration Identification</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F37</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3.2.5.1(3)</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Maintain configuration control of baselined interface requirements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§7.3.2 Interface management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2.3 Configuration Identification; 2.4 Configuration Control</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F38</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3.2.5.2(1)</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Provide a representative to the Acquirer's ICWG where one exists</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B13</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§7.3.2 Interface management</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Conditional</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3.2 Acquirer–Supplier; 3.6 SOS–FOS</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F39</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3.4.1(3)(j)</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Record and report sub-tier supplier data with traceability to the next higher assembly</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B14</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Subcontractor disclosures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2.5 CSA; 3.2 Acquirer–Supplier</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F40</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Require sub-suppliers to comply with or suitably tailor the same CM requirements imposed on the Supplier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B15</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§6.2.1 + §7 Supply-chain</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3.2 Acquirer–Supplier</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F41</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3.(4)</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Support Acquirer audits of Supplier and sub-supplier CM</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B15</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§7 Interfaces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Judgment</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3.2 Acquirer–Supplier; 2.6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F42</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3.5.2(2)</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Conduct the FCA to verify the CI meets performance requirements per approved FCD/ACD</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§6.3.1 Validate risk controls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F43</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3.5.2(3)</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Document each FCA non-compliance and provide it to the Acquirer</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§6.3.1 Validate risk controls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r>
        <w:tc>
          <w:tcPr>
            <w:tcW w:type="dxa" w:w="620"/>
            <w:tcMar>
              <w:top w:type="dxa" w:w="60"/>
              <w:left w:type="dxa" w:w="80"/>
              <w:bottom w:type="dxa" w:w="60"/>
              <w:right w:type="dxa" w:w="80"/>
            </w:tcMar>
          </w:tcPr>
          <w:p>
            <w:r>
              <w:rPr>
                <w:rFonts w:ascii="Times New Roman" w:cs="Times New Roman" w:eastAsia="Times New Roman" w:hAnsi="Times New Roman"/>
                <w:sz w:val="20"/>
                <w:szCs w:val="20"/>
              </w:rPr>
              <w:t xml:space="preserve">F44</w:t>
            </w:r>
          </w:p>
        </w:tc>
        <w:tc>
          <w:tcPr>
            <w:tcW w:type="dxa" w:w="1250"/>
            <w:tcMar>
              <w:top w:type="dxa" w:w="60"/>
              <w:left w:type="dxa" w:w="80"/>
              <w:bottom w:type="dxa" w:w="60"/>
              <w:right w:type="dxa" w:w="80"/>
            </w:tcMar>
          </w:tcPr>
          <w:p>
            <w:r>
              <w:rPr>
                <w:rFonts w:ascii="Times New Roman" w:cs="Times New Roman" w:eastAsia="Times New Roman" w:hAnsi="Times New Roman"/>
                <w:sz w:val="20"/>
                <w:szCs w:val="20"/>
              </w:rPr>
              <w:t xml:space="preserve">3.5.2.1(1)(c)</w:t>
            </w:r>
          </w:p>
        </w:tc>
        <w:tc>
          <w:tcPr>
            <w:tcW w:type="dxa" w:w="2900"/>
            <w:tcMar>
              <w:top w:type="dxa" w:w="60"/>
              <w:left w:type="dxa" w:w="80"/>
              <w:bottom w:type="dxa" w:w="60"/>
              <w:right w:type="dxa" w:w="80"/>
            </w:tcMar>
          </w:tcPr>
          <w:p>
            <w:r>
              <w:rPr>
                <w:rFonts w:ascii="Times New Roman" w:cs="Times New Roman" w:eastAsia="Times New Roman" w:hAnsi="Times New Roman"/>
                <w:sz w:val="20"/>
                <w:szCs w:val="20"/>
              </w:rPr>
              <w:t xml:space="preserve">Provide a requirements-to-test traceability matrix (each requirement maps to a test step)</w:t>
            </w:r>
          </w:p>
        </w:tc>
        <w:tc>
          <w:tcPr>
            <w:tcW w:type="dxa" w:w="900"/>
            <w:tcMar>
              <w:top w:type="dxa" w:w="60"/>
              <w:left w:type="dxa" w:w="80"/>
              <w:bottom w:type="dxa" w:w="60"/>
              <w:right w:type="dxa" w:w="80"/>
            </w:tcMar>
          </w:tcPr>
          <w:p>
            <w:r>
              <w:rPr>
                <w:rFonts w:ascii="Times New Roman" w:cs="Times New Roman" w:eastAsia="Times New Roman" w:hAnsi="Times New Roman"/>
                <w:sz w:val="20"/>
                <w:szCs w:val="20"/>
              </w:rPr>
              <w:t xml:space="preserve">B16</w:t>
            </w:r>
          </w:p>
        </w:tc>
        <w:tc>
          <w:tcPr>
            <w:tcW w:type="dxa" w:w="1550"/>
            <w:tcMar>
              <w:top w:type="dxa" w:w="60"/>
              <w:left w:type="dxa" w:w="80"/>
              <w:bottom w:type="dxa" w:w="60"/>
              <w:right w:type="dxa" w:w="80"/>
            </w:tcMar>
          </w:tcPr>
          <w:p>
            <w:r>
              <w:rPr>
                <w:rFonts w:ascii="Times New Roman" w:cs="Times New Roman" w:eastAsia="Times New Roman" w:hAnsi="Times New Roman"/>
                <w:sz w:val="20"/>
                <w:szCs w:val="20"/>
              </w:rPr>
              <w:t xml:space="preserve">§6.3.1 Validate risk controls</w:t>
            </w:r>
          </w:p>
        </w:tc>
        <w:tc>
          <w:tcPr>
            <w:tcW w:type="dxa" w:w="950"/>
            <w:tcMar>
              <w:top w:type="dxa" w:w="60"/>
              <w:left w:type="dxa" w:w="80"/>
              <w:bottom w:type="dxa" w:w="60"/>
              <w:right w:type="dxa" w:w="80"/>
            </w:tcMar>
          </w:tcPr>
          <w:p>
            <w:r>
              <w:rPr>
                <w:rFonts w:ascii="Times New Roman" w:cs="Times New Roman" w:eastAsia="Times New Roman" w:hAnsi="Times New Roman"/>
                <w:sz w:val="20"/>
                <w:szCs w:val="20"/>
              </w:rPr>
              <w:t xml:space="preserve">Clean</w:t>
            </w:r>
          </w:p>
        </w:tc>
        <w:tc>
          <w:tcPr>
            <w:tcW w:type="dxa" w:w="1190"/>
            <w:tcMar>
              <w:top w:type="dxa" w:w="60"/>
              <w:left w:type="dxa" w:w="80"/>
              <w:bottom w:type="dxa" w:w="60"/>
              <w:right w:type="dxa" w:w="80"/>
            </w:tcMar>
          </w:tcPr>
          <w:p>
            <w:r>
              <w:rPr>
                <w:rFonts w:ascii="Times New Roman" w:cs="Times New Roman" w:eastAsia="Times New Roman" w:hAnsi="Times New Roman"/>
                <w:sz w:val="20"/>
                <w:szCs w:val="20"/>
              </w:rPr>
              <w:t xml:space="preserve">2.6 Configuration Verification &amp; Audit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p>
    <w:pPr>
      <w:jc w:val="center"/>
    </w:pPr>
    <w:r>
      <w:rPr>
        <w:rFonts w:ascii="Times New Roman" w:cs="Times New Roman" w:eastAsia="Times New Roman" w:hAnsi="Times New Roman"/>
        <w:i/>
        <w:iCs/>
        <w:color w:val="0000CC"/>
        <w:sz w:val="16"/>
        <w:szCs w:val="16"/>
      </w:rPr>
      <w:t xml:space="preserve">DISTRIBUTION STATEMENT A. Approved for public release; distribution is unlimited.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2026-07-15T11:22:56.702Z</dcterms:created>
  <dcterms:modified xsi:type="dcterms:W3CDTF">2026-07-15T11:22:56.713Z</dcterms:modified>
</cp:coreProperties>
</file>

<file path=docProps/custom.xml><?xml version="1.0" encoding="utf-8"?>
<Properties xmlns="http://schemas.openxmlformats.org/officeDocument/2006/custom-properties" xmlns:vt="http://schemas.openxmlformats.org/officeDocument/2006/docPropsVTypes"/>
</file>