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1E3A54"/>
          <w:sz w:val="44"/>
          <w:szCs w:val="44"/>
        </w:rPr>
        <w:t xml:space="preserve">A Mandatory Floor for Engineering Requirements</w:t>
      </w:r>
    </w:p>
    <w:p>
      <w:pPr>
        <w:spacing w:after="60"/>
      </w:pPr>
      <w:r>
        <w:rPr>
          <w:color w:val="5C6E7D"/>
          <w:sz w:val="24"/>
          <w:szCs w:val="24"/>
        </w:rPr>
        <w:t xml:space="preserve">Method summary: how to find the requirements the SMS obligates, in any engineering discipline</w:t>
      </w:r>
    </w:p>
    <w:p>
      <w:pPr>
        <w:pBdr>
          <w:bottom w:val="single" w:color="1E3A54" w:sz="8" w:space="6"/>
        </w:pBdr>
        <w:spacing w:after="240"/>
      </w:pPr>
      <w:r>
        <w:rPr>
          <w:color w:val="5C6E7D"/>
          <w:sz w:val="19"/>
          <w:szCs w:val="19"/>
        </w:rPr>
        <w:t xml:space="preserve">Prepared [DATE]. Worked examples: configuration management, and reliability, maintainability, system health and human factors.</w:t>
      </w:r>
    </w:p>
    <w:p>
      <w:pPr>
        <w:pStyle w:val="Heading1"/>
      </w:pPr>
      <w:r>
        <w:t xml:space="preserve">1. Purpose</w:t>
      </w:r>
    </w:p>
    <w:p>
      <w:pPr>
        <w:spacing w:after="110" w:line="264"/>
      </w:pPr>
      <w:r>
        <w:t xml:space="preserve">This paper describes a method. The method finds the engineering requirements that the organization must perform on safety-significant products, whether or not a contract invokes them. We call that set the mandatory floor.</w:t>
      </w:r>
    </w:p>
    <w:p>
      <w:pPr>
        <w:spacing w:after="110" w:line="264"/>
      </w:pPr>
      <w:r>
        <w:t xml:space="preserve">The method was built and tested on two disciplines. The first was configuration management (CM). The second was reliability, maintainability, system health and human factors (R&amp;M). It applies to any discipline that works to industry standards.</w:t>
      </w:r>
    </w:p>
    <w:p>
      <w:pPr>
        <w:pStyle w:val="Heading1"/>
      </w:pPr>
      <w:r>
        <w:t xml:space="preserve">2. The idea in brief</w:t>
      </w:r>
    </w:p>
    <w:p>
      <w:pPr>
        <w:spacing w:after="110" w:line="264"/>
      </w:pPr>
      <w:r>
        <w:t xml:space="preserve">Engineering standards reach a program by two pathways. The contract pathway invokes a standard, and the customer may tailor it. The SMS pathway binds the organization through its own safety management system, which is based on SM-0001.</w:t>
      </w:r>
    </w:p>
    <w:p>
      <w:pPr>
        <w:spacing w:after="110" w:line="264"/>
      </w:pPr>
      <w:r>
        <w:t xml:space="preserve">SM-0001 names hazards the organization must control. Some clauses in engineering standards are the controls for those hazards. A clause that controls a named hazard binds through the SMS, even when the contract is silent. Tailoring a contract removes a contract obligation. It does not remove an SMS obligation.</w:t>
      </w:r>
    </w:p>
    <w:p>
      <w:pPr>
        <w:spacing w:after="110" w:line="264"/>
      </w:pPr>
      <w:r>
        <w:t xml:space="preserve">Skipping a floor requirement is therefore a risk-acceptance decision. Floor requirements guard against Severity 1 (catastrophic) and Severity 2 (severe) outcomes. SM-0001 6.2.2 requires risk acceptance by management personnel empowered to accept it. For Severity 1 to 2, that is the Accountable Executive or a delegate.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57800" cy="2362200"/>
            <wp:effectExtent t="0" r="0" b="0" l="0"/>
            <wp:docPr id="1" name="mf_01.png" descr="Figure 1. Two pathways, one floor" title="Figure 1. Two pathways, one flo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C6E7D"/>
          <w:sz w:val="18"/>
          <w:szCs w:val="18"/>
        </w:rPr>
        <w:t xml:space="preserve">Figure 1. Two pathways, one floor</w:t>
      </w:r>
    </w:p>
    <w:p>
      <w:pPr>
        <w:pStyle w:val="Heading1"/>
      </w:pPr>
      <w:r>
        <w:t xml:space="preserve">3.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Barrier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 risk control in SM-0001 terms: “a means to reduce or eliminate the effects of hazards.” In this method, a barrier is a requirement-based control that passes all three gates of the barrier test (Step 4).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Floor requirement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 clause-level requirement, taken from an anchor standard, that implements a barrier. It is performed on every safety-significant product, or replaced by a documented equivalent.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Anchor standard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 industry standard whose normative shall statements can support a floor requirement (Step 2).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Documented equivalent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 alternative control, recorded as an SMS record, that names the hazard it controls, the control itself, and the evidence that it works.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The organization's severity scale. Severity 1 is catastrophic. Severity 2 is severe. The whole effort uses this one scale.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Ownership tier</w:t>
            </w:r>
          </w:p>
        </w:tc>
        <w:tc>
          <w:tcPr>
            <w:tcW w:type="dxa" w:w="716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Discipline primary, shared, handoff or governance (Step 5).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The method</w:t>
      </w:r>
    </w:p>
    <w:p>
      <w:pPr>
        <w:spacing w:after="110" w:line="264"/>
      </w:pPr>
      <w:r>
        <w:t xml:space="preserve">The method has seven steps. Each step produces a record that the next step builds 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971800"/>
            <wp:effectExtent t="0" r="0" b="0" l="0"/>
            <wp:docPr id="2" name="mf_03.png" descr="Figure 2. The method in seven steps" title="Figure 2. The method in seven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C6E7D"/>
          <w:sz w:val="18"/>
          <w:szCs w:val="18"/>
        </w:rPr>
        <w:t xml:space="preserve">Figure 2. The method in seven steps</w:t>
      </w:r>
    </w:p>
    <w:p>
      <w:pPr>
        <w:pStyle w:val="Heading2"/>
      </w:pPr>
      <w:r>
        <w:t xml:space="preserve">Step 1. Frame the decision</w:t>
      </w:r>
    </w:p>
    <w:p>
      <w:pPr>
        <w:spacing w:after="110" w:line="264"/>
      </w:pPr>
      <w:r>
        <w:t xml:space="preserve">Confirm three things before any analysis. The SMS basis is SM-0001. The severity scale runs from Severity 1 (catastrophic) to Severity 5. The authority model names who may accept risk at each level: the Accountable Executive for Severity 1 to 2, an executive for Severity 3, and a first-line manager for Severity 4 to 5.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a one-page decision frame.</w:t>
      </w:r>
    </w:p>
    <w:p>
      <w:pPr>
        <w:pStyle w:val="Heading2"/>
      </w:pPr>
      <w:r>
        <w:t xml:space="preserve">Step 2. Select anchor standards</w:t>
      </w:r>
    </w:p>
    <w:p>
      <w:pPr>
        <w:spacing w:after="110" w:line="264"/>
      </w:pPr>
      <w:r>
        <w:t xml:space="preserve">List every standard the discipline might use. Keep a standard as an anchor only if it meets four tests: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Normative shall language. </w:t>
      </w:r>
      <w:r>
        <w:t xml:space="preserve">The shall statements sit in the body of the standard. A shall inside a worked example or an appendix does not count.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Wide use. </w:t>
      </w:r>
      <w:r>
        <w:t xml:space="preserve">Aerospace and defense programs have applied the standard over time.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Current status. </w:t>
      </w:r>
      <w:r>
        <w:t xml:space="preserve">The standard is active, reaffirmed, or replaced by a named successor.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known tailoring rule. </w:t>
      </w:r>
      <w:r>
        <w:t xml:space="preserve">Record how the standard may be tailored. Some allow only additions to a mandatory minimum. Some apply every shall unless an agreement excludes it.</w:t>
      </w:r>
    </w:p>
    <w:p>
      <w:pPr>
        <w:spacing w:after="110" w:line="264"/>
      </w:pPr>
      <w:r>
        <w:t xml:space="preserve">Handbooks, guides, data item descriptions and case studies are not anchors. Rate each standard usable, marginal or not usable, and record why.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a standards verdict table.</w:t>
      </w:r>
    </w:p>
    <w:p>
      <w:pPr>
        <w:pStyle w:val="Heading2"/>
      </w:pPr>
      <w:r>
        <w:t xml:space="preserve">Step 3. Cast a wide net</w:t>
      </w:r>
    </w:p>
    <w:p>
      <w:pPr>
        <w:spacing w:after="110" w:line="264"/>
      </w:pPr>
      <w:r>
        <w:t xml:space="preserve">Read each anchor standard for clauses that could control a hazard SM-0001 names (6.2.1, 6.2.3, 6.3 or 7). Draft a candidate barrier for each. Do not filter by discipline yet. Step 5 does that.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a candidate barrier list, each candidate with its clause anchors.</w:t>
      </w:r>
    </w:p>
    <w:p>
      <w:pPr>
        <w:pStyle w:val="Heading2"/>
      </w:pPr>
      <w:r>
        <w:t xml:space="preserve">Step 4. Apply the barrier test</w:t>
      </w:r>
    </w:p>
    <w:p>
      <w:pPr>
        <w:spacing w:after="110" w:line="264"/>
      </w:pPr>
      <w:r>
        <w:t xml:space="preserve">A candidate becomes a floor barrier only if it passes all three gates: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 1, named hazard. </w:t>
      </w:r>
      <w:r>
        <w:t xml:space="preserve">SM-0001 names the hazard the requirement controls.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 2, direct link. </w:t>
      </w:r>
      <w:r>
        <w:t xml:space="preserve">Failure of the requirement directly enables that hazard, with no other healthy barrier in the path.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Gate 3, event evidence. </w:t>
      </w:r>
      <w:r>
        <w:t xml:space="preserve">Documented events show a Severity 1 or 2 consequence when the barrier failed.</w:t>
      </w:r>
    </w:p>
    <w:p>
      <w:pPr>
        <w:spacing w:after="110" w:line="264"/>
      </w:pPr>
      <w:r>
        <w:t xml:space="preserve">Investigated accidents carry the most weight. A documented industry pattern can anchor a barrier, but the register flags it as a pattern. A candidate that fails any gate stays a contract or good-practice requirement and is tailored through the contract.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2105025"/>
            <wp:effectExtent t="0" r="0" b="0" l="0"/>
            <wp:docPr id="3" name="mf_02.png" descr="Figure 3. The barrier test" title="Figure 3. The barrier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C6E7D"/>
          <w:sz w:val="18"/>
          <w:szCs w:val="18"/>
        </w:rPr>
        <w:t xml:space="preserve">Figure 3. The barrier test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the barrier register.</w:t>
      </w:r>
    </w:p>
    <w:p>
      <w:pPr>
        <w:pStyle w:val="Heading2"/>
      </w:pPr>
      <w:r>
        <w:t xml:space="preserve">Step 5. Assign ownership</w:t>
      </w:r>
    </w:p>
    <w:p>
      <w:pPr>
        <w:spacing w:after="110" w:line="264"/>
      </w:pPr>
      <w:r>
        <w:t xml:space="preserve">Most barriers touch more than one discipline. Assign each barrier to one of four tiers: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Discipline primary. </w:t>
      </w:r>
      <w:r>
        <w:t xml:space="preserve">The discipline performs the barrier and accepts its own risk.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Shared. </w:t>
      </w:r>
      <w:r>
        <w:t xml:space="preserve">Another discipline owns the barrier. This discipline supplies a defined input, such as an FMECA or field data.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Handoff. </w:t>
      </w:r>
      <w:r>
        <w:t xml:space="preserve">Another discipline owns and performs the barrier. It is still a barrier, and it needs a named owner.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Governance. </w:t>
      </w:r>
      <w:r>
        <w:t xml:space="preserve">The barrier binds every discipline: risk acceptance, documented tailoring, escalation and continuity. Write it once, at the SMS level.</w:t>
      </w:r>
    </w:p>
    <w:p>
      <w:pPr>
        <w:spacing w:after="110" w:line="264"/>
      </w:pPr>
      <w:r>
        <w:t xml:space="preserve">Route barriers; never delete them. A handoff to an owner that does not perform it leaves the barrier open.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owners for every barrier, and a handoff list for other disciplines.</w:t>
      </w:r>
    </w:p>
    <w:p>
      <w:pPr>
        <w:pStyle w:val="Heading2"/>
      </w:pPr>
      <w:r>
        <w:t xml:space="preserve">Step 6. Decompose to the floor</w:t>
      </w:r>
    </w:p>
    <w:p>
      <w:pPr>
        <w:spacing w:after="110" w:line="264"/>
      </w:pPr>
      <w:r>
        <w:t xml:space="preserve">List the clause-level requirements behind each barrier. Each row of the floor register records: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source standard and section.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requirement, paraphrased. The standard's own text governs.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barrier or barriers it serves.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SM-0001 hazard it controls.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events it traces to, and the severity.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The artifact that proves it was done: a report, plan, database or record.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t xml:space="preserve">An inclusion flag. Clean is a direct shall obligation. Judgment is contingent or indirect. Conditional applies only when its trigger exists.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the floor register.</w:t>
      </w:r>
    </w:p>
    <w:p>
      <w:pPr>
        <w:pStyle w:val="Heading2"/>
      </w:pPr>
      <w:r>
        <w:t xml:space="preserve">Step 7. Trace, verify and govern</w:t>
      </w:r>
    </w:p>
    <w:p>
      <w:pPr>
        <w:spacing w:after="110" w:line="264"/>
      </w:pPr>
      <w:r>
        <w:t xml:space="preserve">Verify before anyone briefs the result. Compute every count from the register by formula. Check every event claim against its investigation report. For high-stakes claims, use a reviewer who did not do the analysis. Show the trace with two charts: a flow from standards to barriers, and one barrier traced end to end.</w:t>
      </w:r>
    </w:p>
    <w:p>
      <w:pPr>
        <w:spacing w:after="110" w:line="264"/>
      </w:pPr>
      <w:r>
        <w:t xml:space="preserve">Then put the floor under SMS governance. A policy states that floor requirements, or documented equivalents, apply to every safety-significant product regardless of contract flow-down. Exceptions follow one route (Figure 4).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762500" cy="1952625"/>
            <wp:effectExtent t="0" r="0" b="0" l="0"/>
            <wp:docPr id="4" name="mf_07.png" descr="Figure 4. Routing an exception" title="Figure 4. Routing an ex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iCs/>
          <w:color w:val="5C6E7D"/>
          <w:sz w:val="18"/>
          <w:szCs w:val="18"/>
        </w:rPr>
        <w:t xml:space="preserve">Figure 4. Routing an exception</w:t>
      </w:r>
    </w:p>
    <w:p>
      <w:pPr>
        <w:spacing w:after="160" w:before="40"/>
      </w:pPr>
      <w:r>
        <w:rPr>
          <w:b/>
          <w:bCs/>
          <w:color w:val="1E3A54"/>
        </w:rPr>
        <w:t xml:space="preserve">Output: </w:t>
      </w:r>
      <w:r>
        <w:t xml:space="preserve">a briefing, a policy statement and the exception route.</w:t>
      </w:r>
    </w:p>
    <w:p>
      <w:pPr>
        <w:pStyle w:val="Heading1"/>
      </w:pPr>
      <w:r>
        <w:t xml:space="preserve">5. Results to 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30"/>
        <w:gridCol w:w="3230"/>
      </w:tblGrid>
      <w:tr>
        <w:trPr>
          <w:tblHeader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1E3A5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R&amp;M, system health and human factors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Anchor standards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 (EIA-649-1A Rev. A)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 (7 usable, 1 marginal), from 33 reviewed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Barriers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16 in 4 clusters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47 in 6 clusters; 66 passed the test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Floor requirements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44 (37 marked Clean)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186, proved by 35 artifact types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Ownership routing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Not needed: one discipline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35 primary, 12 shared, 12 handoffs, 7 governance</w:t>
            </w:r>
          </w:p>
        </w:tc>
      </w:tr>
      <w:tr>
        <w:trPr>
          <w:tblHeader w:val="off"/>
        </w:trPr>
        <w:tc>
          <w:tcPr>
            <w:tcW w:type="dxa" w:w="290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shd w:fill="F2F5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Fatalities in anchoring events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880+, as cited in the CM deck</w:t>
            </w:r>
          </w:p>
        </w:tc>
        <w:tc>
          <w:tcPr>
            <w:tcW w:type="dxa" w:w="3230"/>
            <w:tcBorders>
              <w:top w:val="single" w:color="D6DEE6" w:sz="4"/>
              <w:left w:val="single" w:color="D6DEE6" w:sz="4"/>
              <w:bottom w:val="single" w:color="D6DEE6" w:sz="4"/>
              <w:right w:val="single" w:color="D6DE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1,384 across 17 events</w:t>
            </w:r>
          </w:p>
        </w:tc>
      </w:tr>
    </w:tbl>
    <w:p>
      <w:pPr>
        <w:spacing w:after="120" w:before="100"/>
      </w:pPr>
      <w:r>
        <w:t xml:space="preserve">The CM deck rates its events on an older scale on which 5 was catastrophic. This paper uses the organization's scale: those events are Severity 1 and 2.</w:t>
      </w:r>
    </w:p>
    <w:p>
      <w:pPr>
        <w:pStyle w:val="Heading1"/>
      </w:pPr>
      <w:r>
        <w:t xml:space="preserve">6. Applying the method to another discipline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Inputs: </w:t>
      </w:r>
      <w:r>
        <w:t xml:space="preserve">the discipline's candidate standards, the SM-0001 hazard lists, investigation reports for candidate events, and handoffs that other registers already identified.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People: </w:t>
      </w:r>
      <w:r>
        <w:t xml:space="preserve">a discipline lead who knows the standards, a system safety partner for hazards and severity, a reviewer who checks every event at its source, and the SMS office for the authority model.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60" w:line="264"/>
      </w:pPr>
      <w:r>
        <w:rPr>
          <w:b/>
          <w:bCs/>
        </w:rPr>
        <w:t xml:space="preserve">Outputs: </w:t>
      </w:r>
      <w:r>
        <w:t xml:space="preserve">a standards verdict, a barrier register, a floor register, traceability charts, and one summary slide for leadership.</w:t>
      </w:r>
    </w:p>
    <w:p>
      <w:pPr>
        <w:spacing w:after="120" w:before="80"/>
      </w:pPr>
      <w:r>
        <w:t xml:space="preserve">The next disciplines are already named. The R&amp;M handoffs point to Structures (6 barriers), System Safety (3), and Human Engineering, Production Quality and Mechanical Systems (1 each). Each handoff is a starting row for that discipline's register.</w:t>
      </w:r>
    </w:p>
    <w:p>
      <w:pPr>
        <w:pStyle w:val="Heading1"/>
      </w:pPr>
      <w:r>
        <w:t xml:space="preserve">7. Guardrails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Let the standards set the count. </w:t>
      </w:r>
      <w:r>
        <w:t xml:space="preserve">CM has 16 barriers. R&amp;M has 47. Neither number was forced.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Anchor only on normative shall statements. </w:t>
      </w:r>
      <w:r>
        <w:t xml:space="preserve">A shall in a worked example or an appendix is not an obligation.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Paraphrase. The standard governs. </w:t>
      </w:r>
      <w:r>
        <w:t xml:space="preserve">Some standards' licenses bar reproduction or AI processing of their text.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Check every event at the source. </w:t>
      </w:r>
      <w:r>
        <w:t xml:space="preserve">Alaska 261 had redundant load-bearing threads in the jackscrew nut. One common failure mode, wear from inadequate lubrication, defeated both. The lesson is common-cause failure, not missing redundancy. The correction added R&amp;M barrier 66.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Use one severity scale. </w:t>
      </w:r>
      <w:r>
        <w:t xml:space="preserve">Severity 1 is catastrophic and 2 is severe. A mixed scale inverts the authority table.</w:t>
      </w:r>
    </w:p>
    <w:p>
      <w:pPr>
        <w:pStyle w:val="ListParagraph"/>
        <w:keepNext/>
        <w:keepLines/>
        <w:numPr>
          <w:ilvl w:val="0"/>
          <w:numId w:val="3"/>
        </w:numPr>
        <w:spacing w:after="60" w:line="264"/>
      </w:pPr>
      <w:r>
        <w:rPr>
          <w:b/>
          <w:bCs/>
        </w:rPr>
        <w:t xml:space="preserve">Count from the register, by formula. </w:t>
      </w:r>
      <w:r>
        <w:t xml:space="preserve">Hand counts drifted more than once during this work.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E7D"/>
        <w:sz w:val="17"/>
        <w:szCs w:val="17"/>
      </w:rPr>
      <w:t xml:space="preserve">Mandatory floor method  |  </w:t>
    </w:r>
    <w:r>
      <w:rPr>
        <w:color w:val="5C6E7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B3282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E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80"/>
      <w:outlineLvl w:val="0"/>
    </w:pPr>
    <w:rPr>
      <w:rFonts w:ascii="Cambria" w:cs="Cambria" w:eastAsia="Cambria" w:hAnsi="Cambria"/>
      <w:b/>
      <w:bCs/>
      <w:color w:val="1E3A5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Cambria" w:cs="Cambria" w:eastAsia="Cambria" w:hAnsi="Cambria"/>
      <w:b/>
      <w:bCs/>
      <w:color w:val="16232E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f77351876be8b5f073c208778e1a90a258eac493.png"/><Relationship Id="rId9" Type="http://schemas.openxmlformats.org/officeDocument/2006/relationships/image" Target="media/617e9d0ab1f7a7518717b64455bee12987d2b4d7.png"/><Relationship Id="rId10" Type="http://schemas.openxmlformats.org/officeDocument/2006/relationships/image" Target="media/af9ade22ece9b63e19e7b7784edc1a306427f5d2.png"/><Relationship Id="rId11" Type="http://schemas.openxmlformats.org/officeDocument/2006/relationships/image" Target="media/531150ca358a7c23d39499039bde25af0268182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Mandatory Floor for Engineering Requirements</dc:title>
  <dc:creator>Mandatory floor method</dc:creator>
  <cp:lastModifiedBy>Un-named</cp:lastModifiedBy>
  <cp:revision>1</cp:revision>
  <dcterms:created xsi:type="dcterms:W3CDTF">2026-10-29T15:20:49.418Z</dcterms:created>
  <dcterms:modified xsi:type="dcterms:W3CDTF">2026-10-29T15:20:49.418Z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