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595959"/>
          <w:sz w:val="22"/>
          <w:szCs w:val="22"/>
        </w:rPr>
        <w:t xml:space="preserve">CONFIGURATION MANAGEMENT DECISION GUIDE</w:t>
      </w:r>
    </w:p>
    <w:p>
      <w:pPr>
        <w:spacing w:after="60" w:before="0"/>
      </w:pPr>
      <w:r>
        <w:rPr>
          <w:rFonts w:ascii="Calibri" w:cs="Calibri" w:eastAsia="Calibri" w:hAnsi="Calibri"/>
          <w:b/>
          <w:bCs/>
          <w:color w:val="1F4E79"/>
          <w:sz w:val="40"/>
          <w:szCs w:val="40"/>
        </w:rPr>
        <w:t xml:space="preserve">Same CI or Separate CIs?</w:t>
      </w:r>
    </w:p>
    <w:p>
      <w:pPr>
        <w:spacing w:after="60" w:before="0"/>
      </w:pPr>
      <w:r>
        <w:rPr>
          <w:rFonts w:ascii="Calibri" w:cs="Calibri" w:eastAsia="Calibri" w:hAnsi="Calibri"/>
          <w:color w:val="595959"/>
          <w:sz w:val="24"/>
          <w:szCs w:val="24"/>
        </w:rPr>
        <w:t xml:space="preserve">Assigning CI Identifiers to Related Items with Multiple Part Numbers</w:t>
      </w:r>
    </w:p>
    <w:p>
      <w:pPr>
        <w:spacing w:after="240" w:before="0"/>
      </w:pPr>
      <w:r>
        <w:rPr>
          <w:rFonts w:ascii="Calibri" w:cs="Calibri" w:eastAsia="Calibri" w:hAnsi="Calibri"/>
          <w:i/>
          <w:iCs/>
          <w:color w:val="595959"/>
          <w:sz w:val="20"/>
          <w:szCs w:val="20"/>
        </w:rPr>
        <w:t xml:space="preserve">Companion to [XXX-CM-PROC-001] CI Identification Process · In alignment with EIA-649-1A and GEIA-HB-649A</w:t>
      </w:r>
    </w:p>
    <w:p>
      <w:pPr>
        <w:spacing w:after="300" w:before="0"/>
      </w:pPr>
      <w:r>
        <w:rPr>
          <w:rFonts w:ascii="Calibri" w:cs="Calibri" w:eastAsia="Calibri" w:hAnsi="Calibri"/>
          <w:color w:val="595959"/>
          <w:sz w:val="20"/>
          <w:szCs w:val="20"/>
        </w:rPr>
        <w:t xml:space="preserve">Document No.: [XXX-CM-GUIDE-001]     Revision: [Initial]     Date: [Date]</w:t>
      </w:r>
    </w:p>
    <w:p>
      <w:pPr>
        <w:pStyle w:val="Heading1"/>
        <w:spacing w:after="140" w:before="280"/>
      </w:pPr>
      <w:r>
        <w:rPr>
          <w:rFonts w:ascii="Calibri" w:cs="Calibri" w:eastAsia="Calibri" w:hAnsi="Calibri"/>
        </w:rPr>
        <w:t xml:space="preserve">1. Purpose</w:t>
      </w:r>
    </w:p>
    <w:p>
      <w:pPr>
        <w:spacing w:after="120" w:before="0"/>
      </w:pPr>
      <w:r>
        <w:rPr>
          <w:rFonts w:ascii="Calibri" w:cs="Calibri" w:eastAsia="Calibri" w:hAnsi="Calibri"/>
          <w:sz w:val="22"/>
          <w:szCs w:val="22"/>
        </w:rPr>
        <w:t xml:space="preserve">This guide answers a recurring question: when two or more items carry different part numbers but appear closely related — same function, same subsystem, same vendor — should they share one Configuration Item (CI) identifier with part-number variants, or be designated as separate CIs? It also covers the reverse case: when one part number must map to multiple CIs. It supplements, and does not replace, the CI selection criteria and Acquirer concurrence requirements of [XXX-CM-PROC-001] §5.3 and §5.6.</w:t>
      </w:r>
    </w:p>
    <w:p>
      <w:pPr>
        <w:pStyle w:val="Heading1"/>
        <w:spacing w:after="140" w:before="280"/>
      </w:pPr>
      <w:r>
        <w:rPr>
          <w:rFonts w:ascii="Calibri" w:cs="Calibri" w:eastAsia="Calibri" w:hAnsi="Calibri"/>
        </w:rPr>
        <w:t xml:space="preserve">2. Principle: CI Identifier vs. Part Number</w:t>
      </w:r>
    </w:p>
    <w:p>
      <w:pPr>
        <w:spacing w:after="120"/>
      </w:pPr>
      <w:r>
        <w:rPr>
          <w:rFonts w:ascii="Calibri" w:cs="Calibri" w:eastAsia="Calibri" w:hAnsi="Calibri"/>
          <w:b/>
          <w:bCs/>
          <w:sz w:val="22"/>
          <w:szCs w:val="22"/>
        </w:rPr>
        <w:t xml:space="preserve">The CI identifier follows function and the management need for separate configuration control. </w:t>
      </w:r>
      <w:r>
        <w:rPr>
          <w:rFonts w:ascii="Calibri" w:cs="Calibri" w:eastAsia="Calibri" w:hAnsi="Calibri"/>
          <w:sz w:val="22"/>
          <w:szCs w:val="22"/>
        </w:rPr>
        <w:t xml:space="preserve">The Part or Identifying Number (PIN) follows form, fit, and function: it changes whenever a modification creates a non-interchangeable condition (EIA-649-1A; GEIA-HB-649A §7.4.1). The two identifiers answer different questions and are deliberately decoupled:</w:t>
      </w:r>
    </w:p>
    <w:p>
      <w:pPr>
        <w:pStyle w:val="ListParagraph"/>
        <w:numPr>
          <w:ilvl w:val="0"/>
          <w:numId w:val="2"/>
        </w:numPr>
        <w:spacing w:after="80"/>
      </w:pPr>
      <w:r>
        <w:rPr>
          <w:rFonts w:ascii="Calibri" w:cs="Calibri" w:eastAsia="Calibri" w:hAnsi="Calibri"/>
          <w:sz w:val="22"/>
          <w:szCs w:val="22"/>
        </w:rPr>
        <w:t xml:space="preserve">Multiple part numbers under one CI: variants of one managed function that are not interchangeable with each other (e.g., different interface details) but share one specification basis, one verification basis, and common change effectivity.</w:t>
      </w:r>
    </w:p>
    <w:p>
      <w:pPr>
        <w:pStyle w:val="ListParagraph"/>
        <w:numPr>
          <w:ilvl w:val="0"/>
          <w:numId w:val="2"/>
        </w:numPr>
        <w:spacing w:after="80"/>
      </w:pPr>
      <w:r>
        <w:rPr>
          <w:rFonts w:ascii="Calibri" w:cs="Calibri" w:eastAsia="Calibri" w:hAnsi="Calibri"/>
          <w:sz w:val="22"/>
          <w:szCs w:val="22"/>
        </w:rPr>
        <w:t xml:space="preserve">One part number under multiple CIs: the same physical item instantiated in multiple subsystems that perform distinct functions, or whose instantiations fulfill different functional requirements. Example: the same antenna part number installed once in the UHF subsystem and once in the MIDS JTRS subsystem is one PIN but two CIs — each installation satisfies a different end-use function, sits in a different branch of the CI hierarchy, and needs its own change effectivity address, hazard traceability, and logistics reporting.</w:t>
      </w:r>
    </w:p>
    <w:p>
      <w:pPr>
        <w:spacing w:after="120" w:before="0"/>
      </w:pPr>
      <w:r>
        <w:rPr>
          <w:rFonts w:ascii="Calibri" w:cs="Calibri" w:eastAsia="Calibri" w:hAnsi="Calibri"/>
          <w:sz w:val="22"/>
          <w:szCs w:val="22"/>
        </w:rPr>
        <w:t xml:space="preserve">Consequence: neither “they have different part numbers” nor “they are the same part number” decides the CI question. The gates in Section 3 decide it.</w:t>
      </w:r>
    </w:p>
    <w:p>
      <w:pPr>
        <w:pStyle w:val="Heading1"/>
        <w:spacing w:after="140" w:before="280"/>
      </w:pPr>
      <w:r>
        <w:rPr>
          <w:rFonts w:ascii="Calibri" w:cs="Calibri" w:eastAsia="Calibri" w:hAnsi="Calibri"/>
        </w:rPr>
        <w:t xml:space="preserve">3. Decision Tree</w:t>
      </w:r>
    </w:p>
    <w:p>
      <w:pPr>
        <w:spacing w:after="120" w:before="0"/>
      </w:pPr>
      <w:r>
        <w:rPr>
          <w:rFonts w:ascii="Calibri" w:cs="Calibri" w:eastAsia="Calibri" w:hAnsi="Calibri"/>
          <w:sz w:val="22"/>
          <w:szCs w:val="22"/>
        </w:rPr>
        <w:t xml:space="preserve">Apply the gates in order, comparing the candidate items against each other. Any single separation trigger is sufficient — the gates are a logical OR. Every verdict, including a separation verdict, passes through the MBSE alignment check (G9/G10) before it is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50"/>
        <w:gridCol w:w="2600"/>
        <w:gridCol w:w="1650"/>
        <w:gridCol w:w="1560"/>
      </w:tblGrid>
      <w:tr>
        <w:trPr>
          <w:tblHeader/>
        </w:trPr>
        <w:tc>
          <w:tcPr>
            <w:tcW w:type="dxa" w:w="900"/>
            <w:shd w:fill="1F4E79"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Gate</w:t>
            </w:r>
          </w:p>
        </w:tc>
        <w:tc>
          <w:tcPr>
            <w:tcW w:type="dxa" w:w="2650"/>
            <w:shd w:fill="1F4E79"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Question</w:t>
            </w:r>
          </w:p>
        </w:tc>
        <w:tc>
          <w:tcPr>
            <w:tcW w:type="dxa" w:w="2600"/>
            <w:shd w:fill="1F4E79"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If the answer is…</w:t>
            </w:r>
          </w:p>
        </w:tc>
        <w:tc>
          <w:tcPr>
            <w:tcW w:type="dxa" w:w="1650"/>
            <w:shd w:fill="1F4E79"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Then…</w:t>
            </w:r>
          </w:p>
        </w:tc>
        <w:tc>
          <w:tcPr>
            <w:tcW w:type="dxa" w:w="1560"/>
            <w:shd w:fill="1F4E79"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Reference</w:t>
            </w:r>
          </w:p>
        </w:tc>
      </w:tr>
      <w:tr>
        <w:tc>
          <w:tcPr>
            <w:tcW w:type="dxa" w:w="900"/>
            <w:tcMar>
              <w:top w:type="dxa" w:w="60"/>
              <w:left w:type="dxa" w:w="100"/>
              <w:bottom w:type="dxa" w:w="60"/>
              <w:right w:type="dxa" w:w="100"/>
            </w:tcMar>
          </w:tcPr>
          <w:p>
            <w:pPr>
              <w:spacing w:after="40"/>
            </w:pPr>
            <w:r>
              <w:rPr>
                <w:rFonts w:ascii="Calibri" w:cs="Calibri" w:eastAsia="Calibri" w:hAnsi="Calibri"/>
                <w:b/>
                <w:bCs/>
                <w:sz w:val="20"/>
                <w:szCs w:val="20"/>
              </w:rPr>
              <w:t xml:space="preserve">G0</w:t>
            </w:r>
          </w:p>
        </w:tc>
        <w:tc>
          <w:tcPr>
            <w:tcW w:type="dxa" w:w="2650"/>
            <w:tcMar>
              <w:top w:type="dxa" w:w="60"/>
              <w:left w:type="dxa" w:w="100"/>
              <w:bottom w:type="dxa" w:w="60"/>
              <w:right w:type="dxa" w:w="100"/>
            </w:tcMar>
          </w:tcPr>
          <w:p>
            <w:pPr>
              <w:spacing w:after="40"/>
            </w:pPr>
            <w:r>
              <w:rPr>
                <w:rFonts w:ascii="Calibri" w:cs="Calibri" w:eastAsia="Calibri" w:hAnsi="Calibri"/>
                <w:sz w:val="20"/>
                <w:szCs w:val="20"/>
              </w:rPr>
              <w:t xml:space="preserve">Does each item satisfy a system end-use function?</w:t>
            </w:r>
          </w:p>
        </w:tc>
        <w:tc>
          <w:tcPr>
            <w:tcW w:type="dxa" w:w="2600"/>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1650"/>
            <w:tcMar>
              <w:top w:type="dxa" w:w="60"/>
              <w:left w:type="dxa" w:w="100"/>
              <w:bottom w:type="dxa" w:w="60"/>
              <w:right w:type="dxa" w:w="100"/>
            </w:tcMar>
          </w:tcPr>
          <w:p>
            <w:pPr>
              <w:spacing w:after="40"/>
            </w:pPr>
            <w:r>
              <w:rPr>
                <w:rFonts w:ascii="Calibri" w:cs="Calibri" w:eastAsia="Calibri" w:hAnsi="Calibri"/>
                <w:sz w:val="20"/>
                <w:szCs w:val="20"/>
              </w:rPr>
              <w:t xml:space="preserve">Not CI candidates. Control within the parent CI’s configuration documentation. Stop.</w:t>
            </w:r>
          </w:p>
        </w:tc>
        <w:tc>
          <w:tcPr>
            <w:tcW w:type="dxa" w:w="1560"/>
            <w:tcMar>
              <w:top w:type="dxa" w:w="60"/>
              <w:left w:type="dxa" w:w="100"/>
              <w:bottom w:type="dxa" w:w="60"/>
              <w:right w:type="dxa" w:w="100"/>
            </w:tcMar>
          </w:tcPr>
          <w:p>
            <w:pPr>
              <w:spacing w:after="40"/>
            </w:pPr>
            <w:r>
              <w:rPr>
                <w:rFonts w:ascii="Calibri" w:cs="Calibri" w:eastAsia="Calibri" w:hAnsi="Calibri"/>
                <w:sz w:val="20"/>
                <w:szCs w:val="20"/>
              </w:rPr>
              <w:t xml:space="preserve">[PROC-001] §5.3</w:t>
            </w:r>
          </w:p>
        </w:tc>
      </w:tr>
      <w:tr>
        <w:tc>
          <w:tcPr>
            <w:tcW w:type="dxa" w:w="900"/>
            <w:shd w:fill="F2F2F2" w:val="clear"/>
            <w:tcMar>
              <w:top w:type="dxa" w:w="60"/>
              <w:left w:type="dxa" w:w="100"/>
              <w:bottom w:type="dxa" w:w="60"/>
              <w:right w:type="dxa" w:w="100"/>
            </w:tcMar>
          </w:tcPr>
          <w:p>
            <w:pPr>
              <w:spacing w:after="40"/>
            </w:pPr>
            <w:r>
              <w:rPr>
                <w:rFonts w:ascii="Calibri" w:cs="Calibri" w:eastAsia="Calibri" w:hAnsi="Calibri"/>
                <w:b/>
                <w:bCs/>
                <w:sz w:val="20"/>
                <w:szCs w:val="20"/>
              </w:rPr>
              <w:t xml:space="preserve">G1</w:t>
            </w:r>
          </w:p>
        </w:tc>
        <w:tc>
          <w:tcPr>
            <w:tcW w:type="dxa" w:w="265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Do the items warrant CI designation at all (Table 5-1 screen)?</w:t>
            </w:r>
          </w:p>
        </w:tc>
        <w:tc>
          <w:tcPr>
            <w:tcW w:type="dxa" w:w="260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165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Parts, not CIs. Distinct PINs already capture the differences. Stop.</w:t>
            </w:r>
          </w:p>
        </w:tc>
        <w:tc>
          <w:tcPr>
            <w:tcW w:type="dxa" w:w="156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EIA-649-1A §3.2.1(2)</w:t>
            </w:r>
          </w:p>
        </w:tc>
      </w:tr>
      <w:tr>
        <w:tc>
          <w:tcPr>
            <w:tcW w:type="dxa" w:w="900"/>
            <w:tcMar>
              <w:top w:type="dxa" w:w="60"/>
              <w:left w:type="dxa" w:w="100"/>
              <w:bottom w:type="dxa" w:w="60"/>
              <w:right w:type="dxa" w:w="100"/>
            </w:tcMar>
          </w:tcPr>
          <w:p>
            <w:pPr>
              <w:spacing w:after="40"/>
            </w:pPr>
            <w:r>
              <w:rPr>
                <w:rFonts w:ascii="Calibri" w:cs="Calibri" w:eastAsia="Calibri" w:hAnsi="Calibri"/>
                <w:b/>
                <w:bCs/>
                <w:sz w:val="20"/>
                <w:szCs w:val="20"/>
              </w:rPr>
              <w:t xml:space="preserve">G2</w:t>
            </w:r>
          </w:p>
        </w:tc>
        <w:tc>
          <w:tcPr>
            <w:tcW w:type="dxa" w:w="2650"/>
            <w:tcMar>
              <w:top w:type="dxa" w:w="60"/>
              <w:left w:type="dxa" w:w="100"/>
              <w:bottom w:type="dxa" w:w="60"/>
              <w:right w:type="dxa" w:w="100"/>
            </w:tcMar>
          </w:tcPr>
          <w:p>
            <w:pPr>
              <w:spacing w:after="40"/>
            </w:pPr>
            <w:r>
              <w:rPr>
                <w:rFonts w:ascii="Calibri" w:cs="Calibri" w:eastAsia="Calibri" w:hAnsi="Calibri"/>
                <w:sz w:val="20"/>
                <w:szCs w:val="20"/>
              </w:rPr>
              <w:t xml:space="preserve">Do the items perform the same end-use function?</w:t>
            </w:r>
          </w:p>
        </w:tc>
        <w:tc>
          <w:tcPr>
            <w:tcW w:type="dxa" w:w="2600"/>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1650"/>
            <w:tcMar>
              <w:top w:type="dxa" w:w="60"/>
              <w:left w:type="dxa" w:w="100"/>
              <w:bottom w:type="dxa" w:w="60"/>
              <w:right w:type="dxa" w:w="100"/>
            </w:tcMar>
          </w:tcPr>
          <w:p>
            <w:pPr>
              <w:spacing w:after="40"/>
            </w:pPr>
            <w:r>
              <w:rPr>
                <w:rFonts w:ascii="Calibri" w:cs="Calibri" w:eastAsia="Calibri" w:hAnsi="Calibri"/>
                <w:sz w:val="20"/>
                <w:szCs w:val="20"/>
              </w:rPr>
              <w:t xml:space="preserve">Separate CIs → G9.</w:t>
            </w:r>
          </w:p>
        </w:tc>
        <w:tc>
          <w:tcPr>
            <w:tcW w:type="dxa" w:w="1560"/>
            <w:tcMar>
              <w:top w:type="dxa" w:w="60"/>
              <w:left w:type="dxa" w:w="100"/>
              <w:bottom w:type="dxa" w:w="60"/>
              <w:right w:type="dxa" w:w="100"/>
            </w:tcMar>
          </w:tcPr>
          <w:p>
            <w:pPr>
              <w:spacing w:after="40"/>
            </w:pPr>
            <w:r>
              <w:rPr>
                <w:rFonts w:ascii="Calibri" w:cs="Calibri" w:eastAsia="Calibri" w:hAnsi="Calibri"/>
                <w:sz w:val="20"/>
                <w:szCs w:val="20"/>
              </w:rPr>
              <w:t xml:space="preserve">EIA-649-1A §2.3</w:t>
            </w:r>
          </w:p>
        </w:tc>
      </w:tr>
      <w:tr>
        <w:tc>
          <w:tcPr>
            <w:tcW w:type="dxa" w:w="900"/>
            <w:shd w:fill="F2F2F2" w:val="clear"/>
            <w:tcMar>
              <w:top w:type="dxa" w:w="60"/>
              <w:left w:type="dxa" w:w="100"/>
              <w:bottom w:type="dxa" w:w="60"/>
              <w:right w:type="dxa" w:w="100"/>
            </w:tcMar>
          </w:tcPr>
          <w:p>
            <w:pPr>
              <w:spacing w:after="40"/>
            </w:pPr>
            <w:r>
              <w:rPr>
                <w:rFonts w:ascii="Calibri" w:cs="Calibri" w:eastAsia="Calibri" w:hAnsi="Calibri"/>
                <w:b/>
                <w:bCs/>
                <w:sz w:val="20"/>
                <w:szCs w:val="20"/>
              </w:rPr>
              <w:t xml:space="preserve">G3</w:t>
            </w:r>
          </w:p>
        </w:tc>
        <w:tc>
          <w:tcPr>
            <w:tcW w:type="dxa" w:w="265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Do the items share the same parent in the CI hierarchy (same sub-subsystem)? Where MBSE is used, answer from the model.</w:t>
            </w:r>
          </w:p>
        </w:tc>
        <w:tc>
          <w:tcPr>
            <w:tcW w:type="dxa" w:w="260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165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Separate CIs → G9.</w:t>
            </w:r>
          </w:p>
        </w:tc>
        <w:tc>
          <w:tcPr>
            <w:tcW w:type="dxa" w:w="156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[PROC-001] §5.2.1, §5.4, App. B</w:t>
            </w:r>
          </w:p>
        </w:tc>
      </w:tr>
      <w:tr>
        <w:tc>
          <w:tcPr>
            <w:tcW w:type="dxa" w:w="900"/>
            <w:tcMar>
              <w:top w:type="dxa" w:w="60"/>
              <w:left w:type="dxa" w:w="100"/>
              <w:bottom w:type="dxa" w:w="60"/>
              <w:right w:type="dxa" w:w="100"/>
            </w:tcMar>
          </w:tcPr>
          <w:p>
            <w:pPr>
              <w:spacing w:after="40"/>
            </w:pPr>
            <w:r>
              <w:rPr>
                <w:rFonts w:ascii="Calibri" w:cs="Calibri" w:eastAsia="Calibri" w:hAnsi="Calibri"/>
                <w:b/>
                <w:bCs/>
                <w:sz w:val="20"/>
                <w:szCs w:val="20"/>
              </w:rPr>
              <w:t xml:space="preserve">G4</w:t>
            </w:r>
          </w:p>
        </w:tc>
        <w:tc>
          <w:tcPr>
            <w:tcW w:type="dxa" w:w="2650"/>
            <w:tcMar>
              <w:top w:type="dxa" w:w="60"/>
              <w:left w:type="dxa" w:w="100"/>
              <w:bottom w:type="dxa" w:w="60"/>
              <w:right w:type="dxa" w:w="100"/>
            </w:tcMar>
          </w:tcPr>
          <w:p>
            <w:pPr>
              <w:spacing w:after="40"/>
            </w:pPr>
            <w:r>
              <w:rPr>
                <w:rFonts w:ascii="Calibri" w:cs="Calibri" w:eastAsia="Calibri" w:hAnsi="Calibri"/>
                <w:sz w:val="20"/>
                <w:szCs w:val="20"/>
              </w:rPr>
              <w:t xml:space="preserve">Is any of the items safety-critical per SM-0001?</w:t>
            </w:r>
          </w:p>
        </w:tc>
        <w:tc>
          <w:tcPr>
            <w:tcW w:type="dxa" w:w="2600"/>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1650"/>
            <w:tcMar>
              <w:top w:type="dxa" w:w="60"/>
              <w:left w:type="dxa" w:w="100"/>
              <w:bottom w:type="dxa" w:w="60"/>
              <w:right w:type="dxa" w:w="100"/>
            </w:tcMar>
          </w:tcPr>
          <w:p>
            <w:pPr>
              <w:spacing w:after="40"/>
            </w:pPr>
            <w:r>
              <w:rPr>
                <w:rFonts w:ascii="Calibri" w:cs="Calibri" w:eastAsia="Calibri" w:hAnsi="Calibri"/>
                <w:sz w:val="20"/>
                <w:szCs w:val="20"/>
              </w:rPr>
              <w:t xml:space="preserve">Separate CIs → G9.</w:t>
            </w:r>
          </w:p>
        </w:tc>
        <w:tc>
          <w:tcPr>
            <w:tcW w:type="dxa" w:w="1560"/>
            <w:tcMar>
              <w:top w:type="dxa" w:w="60"/>
              <w:left w:type="dxa" w:w="100"/>
              <w:bottom w:type="dxa" w:w="60"/>
              <w:right w:type="dxa" w:w="100"/>
            </w:tcMar>
          </w:tcPr>
          <w:p>
            <w:pPr>
              <w:spacing w:after="40"/>
            </w:pPr>
            <w:r>
              <w:rPr>
                <w:rFonts w:ascii="Calibri" w:cs="Calibri" w:eastAsia="Calibri" w:hAnsi="Calibri"/>
                <w:sz w:val="20"/>
                <w:szCs w:val="20"/>
              </w:rPr>
              <w:t xml:space="preserve">EIA-649-1A §3.2.1(2b); Floor F01</w:t>
            </w:r>
          </w:p>
        </w:tc>
      </w:tr>
      <w:tr>
        <w:tc>
          <w:tcPr>
            <w:tcW w:type="dxa" w:w="900"/>
            <w:shd w:fill="F2F2F2" w:val="clear"/>
            <w:tcMar>
              <w:top w:type="dxa" w:w="60"/>
              <w:left w:type="dxa" w:w="100"/>
              <w:bottom w:type="dxa" w:w="60"/>
              <w:right w:type="dxa" w:w="100"/>
            </w:tcMar>
          </w:tcPr>
          <w:p>
            <w:pPr>
              <w:spacing w:after="40"/>
            </w:pPr>
            <w:r>
              <w:rPr>
                <w:rFonts w:ascii="Calibri" w:cs="Calibri" w:eastAsia="Calibri" w:hAnsi="Calibri"/>
                <w:b/>
                <w:bCs/>
                <w:sz w:val="20"/>
                <w:szCs w:val="20"/>
              </w:rPr>
              <w:t xml:space="preserve">G5</w:t>
            </w:r>
          </w:p>
        </w:tc>
        <w:tc>
          <w:tcPr>
            <w:tcW w:type="dxa" w:w="265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Can a single specification define performance AND interfaces for all variants? (See ICD caution, §4.)</w:t>
            </w:r>
          </w:p>
        </w:tc>
        <w:tc>
          <w:tcPr>
            <w:tcW w:type="dxa" w:w="260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165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Separate CIs → G9.</w:t>
            </w:r>
          </w:p>
        </w:tc>
        <w:tc>
          <w:tcPr>
            <w:tcW w:type="dxa" w:w="156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GEIA-HB-649A App. D (e, h, k)</w:t>
            </w:r>
          </w:p>
        </w:tc>
      </w:tr>
      <w:tr>
        <w:tc>
          <w:tcPr>
            <w:tcW w:type="dxa" w:w="900"/>
            <w:tcMar>
              <w:top w:type="dxa" w:w="60"/>
              <w:left w:type="dxa" w:w="100"/>
              <w:bottom w:type="dxa" w:w="60"/>
              <w:right w:type="dxa" w:w="100"/>
            </w:tcMar>
          </w:tcPr>
          <w:p>
            <w:pPr>
              <w:spacing w:after="40"/>
            </w:pPr>
            <w:r>
              <w:rPr>
                <w:rFonts w:ascii="Calibri" w:cs="Calibri" w:eastAsia="Calibri" w:hAnsi="Calibri"/>
                <w:b/>
                <w:bCs/>
                <w:sz w:val="20"/>
                <w:szCs w:val="20"/>
              </w:rPr>
              <w:t xml:space="preserve">G6</w:t>
            </w:r>
          </w:p>
        </w:tc>
        <w:tc>
          <w:tcPr>
            <w:tcW w:type="dxa" w:w="2650"/>
            <w:tcMar>
              <w:top w:type="dxa" w:w="60"/>
              <w:left w:type="dxa" w:w="100"/>
              <w:bottom w:type="dxa" w:w="60"/>
              <w:right w:type="dxa" w:w="100"/>
            </w:tcMar>
          </w:tcPr>
          <w:p>
            <w:pPr>
              <w:spacing w:after="40"/>
            </w:pPr>
            <w:r>
              <w:rPr>
                <w:rFonts w:ascii="Calibri" w:cs="Calibri" w:eastAsia="Calibri" w:hAnsi="Calibri"/>
                <w:sz w:val="20"/>
                <w:szCs w:val="20"/>
              </w:rPr>
              <w:t xml:space="preserve">Do the items share the same verification requirements and verification plan?</w:t>
            </w:r>
          </w:p>
        </w:tc>
        <w:tc>
          <w:tcPr>
            <w:tcW w:type="dxa" w:w="2600"/>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1650"/>
            <w:tcMar>
              <w:top w:type="dxa" w:w="60"/>
              <w:left w:type="dxa" w:w="100"/>
              <w:bottom w:type="dxa" w:w="60"/>
              <w:right w:type="dxa" w:w="100"/>
            </w:tcMar>
          </w:tcPr>
          <w:p>
            <w:pPr>
              <w:spacing w:after="40"/>
            </w:pPr>
            <w:r>
              <w:rPr>
                <w:rFonts w:ascii="Calibri" w:cs="Calibri" w:eastAsia="Calibri" w:hAnsi="Calibri"/>
                <w:sz w:val="20"/>
                <w:szCs w:val="20"/>
              </w:rPr>
              <w:t xml:space="preserve">Separate CIs → G9.</w:t>
            </w:r>
          </w:p>
        </w:tc>
        <w:tc>
          <w:tcPr>
            <w:tcW w:type="dxa" w:w="1560"/>
            <w:tcMar>
              <w:top w:type="dxa" w:w="60"/>
              <w:left w:type="dxa" w:w="100"/>
              <w:bottom w:type="dxa" w:w="60"/>
              <w:right w:type="dxa" w:w="100"/>
            </w:tcMar>
          </w:tcPr>
          <w:p>
            <w:pPr>
              <w:spacing w:after="40"/>
            </w:pPr>
            <w:r>
              <w:rPr>
                <w:rFonts w:ascii="Calibri" w:cs="Calibri" w:eastAsia="Calibri" w:hAnsi="Calibri"/>
                <w:sz w:val="20"/>
                <w:szCs w:val="20"/>
              </w:rPr>
              <w:t xml:space="preserve">GEIA-HB-649A App. D (h, q)</w:t>
            </w:r>
          </w:p>
        </w:tc>
      </w:tr>
      <w:tr>
        <w:tc>
          <w:tcPr>
            <w:tcW w:type="dxa" w:w="900"/>
            <w:shd w:fill="F2F2F2" w:val="clear"/>
            <w:tcMar>
              <w:top w:type="dxa" w:w="60"/>
              <w:left w:type="dxa" w:w="100"/>
              <w:bottom w:type="dxa" w:w="60"/>
              <w:right w:type="dxa" w:w="100"/>
            </w:tcMar>
          </w:tcPr>
          <w:p>
            <w:pPr>
              <w:spacing w:after="40"/>
            </w:pPr>
            <w:r>
              <w:rPr>
                <w:rFonts w:ascii="Calibri" w:cs="Calibri" w:eastAsia="Calibri" w:hAnsi="Calibri"/>
                <w:b/>
                <w:bCs/>
                <w:sz w:val="20"/>
                <w:szCs w:val="20"/>
              </w:rPr>
              <w:t xml:space="preserve">G7</w:t>
            </w:r>
          </w:p>
        </w:tc>
        <w:tc>
          <w:tcPr>
            <w:tcW w:type="dxa" w:w="265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Will changes to one item routinely need a separate change effectivity address?</w:t>
            </w:r>
          </w:p>
        </w:tc>
        <w:tc>
          <w:tcPr>
            <w:tcW w:type="dxa" w:w="260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165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Separate CIs → G9.</w:t>
            </w:r>
          </w:p>
        </w:tc>
        <w:tc>
          <w:tcPr>
            <w:tcW w:type="dxa" w:w="156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GEIA-HB-649A App. D (c)</w:t>
            </w:r>
          </w:p>
        </w:tc>
      </w:tr>
      <w:tr>
        <w:tc>
          <w:tcPr>
            <w:tcW w:type="dxa" w:w="900"/>
            <w:tcMar>
              <w:top w:type="dxa" w:w="60"/>
              <w:left w:type="dxa" w:w="100"/>
              <w:bottom w:type="dxa" w:w="60"/>
              <w:right w:type="dxa" w:w="100"/>
            </w:tcMar>
          </w:tcPr>
          <w:p>
            <w:pPr>
              <w:spacing w:after="40"/>
            </w:pPr>
            <w:r>
              <w:rPr>
                <w:rFonts w:ascii="Calibri" w:cs="Calibri" w:eastAsia="Calibri" w:hAnsi="Calibri"/>
                <w:b/>
                <w:bCs/>
                <w:sz w:val="20"/>
                <w:szCs w:val="20"/>
              </w:rPr>
              <w:t xml:space="preserve">G8</w:t>
            </w:r>
          </w:p>
        </w:tc>
        <w:tc>
          <w:tcPr>
            <w:tcW w:type="dxa" w:w="2650"/>
            <w:tcMar>
              <w:top w:type="dxa" w:w="60"/>
              <w:left w:type="dxa" w:w="100"/>
              <w:bottom w:type="dxa" w:w="60"/>
              <w:right w:type="dxa" w:w="100"/>
            </w:tcMar>
          </w:tcPr>
          <w:p>
            <w:pPr>
              <w:spacing w:after="40"/>
            </w:pPr>
            <w:r>
              <w:rPr>
                <w:rFonts w:ascii="Calibri" w:cs="Calibri" w:eastAsia="Calibri" w:hAnsi="Calibri"/>
                <w:sz w:val="20"/>
                <w:szCs w:val="20"/>
              </w:rPr>
              <w:t xml:space="preserve">Does Acquirer direction, nomenclature, or logistics force separation?</w:t>
            </w:r>
          </w:p>
        </w:tc>
        <w:tc>
          <w:tcPr>
            <w:tcW w:type="dxa" w:w="2600"/>
            <w:tcMar>
              <w:top w:type="dxa" w:w="60"/>
              <w:left w:type="dxa" w:w="100"/>
              <w:bottom w:type="dxa" w:w="60"/>
              <w:right w:type="dxa" w:w="100"/>
            </w:tcMar>
          </w:tcPr>
          <w:p>
            <w:pPr>
              <w:spacing w:after="40"/>
            </w:pPr>
            <w:r>
              <w:rPr>
                <w:rFonts w:ascii="Calibri" w:cs="Calibri" w:eastAsia="Calibri" w:hAnsi="Calibri"/>
                <w:sz w:val="20"/>
                <w:szCs w:val="20"/>
              </w:rPr>
              <w:t xml:space="preserve">YES</w:t>
            </w:r>
          </w:p>
        </w:tc>
        <w:tc>
          <w:tcPr>
            <w:tcW w:type="dxa" w:w="1650"/>
            <w:tcMar>
              <w:top w:type="dxa" w:w="60"/>
              <w:left w:type="dxa" w:w="100"/>
              <w:bottom w:type="dxa" w:w="60"/>
              <w:right w:type="dxa" w:w="100"/>
            </w:tcMar>
          </w:tcPr>
          <w:p>
            <w:pPr>
              <w:spacing w:after="40"/>
            </w:pPr>
            <w:r>
              <w:rPr>
                <w:rFonts w:ascii="Calibri" w:cs="Calibri" w:eastAsia="Calibri" w:hAnsi="Calibri"/>
                <w:sz w:val="20"/>
                <w:szCs w:val="20"/>
              </w:rPr>
              <w:t xml:space="preserve">Separate CIs → G9. If NO: One CI, multiple PN variants → G9.</w:t>
            </w:r>
          </w:p>
        </w:tc>
        <w:tc>
          <w:tcPr>
            <w:tcW w:type="dxa" w:w="1560"/>
            <w:tcMar>
              <w:top w:type="dxa" w:w="60"/>
              <w:left w:type="dxa" w:w="100"/>
              <w:bottom w:type="dxa" w:w="60"/>
              <w:right w:type="dxa" w:w="100"/>
            </w:tcMar>
          </w:tcPr>
          <w:p>
            <w:pPr>
              <w:spacing w:after="40"/>
            </w:pPr>
            <w:r>
              <w:rPr>
                <w:rFonts w:ascii="Calibri" w:cs="Calibri" w:eastAsia="Calibri" w:hAnsi="Calibri"/>
                <w:sz w:val="20"/>
                <w:szCs w:val="20"/>
              </w:rPr>
              <w:t xml:space="preserve">EIA-649-1A §3.2.1(2d, e, g)</w:t>
            </w:r>
          </w:p>
        </w:tc>
      </w:tr>
      <w:tr>
        <w:tc>
          <w:tcPr>
            <w:tcW w:type="dxa" w:w="900"/>
            <w:shd w:fill="F2F2F2" w:val="clear"/>
            <w:tcMar>
              <w:top w:type="dxa" w:w="60"/>
              <w:left w:type="dxa" w:w="100"/>
              <w:bottom w:type="dxa" w:w="60"/>
              <w:right w:type="dxa" w:w="100"/>
            </w:tcMar>
          </w:tcPr>
          <w:p>
            <w:pPr>
              <w:spacing w:after="40"/>
            </w:pPr>
            <w:r>
              <w:rPr>
                <w:rFonts w:ascii="Calibri" w:cs="Calibri" w:eastAsia="Calibri" w:hAnsi="Calibri"/>
                <w:b/>
                <w:bCs/>
                <w:sz w:val="20"/>
                <w:szCs w:val="20"/>
              </w:rPr>
              <w:t xml:space="preserve">G9</w:t>
            </w:r>
          </w:p>
        </w:tc>
        <w:tc>
          <w:tcPr>
            <w:tcW w:type="dxa" w:w="265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Is MBSE used on this program?</w:t>
            </w:r>
          </w:p>
        </w:tc>
        <w:tc>
          <w:tcPr>
            <w:tcW w:type="dxa" w:w="260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165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Record the verdict. If YES → G10.</w:t>
            </w:r>
          </w:p>
        </w:tc>
        <w:tc>
          <w:tcPr>
            <w:tcW w:type="dxa" w:w="1560"/>
            <w:shd w:fill="F2F2F2" w:val="clear"/>
            <w:tcMar>
              <w:top w:type="dxa" w:w="60"/>
              <w:left w:type="dxa" w:w="100"/>
              <w:bottom w:type="dxa" w:w="60"/>
              <w:right w:type="dxa" w:w="100"/>
            </w:tcMar>
          </w:tcPr>
          <w:p>
            <w:pPr>
              <w:spacing w:after="40"/>
            </w:pPr>
            <w:r>
              <w:rPr>
                <w:rFonts w:ascii="Calibri" w:cs="Calibri" w:eastAsia="Calibri" w:hAnsi="Calibri"/>
                <w:sz w:val="20"/>
                <w:szCs w:val="20"/>
              </w:rPr>
              <w:t xml:space="preserve">[PROC-001] §5.2.1, App. B</w:t>
            </w:r>
          </w:p>
        </w:tc>
      </w:tr>
      <w:tr>
        <w:tc>
          <w:tcPr>
            <w:tcW w:type="dxa" w:w="900"/>
            <w:tcMar>
              <w:top w:type="dxa" w:w="60"/>
              <w:left w:type="dxa" w:w="100"/>
              <w:bottom w:type="dxa" w:w="60"/>
              <w:right w:type="dxa" w:w="100"/>
            </w:tcMar>
          </w:tcPr>
          <w:p>
            <w:pPr>
              <w:spacing w:after="40"/>
            </w:pPr>
            <w:r>
              <w:rPr>
                <w:rFonts w:ascii="Calibri" w:cs="Calibri" w:eastAsia="Calibri" w:hAnsi="Calibri"/>
                <w:b/>
                <w:bCs/>
                <w:sz w:val="20"/>
                <w:szCs w:val="20"/>
              </w:rPr>
              <w:t xml:space="preserve">G10</w:t>
            </w:r>
          </w:p>
        </w:tc>
        <w:tc>
          <w:tcPr>
            <w:tcW w:type="dxa" w:w="2650"/>
            <w:tcMar>
              <w:top w:type="dxa" w:w="60"/>
              <w:left w:type="dxa" w:w="100"/>
              <w:bottom w:type="dxa" w:w="60"/>
              <w:right w:type="dxa" w:w="100"/>
            </w:tcMar>
          </w:tcPr>
          <w:p>
            <w:pPr>
              <w:spacing w:after="40"/>
            </w:pPr>
            <w:r>
              <w:rPr>
                <w:rFonts w:ascii="Calibri" w:cs="Calibri" w:eastAsia="Calibri" w:hAnsi="Calibri"/>
                <w:sz w:val="20"/>
                <w:szCs w:val="20"/>
              </w:rPr>
              <w:t xml:space="preserve">Does the verdict match the current MBSE model representation?</w:t>
            </w:r>
          </w:p>
        </w:tc>
        <w:tc>
          <w:tcPr>
            <w:tcW w:type="dxa" w:w="2600"/>
            <w:tcMar>
              <w:top w:type="dxa" w:w="60"/>
              <w:left w:type="dxa" w:w="100"/>
              <w:bottom w:type="dxa" w:w="60"/>
              <w:right w:type="dxa" w:w="100"/>
            </w:tcMar>
          </w:tcPr>
          <w:p>
            <w:pPr>
              <w:spacing w:after="40"/>
            </w:pPr>
            <w:r>
              <w:rPr>
                <w:rFonts w:ascii="Calibri" w:cs="Calibri" w:eastAsia="Calibri" w:hAnsi="Calibri"/>
                <w:sz w:val="20"/>
                <w:szCs w:val="20"/>
              </w:rPr>
              <w:t xml:space="preserve">NO</w:t>
            </w:r>
          </w:p>
        </w:tc>
        <w:tc>
          <w:tcPr>
            <w:tcW w:type="dxa" w:w="1650"/>
            <w:tcMar>
              <w:top w:type="dxa" w:w="60"/>
              <w:left w:type="dxa" w:w="100"/>
              <w:bottom w:type="dxa" w:w="60"/>
              <w:right w:type="dxa" w:w="100"/>
            </w:tcMar>
          </w:tcPr>
          <w:p>
            <w:pPr>
              <w:spacing w:after="40"/>
            </w:pPr>
            <w:r>
              <w:rPr>
                <w:rFonts w:ascii="Calibri" w:cs="Calibri" w:eastAsia="Calibri" w:hAnsi="Calibri"/>
                <w:sz w:val="20"/>
                <w:szCs w:val="20"/>
              </w:rPr>
              <w:t xml:space="preserve">Hold. Route to Systems Engineering for model disposition per App. B.4 / §5.10 before recording. If YES: record the verdict.</w:t>
            </w:r>
          </w:p>
        </w:tc>
        <w:tc>
          <w:tcPr>
            <w:tcW w:type="dxa" w:w="1560"/>
            <w:tcMar>
              <w:top w:type="dxa" w:w="60"/>
              <w:left w:type="dxa" w:w="100"/>
              <w:bottom w:type="dxa" w:w="60"/>
              <w:right w:type="dxa" w:w="100"/>
            </w:tcMar>
          </w:tcPr>
          <w:p>
            <w:pPr>
              <w:spacing w:after="40"/>
            </w:pPr>
            <w:r>
              <w:rPr>
                <w:rFonts w:ascii="Calibri" w:cs="Calibri" w:eastAsia="Calibri" w:hAnsi="Calibri"/>
                <w:sz w:val="20"/>
                <w:szCs w:val="20"/>
              </w:rPr>
              <w:t xml:space="preserve">[PROC-001] App. B.4, §5.10</w:t>
            </w:r>
          </w:p>
        </w:tc>
      </w:tr>
    </w:tbl>
    <w:p>
      <w:pPr>
        <w:spacing w:after="60" w:before="0"/>
      </w:pPr>
      <w:r>
        <w:rPr>
          <w:rFonts w:ascii="Calibri" w:cs="Calibri" w:eastAsia="Calibri" w:hAnsi="Calibri"/>
          <w:sz w:val="22"/>
          <w:szCs w:val="22"/>
        </w:rPr>
        <w:t xml:space="preserve"/>
      </w:r>
    </w:p>
    <w:p>
      <w:pPr>
        <w:spacing w:after="60" w:before="0"/>
      </w:pPr>
      <w:r>
        <w:rPr>
          <w:rFonts w:ascii="Calibri" w:cs="Calibri" w:eastAsia="Calibri" w:hAnsi="Calibri"/>
          <w:b/>
          <w:bCs/>
          <w:sz w:val="22"/>
          <w:szCs w:val="22"/>
        </w:rPr>
        <w:t xml:space="preserve">Verdicts:</w:t>
      </w:r>
    </w:p>
    <w:p>
      <w:pPr>
        <w:pStyle w:val="ListParagraph"/>
        <w:numPr>
          <w:ilvl w:val="0"/>
          <w:numId w:val="2"/>
        </w:numPr>
        <w:spacing w:after="80"/>
      </w:pPr>
      <w:r>
        <w:rPr>
          <w:rFonts w:ascii="Calibri" w:cs="Calibri" w:eastAsia="Calibri" w:hAnsi="Calibri"/>
          <w:sz w:val="22"/>
          <w:szCs w:val="22"/>
        </w:rPr>
        <w:t xml:space="preserve">Not CI candidates (G0 fail): no end-use function; control within the parent CI.</w:t>
      </w:r>
    </w:p>
    <w:p>
      <w:pPr>
        <w:pStyle w:val="ListParagraph"/>
        <w:numPr>
          <w:ilvl w:val="0"/>
          <w:numId w:val="2"/>
        </w:numPr>
        <w:spacing w:after="80"/>
      </w:pPr>
      <w:r>
        <w:rPr>
          <w:rFonts w:ascii="Calibri" w:cs="Calibri" w:eastAsia="Calibri" w:hAnsi="Calibri"/>
          <w:sz w:val="22"/>
          <w:szCs w:val="22"/>
        </w:rPr>
        <w:t xml:space="preserve">Parts, not CIs (G1 fail): no Table 5-1 criterion applies. Do not designate CIs to solve a part-numbering question — the PINs already capture non-interchangeability. Record DO NOT DESIGNATE rationale per Appendix A.</w:t>
      </w:r>
    </w:p>
    <w:p>
      <w:pPr>
        <w:pStyle w:val="ListParagraph"/>
        <w:numPr>
          <w:ilvl w:val="0"/>
          <w:numId w:val="2"/>
        </w:numPr>
        <w:spacing w:after="80"/>
      </w:pPr>
      <w:r>
        <w:rPr>
          <w:rFonts w:ascii="Calibri" w:cs="Calibri" w:eastAsia="Calibri" w:hAnsi="Calibri"/>
          <w:sz w:val="22"/>
          <w:szCs w:val="22"/>
        </w:rPr>
        <w:t xml:space="preserve">Separate CIs (any of G2–G8 triggers): each item gets its own CI identifier, hierarchy position, configuration documentation determination, effectivity address, and baseline management. Verify every pairwise CI boundary appears in the interface register or carries a signed no-interface determination (§5.5.1).</w:t>
      </w:r>
    </w:p>
    <w:p>
      <w:pPr>
        <w:pStyle w:val="ListParagraph"/>
        <w:numPr>
          <w:ilvl w:val="0"/>
          <w:numId w:val="2"/>
        </w:numPr>
        <w:spacing w:after="80"/>
      </w:pPr>
      <w:r>
        <w:rPr>
          <w:rFonts w:ascii="Calibri" w:cs="Calibri" w:eastAsia="Calibri" w:hAnsi="Calibri"/>
          <w:sz w:val="22"/>
          <w:szCs w:val="22"/>
        </w:rPr>
        <w:t xml:space="preserve">One CI, multiple PN variants (no trigger): one CI identifier; PINs carried as variants beneath it; variant mapping recorded in the CI index; specification tabulated by variant, including per-variant interface callouts.</w:t>
      </w:r>
    </w:p>
    <w:p>
      <w:pPr>
        <w:pStyle w:val="Heading1"/>
        <w:spacing w:after="140" w:before="280"/>
      </w:pPr>
      <w:r>
        <w:rPr>
          <w:rFonts w:ascii="Calibri" w:cs="Calibri" w:eastAsia="Calibri" w:hAnsi="Calibri"/>
        </w:rPr>
        <w:t xml:space="preserve">4. Gate Rationale and Cautions</w:t>
      </w:r>
    </w:p>
    <w:p>
      <w:pPr>
        <w:pStyle w:val="Heading2"/>
        <w:spacing w:after="120" w:before="220"/>
      </w:pPr>
      <w:r>
        <w:rPr>
          <w:rFonts w:ascii="Calibri" w:cs="Calibri" w:eastAsia="Calibri" w:hAnsi="Calibri"/>
        </w:rPr>
        <w:t xml:space="preserve">4.1 G4 — Safety (either item, not both)</w:t>
      </w:r>
    </w:p>
    <w:p>
      <w:pPr>
        <w:spacing w:after="120" w:before="0"/>
      </w:pPr>
      <w:r>
        <w:rPr>
          <w:rFonts w:ascii="Calibri" w:cs="Calibri" w:eastAsia="Calibri" w:hAnsi="Calibri"/>
          <w:sz w:val="22"/>
          <w:szCs w:val="22"/>
        </w:rPr>
        <w:t xml:space="preserve">Separation is required if any one of the items is safety-critical per SM-0001 — not only when all are. A safety-critical variant sharing a CI with a non-critical variant either forces the entire CI to inherit criterion (b)/F01 obligations and safety change control, or blurs the hazard-to-CI traceability. Both outcomes are worse than a second CI number. If all items are safety-critical, they are also separated: each needs distinct hazard traceability and an independent effectivity address for safety-driven changes.</w:t>
      </w:r>
    </w:p>
    <w:p>
      <w:pPr>
        <w:pStyle w:val="Heading2"/>
        <w:spacing w:after="120" w:before="220"/>
      </w:pPr>
      <w:r>
        <w:rPr>
          <w:rFonts w:ascii="Calibri" w:cs="Calibri" w:eastAsia="Calibri" w:hAnsi="Calibri"/>
        </w:rPr>
        <w:t xml:space="preserve">4.2 G5 — The One-Spec Test and the ICD Caution</w:t>
      </w:r>
    </w:p>
    <w:p>
      <w:pPr>
        <w:spacing w:after="120" w:before="0"/>
      </w:pPr>
      <w:r>
        <w:rPr>
          <w:rFonts w:ascii="Calibri" w:cs="Calibri" w:eastAsia="Calibri" w:hAnsi="Calibri"/>
          <w:sz w:val="22"/>
          <w:szCs w:val="22"/>
        </w:rPr>
        <w:t xml:space="preserve">A single specification (a tabulated spec is acceptable) must define both performance and interfaces for all variants. Interfaces are where consolidation most often quietly fails, so apply this caution:</w:t>
      </w:r>
    </w:p>
    <w:p>
      <w:pPr>
        <w:spacing w:after="120"/>
      </w:pPr>
      <w:r>
        <w:rPr>
          <w:rFonts w:ascii="Calibri" w:cs="Calibri" w:eastAsia="Calibri" w:hAnsi="Calibri"/>
          <w:b/>
          <w:bCs/>
          <w:sz w:val="22"/>
          <w:szCs w:val="22"/>
        </w:rPr>
        <w:t xml:space="preserve">Appearing on the same ICD is not evidence of a common interface. </w:t>
      </w:r>
      <w:r>
        <w:rPr>
          <w:rFonts w:ascii="Calibri" w:cs="Calibri" w:eastAsia="Calibri" w:hAnsi="Calibri"/>
          <w:sz w:val="22"/>
          <w:szCs w:val="22"/>
        </w:rPr>
        <w:t xml:space="preserve">If both items appear in one ICD but the ICD distinctly calls out separate interfaces for each item, that complexity requires analysis — do not stop at “they’re on the same ICD.” Determine whether one interface definition genuinely governs all variants, or whether the ICD is documenting genuinely different interfaces. Distinct interface callouts usually mean: different mating definitions, potentially different interface change traffic, and therefore candidate grounds for separate effectivity (G7) or separate CIs outright. Record the analysis outcome in the Appendix A rationale, and ensure the interface register identifies which variant each interface row applies to (§5.5.1).</w:t>
      </w:r>
    </w:p>
    <w:p>
      <w:pPr>
        <w:pStyle w:val="Heading2"/>
        <w:spacing w:after="120" w:before="220"/>
      </w:pPr>
      <w:r>
        <w:rPr>
          <w:rFonts w:ascii="Calibri" w:cs="Calibri" w:eastAsia="Calibri" w:hAnsi="Calibri"/>
        </w:rPr>
        <w:t xml:space="preserve">4.3 G6 — Verification</w:t>
      </w:r>
    </w:p>
    <w:p>
      <w:pPr>
        <w:spacing w:after="120" w:before="0"/>
      </w:pPr>
      <w:r>
        <w:rPr>
          <w:rFonts w:ascii="Calibri" w:cs="Calibri" w:eastAsia="Calibri" w:hAnsi="Calibri"/>
          <w:sz w:val="22"/>
          <w:szCs w:val="22"/>
        </w:rPr>
        <w:t xml:space="preserve">One qualification and acceptance basis must cover all variants. If variants require separate definition of performance and test requirements, or must be independently verified to different requirements or by different plans, designate separately (GEIA-HB-649A App. D items h and q). If the verification picture is unknown — as is common early — obtain it before deciding; this gate is frequently the deciding fact.</w:t>
      </w:r>
    </w:p>
    <w:p>
      <w:pPr>
        <w:pStyle w:val="Heading2"/>
        <w:spacing w:after="120" w:before="220"/>
      </w:pPr>
      <w:r>
        <w:rPr>
          <w:rFonts w:ascii="Calibri" w:cs="Calibri" w:eastAsia="Calibri" w:hAnsi="Calibri"/>
        </w:rPr>
        <w:t xml:space="preserve">4.4 G7 — Change Effectivity</w:t>
      </w:r>
    </w:p>
    <w:p>
      <w:pPr>
        <w:spacing w:after="120" w:before="0"/>
      </w:pPr>
      <w:r>
        <w:rPr>
          <w:rFonts w:ascii="Calibri" w:cs="Calibri" w:eastAsia="Calibri" w:hAnsi="Calibri"/>
          <w:sz w:val="22"/>
          <w:szCs w:val="22"/>
        </w:rPr>
        <w:t xml:space="preserve">The practical day-to-day discriminator. If a change to one variant must routinely be dispositioned, tracked, and cut in independently of the others, each variant needs its own effectivity address — a primary reason separate CIs exist. If changes will normally apply across the family, one CI suffices and variant effectivity is handled within it.</w:t>
      </w:r>
    </w:p>
    <w:p>
      <w:pPr>
        <w:pStyle w:val="Heading1"/>
        <w:spacing w:after="140" w:before="280"/>
      </w:pPr>
      <w:r>
        <w:rPr>
          <w:rFonts w:ascii="Calibri" w:cs="Calibri" w:eastAsia="Calibri" w:hAnsi="Calibri"/>
        </w:rPr>
        <w:t xml:space="preserve">5. MBSE Alignment: The Model and the CI Decision</w:t>
      </w:r>
    </w:p>
    <w:p>
      <w:pPr>
        <w:spacing w:after="120" w:before="0"/>
      </w:pPr>
      <w:r>
        <w:rPr>
          <w:rFonts w:ascii="Calibri" w:cs="Calibri" w:eastAsia="Calibri" w:hAnsi="Calibri"/>
          <w:sz w:val="22"/>
          <w:szCs w:val="22"/>
        </w:rPr>
        <w:t xml:space="preserve">Where MBSE is used, the CI structure mirrors the model decomposition and shall not diverge from it ([XXX-CM-PROC-001] §5.2.1, Appendix B.1). Three rules govern how this decision tree interacts with the model:</w:t>
      </w:r>
    </w:p>
    <w:p>
      <w:pPr>
        <w:pStyle w:val="Heading2"/>
        <w:spacing w:after="120" w:before="220"/>
      </w:pPr>
      <w:r>
        <w:rPr>
          <w:rFonts w:ascii="Calibri" w:cs="Calibri" w:eastAsia="Calibri" w:hAnsi="Calibri"/>
        </w:rPr>
        <w:t xml:space="preserve">5.1 The model informs, but does not decide</w:t>
      </w:r>
    </w:p>
    <w:p>
      <w:pPr>
        <w:spacing w:after="120" w:before="0"/>
      </w:pPr>
      <w:r>
        <w:rPr>
          <w:rFonts w:ascii="Calibri" w:cs="Calibri" w:eastAsia="Calibri" w:hAnsi="Calibri"/>
          <w:sz w:val="22"/>
          <w:szCs w:val="22"/>
        </w:rPr>
        <w:t xml:space="preserve">G3 (same parent) is answered from the model where one exists. But the model’s current abstraction of the candidate items — one element or siblings — is not itself a verdict on the CI question. SysML can legitimately represent a variant family either way: one logical block with multiple physical realizations, or sibling blocks. A mismatch between the model and this screen may simply mean the architect stopped abstracting at a different level, not that either view is wrong. The screen result is engineering evidence for which representation is correct.</w:t>
      </w:r>
    </w:p>
    <w:p>
      <w:pPr>
        <w:pStyle w:val="Heading2"/>
        <w:spacing w:after="120" w:before="220"/>
      </w:pPr>
      <w:r>
        <w:rPr>
          <w:rFonts w:ascii="Calibri" w:cs="Calibri" w:eastAsia="Calibri" w:hAnsi="Calibri"/>
        </w:rPr>
        <w:t xml:space="preserve">5.2 Adjudicating the CI question may drive changes to the model</w:t>
      </w:r>
    </w:p>
    <w:p>
      <w:pPr>
        <w:spacing w:after="120" w:before="0"/>
      </w:pPr>
      <w:r>
        <w:rPr>
          <w:rFonts w:ascii="Calibri" w:cs="Calibri" w:eastAsia="Calibri" w:hAnsi="Calibri"/>
          <w:sz w:val="22"/>
          <w:szCs w:val="22"/>
        </w:rPr>
        <w:t xml:space="preserve">This is a legitimate, expected outcome of the process — not a workaround. If the screen requires separate CIs but the model shows one element, or supports one CI where the model shows siblings, CM raises the discrepancy to Systems Engineering as a model disposition item (Appendix B.4). If SE concurs, the model is corrected; the decomposition change is itself a §5.10 re-evaluation trigger, and the process loops as designed. If SE does not concur, the disagreement is a genuine engineering dispute resolved at a technical review — CM does not override the architecture unilaterally, and Systems Engineering does not silently overrule the CI screen.</w:t>
      </w:r>
    </w:p>
    <w:p>
      <w:pPr>
        <w:pStyle w:val="Heading2"/>
        <w:spacing w:after="120" w:before="220"/>
      </w:pPr>
      <w:r>
        <w:rPr>
          <w:rFonts w:ascii="Calibri" w:cs="Calibri" w:eastAsia="Calibri" w:hAnsi="Calibri"/>
        </w:rPr>
        <w:t xml:space="preserve">5.3 Never record against a divergent model</w:t>
      </w:r>
    </w:p>
    <w:p>
      <w:pPr>
        <w:spacing w:after="120" w:before="0"/>
      </w:pPr>
      <w:r>
        <w:rPr>
          <w:rFonts w:ascii="Calibri" w:cs="Calibri" w:eastAsia="Calibri" w:hAnsi="Calibri"/>
          <w:sz w:val="22"/>
          <w:szCs w:val="22"/>
        </w:rPr>
        <w:t xml:space="preserve">Do not designate two CIs against one model element, and do not consolidate two model elements under one CI, before the model is dispositioned. Either action breaks the Appendix B.4 traceability rule (every CI resolves to a model element and vice versa) and creates the second, independent decomposition Appendix B.3 prohibits. G10 exists to enforce this: a verdict that mismatches the model is held, routed to SE, and recorded only after the model and CI structure agree.</w:t>
      </w:r>
    </w:p>
    <w:p>
      <w:pPr>
        <w:pStyle w:val="Heading1"/>
        <w:spacing w:after="140" w:before="280"/>
      </w:pPr>
      <w:r>
        <w:rPr>
          <w:rFonts w:ascii="Calibri" w:cs="Calibri" w:eastAsia="Calibri" w:hAnsi="Calibri"/>
        </w:rPr>
        <w:t xml:space="preserve">6. Recording the Result</w:t>
      </w:r>
    </w:p>
    <w:p>
      <w:pPr>
        <w:pStyle w:val="ListParagraph"/>
        <w:numPr>
          <w:ilvl w:val="0"/>
          <w:numId w:val="2"/>
        </w:numPr>
        <w:spacing w:after="80"/>
      </w:pPr>
      <w:r>
        <w:rPr>
          <w:rFonts w:ascii="Calibri" w:cs="Calibri" w:eastAsia="Calibri" w:hAnsi="Calibri"/>
          <w:sz w:val="22"/>
          <w:szCs w:val="22"/>
        </w:rPr>
        <w:t xml:space="preserve">Complete an Appendix A checklist per item (or one per consolidated CI), citing the triggered gate(s) as rationale. The HTML decision tool produces a paste-ready rationale block.</w:t>
      </w:r>
    </w:p>
    <w:p>
      <w:pPr>
        <w:pStyle w:val="ListParagraph"/>
        <w:numPr>
          <w:ilvl w:val="0"/>
          <w:numId w:val="2"/>
        </w:numPr>
        <w:spacing w:after="80"/>
      </w:pPr>
      <w:r>
        <w:rPr>
          <w:rFonts w:ascii="Calibri" w:cs="Calibri" w:eastAsia="Calibri" w:hAnsi="Calibri"/>
          <w:sz w:val="22"/>
          <w:szCs w:val="22"/>
        </w:rPr>
        <w:t xml:space="preserve">One-CI verdicts: record the CI-to-PIN variant mapping in the CI index (§6 of [XXX-CM-PROC-001]); tabulate the specification by variant; identify variant applicability on each interface register row.</w:t>
      </w:r>
    </w:p>
    <w:p>
      <w:pPr>
        <w:pStyle w:val="ListParagraph"/>
        <w:numPr>
          <w:ilvl w:val="0"/>
          <w:numId w:val="2"/>
        </w:numPr>
        <w:spacing w:after="80"/>
      </w:pPr>
      <w:r>
        <w:rPr>
          <w:rFonts w:ascii="Calibri" w:cs="Calibri" w:eastAsia="Calibri" w:hAnsi="Calibri"/>
          <w:sz w:val="22"/>
          <w:szCs w:val="22"/>
        </w:rPr>
        <w:t xml:space="preserve">Separate-CI verdicts: verify every pairwise boundary between the new sibling CIs appears in the interface register or carries a signed no-interface determination.</w:t>
      </w:r>
    </w:p>
    <w:p>
      <w:pPr>
        <w:pStyle w:val="ListParagraph"/>
        <w:numPr>
          <w:ilvl w:val="0"/>
          <w:numId w:val="2"/>
        </w:numPr>
        <w:spacing w:after="80"/>
      </w:pPr>
      <w:r>
        <w:rPr>
          <w:rFonts w:ascii="Calibri" w:cs="Calibri" w:eastAsia="Calibri" w:hAnsi="Calibri"/>
          <w:sz w:val="22"/>
          <w:szCs w:val="22"/>
        </w:rPr>
        <w:t xml:space="preserve">All verdicts: submit for Acquirer concurrence per §5.6; record in the CSA system; re-run this assessment on any §5.10 trigger, including future divergence of a variant’s spec, verification, effectivity, or safety classification.</w:t>
      </w:r>
    </w:p>
    <w:p>
      <w:pPr>
        <w:pStyle w:val="Heading1"/>
        <w:spacing w:after="140" w:before="280"/>
      </w:pPr>
      <w:r>
        <w:rPr>
          <w:rFonts w:ascii="Calibri" w:cs="Calibri" w:eastAsia="Calibri" w:hAnsi="Calibri"/>
        </w:rPr>
        <w:t xml:space="preserve">7. Worked Example — Three Relays</w:t>
      </w:r>
    </w:p>
    <w:p>
      <w:pPr>
        <w:spacing w:after="120" w:before="0"/>
      </w:pPr>
      <w:r>
        <w:rPr>
          <w:rFonts w:ascii="Calibri" w:cs="Calibri" w:eastAsia="Calibri" w:hAnsi="Calibri"/>
          <w:sz w:val="22"/>
          <w:szCs w:val="22"/>
        </w:rPr>
        <w:t xml:space="preserve">Three relays with different part numbers: same end-use function, same sub-subsystem, same vendor, same maintenance requirements, not safety-critical, slightly different interfaces. Verification requirements initially unknown.</w:t>
      </w:r>
    </w:p>
    <w:p>
      <w:pPr>
        <w:pStyle w:val="ListParagraph"/>
        <w:numPr>
          <w:ilvl w:val="0"/>
          <w:numId w:val="2"/>
        </w:numPr>
        <w:spacing w:after="80"/>
      </w:pPr>
      <w:r>
        <w:rPr>
          <w:rFonts w:ascii="Calibri" w:cs="Calibri" w:eastAsia="Calibri" w:hAnsi="Calibri"/>
          <w:sz w:val="22"/>
          <w:szCs w:val="22"/>
        </w:rPr>
        <w:t xml:space="preserve">G0/G1: relays pass the end-use gate; whether they warrant CI designation at all depends on the Table 5-1 screen (e.g., required logistics elements or Acquirer direction). If no criterion applies, they are parts under the parent CI with three PINs — done.</w:t>
      </w:r>
    </w:p>
    <w:p>
      <w:pPr>
        <w:pStyle w:val="ListParagraph"/>
        <w:numPr>
          <w:ilvl w:val="0"/>
          <w:numId w:val="2"/>
        </w:numPr>
        <w:spacing w:after="80"/>
      </w:pPr>
      <w:r>
        <w:rPr>
          <w:rFonts w:ascii="Calibri" w:cs="Calibri" w:eastAsia="Calibri" w:hAnsi="Calibri"/>
          <w:sz w:val="22"/>
          <w:szCs w:val="22"/>
        </w:rPr>
        <w:t xml:space="preserve">G2/G3: same function, same parent — pass toward consolidation.</w:t>
      </w:r>
    </w:p>
    <w:p>
      <w:pPr>
        <w:pStyle w:val="ListParagraph"/>
        <w:numPr>
          <w:ilvl w:val="0"/>
          <w:numId w:val="2"/>
        </w:numPr>
        <w:spacing w:after="80"/>
      </w:pPr>
      <w:r>
        <w:rPr>
          <w:rFonts w:ascii="Calibri" w:cs="Calibri" w:eastAsia="Calibri" w:hAnsi="Calibri"/>
          <w:sz w:val="22"/>
          <w:szCs w:val="22"/>
        </w:rPr>
        <w:t xml:space="preserve">G4: not safety-critical — pass.</w:t>
      </w:r>
    </w:p>
    <w:p>
      <w:pPr>
        <w:pStyle w:val="ListParagraph"/>
        <w:numPr>
          <w:ilvl w:val="0"/>
          <w:numId w:val="2"/>
        </w:numPr>
        <w:spacing w:after="80"/>
      </w:pPr>
      <w:r>
        <w:rPr>
          <w:rFonts w:ascii="Calibri" w:cs="Calibri" w:eastAsia="Calibri" w:hAnsi="Calibri"/>
          <w:sz w:val="22"/>
          <w:szCs w:val="22"/>
        </w:rPr>
        <w:t xml:space="preserve">G5: “slightly different interfaces” is exactly the ICD caution in §4.2. If one tabulated spec with per-variant interface callouts genuinely governs all three, pass; if the interface definitions are distinct enough to need separate documents or separate interface change traffic, separate CIs.</w:t>
      </w:r>
    </w:p>
    <w:p>
      <w:pPr>
        <w:pStyle w:val="ListParagraph"/>
        <w:numPr>
          <w:ilvl w:val="0"/>
          <w:numId w:val="2"/>
        </w:numPr>
        <w:spacing w:after="80"/>
      </w:pPr>
      <w:r>
        <w:rPr>
          <w:rFonts w:ascii="Calibri" w:cs="Calibri" w:eastAsia="Calibri" w:hAnsi="Calibri"/>
          <w:sz w:val="22"/>
          <w:szCs w:val="22"/>
        </w:rPr>
        <w:t xml:space="preserve">G6: obtain the verification answer before deciding — this is the open deciding fact. Same qual/acceptance basis: pass. Different: separate CIs.</w:t>
      </w:r>
    </w:p>
    <w:p>
      <w:pPr>
        <w:pStyle w:val="ListParagraph"/>
        <w:numPr>
          <w:ilvl w:val="0"/>
          <w:numId w:val="2"/>
        </w:numPr>
        <w:spacing w:after="80"/>
      </w:pPr>
      <w:r>
        <w:rPr>
          <w:rFonts w:ascii="Calibri" w:cs="Calibri" w:eastAsia="Calibri" w:hAnsi="Calibri"/>
          <w:sz w:val="22"/>
          <w:szCs w:val="22"/>
        </w:rPr>
        <w:t xml:space="preserve">G7/G8: if relay changes cut in family-wide and no external driver separates them: one CI, three PN variants, variant mapping in the CI index.</w:t>
      </w:r>
    </w:p>
    <w:p>
      <w:pPr>
        <w:pStyle w:val="ListParagraph"/>
        <w:numPr>
          <w:ilvl w:val="0"/>
          <w:numId w:val="2"/>
        </w:numPr>
        <w:spacing w:after="80"/>
      </w:pPr>
      <w:r>
        <w:rPr>
          <w:rFonts w:ascii="Calibri" w:cs="Calibri" w:eastAsia="Calibri" w:hAnsi="Calibri"/>
          <w:sz w:val="22"/>
          <w:szCs w:val="22"/>
        </w:rPr>
        <w:t xml:space="preserve">G9/G10: verify the verdict against the MBSE model per Section 5 before recording.</w:t>
      </w:r>
    </w:p>
    <w:p>
      <w:pPr>
        <w:pStyle w:val="Heading1"/>
        <w:spacing w:after="140" w:before="280"/>
      </w:pPr>
      <w:r>
        <w:rPr>
          <w:rFonts w:ascii="Calibri" w:cs="Calibri" w:eastAsia="Calibri" w:hAnsi="Calibri"/>
        </w:rPr>
        <w:t xml:space="preserve">8. References</w:t>
      </w:r>
    </w:p>
    <w:p>
      <w:pPr>
        <w:pStyle w:val="ListParagraph"/>
        <w:numPr>
          <w:ilvl w:val="0"/>
          <w:numId w:val="2"/>
        </w:numPr>
        <w:spacing w:after="80"/>
      </w:pPr>
      <w:r>
        <w:rPr>
          <w:rFonts w:ascii="Calibri" w:cs="Calibri" w:eastAsia="Calibri" w:hAnsi="Calibri"/>
          <w:sz w:val="22"/>
          <w:szCs w:val="22"/>
        </w:rPr>
        <w:t xml:space="preserve">EIA-649-1A, Configuration Management Requirements for Defense Contracts, §2.3, §3.2.1.</w:t>
      </w:r>
    </w:p>
    <w:p>
      <w:pPr>
        <w:pStyle w:val="ListParagraph"/>
        <w:numPr>
          <w:ilvl w:val="0"/>
          <w:numId w:val="2"/>
        </w:numPr>
        <w:spacing w:after="80"/>
      </w:pPr>
      <w:r>
        <w:rPr>
          <w:rFonts w:ascii="Calibri" w:cs="Calibri" w:eastAsia="Calibri" w:hAnsi="Calibri"/>
          <w:sz w:val="22"/>
          <w:szCs w:val="22"/>
        </w:rPr>
        <w:t xml:space="preserve">GEIA-HB-649A, Configuration Management Standard Implementation Guide, §7.4.1, §7.9, Appendix D.</w:t>
      </w:r>
    </w:p>
    <w:p>
      <w:pPr>
        <w:pStyle w:val="ListParagraph"/>
        <w:numPr>
          <w:ilvl w:val="0"/>
          <w:numId w:val="2"/>
        </w:numPr>
        <w:spacing w:after="80"/>
      </w:pPr>
      <w:r>
        <w:rPr>
          <w:rFonts w:ascii="Calibri" w:cs="Calibri" w:eastAsia="Calibri" w:hAnsi="Calibri"/>
          <w:sz w:val="22"/>
          <w:szCs w:val="22"/>
        </w:rPr>
        <w:t xml:space="preserve">[XXX-CM-PROC-001], CI Identification Process, §5.2–5.10, Appendix A, Appendix B.</w:t>
      </w:r>
    </w:p>
    <w:p>
      <w:pPr>
        <w:pStyle w:val="ListParagraph"/>
        <w:numPr>
          <w:ilvl w:val="0"/>
          <w:numId w:val="2"/>
        </w:numPr>
        <w:spacing w:after="80"/>
      </w:pPr>
      <w:r>
        <w:rPr>
          <w:rFonts w:ascii="Calibri" w:cs="Calibri" w:eastAsia="Calibri" w:hAnsi="Calibri"/>
          <w:sz w:val="22"/>
          <w:szCs w:val="22"/>
        </w:rPr>
        <w:t xml:space="preserve">SM-0001, Safety Management System Standard (safety-critical item identification).</w:t>
      </w:r>
    </w:p>
    <w:p>
      <w:pPr>
        <w:spacing w:after="60" w:before="0"/>
      </w:pPr>
      <w:r>
        <w:rPr>
          <w:rFonts w:ascii="Calibri" w:cs="Calibri" w:eastAsia="Calibri" w:hAnsi="Calibri"/>
          <w:sz w:val="22"/>
          <w:szCs w:val="22"/>
        </w:rPr>
        <w:t xml:space="preserve"/>
      </w:r>
    </w:p>
    <w:p>
      <w:pPr>
        <w:spacing w:after="120" w:before="0"/>
      </w:pPr>
      <w:r>
        <w:rPr>
          <w:rFonts w:ascii="Calibri" w:cs="Calibri" w:eastAsia="Calibri" w:hAnsi="Calibri"/>
          <w:i/>
          <w:iCs/>
          <w:color w:val="595959"/>
          <w:sz w:val="20"/>
          <w:szCs w:val="20"/>
        </w:rPr>
        <w:t xml:space="preserve">Final CI designation authority for Acquirer-controlled CIs rests with the Acquirer. This guide is a decision aid and does not substitute for engineering judgment or contract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2026-07-17T20:30:55.248Z</dcterms:created>
  <dcterms:modified xsi:type="dcterms:W3CDTF">2026-07-17T20:30:55.264Z</dcterms:modified>
</cp:coreProperties>
</file>

<file path=docProps/custom.xml><?xml version="1.0" encoding="utf-8"?>
<Properties xmlns="http://schemas.openxmlformats.org/officeDocument/2006/custom-properties" xmlns:vt="http://schemas.openxmlformats.org/officeDocument/2006/docPropsVTypes"/>
</file>