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Calibri" w:cs="Calibri" w:eastAsia="Calibri" w:hAnsi="Calibri"/>
          <w:b/>
          <w:bCs/>
          <w:color w:val="1F3864"/>
          <w:sz w:val="24"/>
          <w:szCs w:val="24"/>
        </w:rPr>
        <w:t xml:space="preserve">CONFIGURATION MANAGEMENT PROCESS</w:t>
      </w:r>
    </w:p>
    <w:p>
      <w:pPr>
        <w:spacing w:after="200"/>
        <w:jc w:val="center"/>
      </w:pPr>
      <w:r>
        <w:rPr>
          <w:rFonts w:ascii="Calibri" w:cs="Calibri" w:eastAsia="Calibri" w:hAnsi="Calibri"/>
          <w:b/>
          <w:bCs/>
          <w:sz w:val="44"/>
          <w:szCs w:val="44"/>
        </w:rPr>
        <w:t xml:space="preserve">Sub-Supplier CM Requirements Flowdown and Effectiveness</w:t>
      </w:r>
    </w:p>
    <w:p>
      <w:pPr>
        <w:spacing w:after="1200"/>
        <w:jc w:val="center"/>
      </w:pPr>
      <w:r>
        <w:rPr>
          <w:rFonts w:ascii="Calibri" w:cs="Calibri" w:eastAsia="Calibri" w:hAnsi="Calibri"/>
          <w:i/>
          <w:iCs/>
          <w:sz w:val="28"/>
          <w:szCs w:val="28"/>
        </w:rPr>
        <w:t xml:space="preserve">In Alignment with EIA-649-1A and GEIA-HB-649A</w:t>
      </w:r>
    </w:p>
    <w:p>
      <w:pPr>
        <w:spacing w:after="100"/>
        <w:jc w:val="center"/>
      </w:pPr>
      <w:r>
        <w:rPr>
          <w:rFonts w:ascii="Calibri" w:cs="Calibri" w:eastAsia="Calibri" w:hAnsi="Calibri"/>
          <w:sz w:val="22"/>
          <w:szCs w:val="22"/>
        </w:rPr>
        <w:t xml:space="preserve">Document No.: [insert]</w:t>
      </w:r>
    </w:p>
    <w:p>
      <w:pPr>
        <w:spacing w:after="100"/>
        <w:jc w:val="center"/>
      </w:pPr>
      <w:r>
        <w:rPr>
          <w:rFonts w:ascii="Calibri" w:cs="Calibri" w:eastAsia="Calibri" w:hAnsi="Calibri"/>
          <w:sz w:val="22"/>
          <w:szCs w:val="22"/>
        </w:rPr>
        <w:t xml:space="preserve">Revision: [Initial]        Date: [Date]</w:t>
      </w:r>
    </w:p>
    <w:p>
      <w:pPr>
        <w:spacing w:after="100"/>
        <w:jc w:val="center"/>
      </w:pPr>
      <w:r>
        <w:rPr>
          <w:rFonts w:ascii="Calibri" w:cs="Calibri" w:eastAsia="Calibri" w:hAnsi="Calibri"/>
          <w:sz w:val="22"/>
          <w:szCs w:val="22"/>
        </w:rPr>
        <w:t xml:space="preserve">Prepared by: Configuration Management        Approved by: [Approver]</w:t>
      </w:r>
    </w:p>
    <w:p>
      <w:r>
        <w:br w:type="page"/>
      </w:r>
    </w:p>
    <w:p>
      <w:pPr>
        <w:pStyle w:val="Heading1"/>
        <w:spacing w:after="160" w:before="320"/>
      </w:pPr>
      <w:r>
        <w:rPr>
          <w:rFonts w:ascii="Calibri" w:cs="Calibri" w:eastAsia="Calibri" w:hAnsi="Calibri"/>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rPr>
        <w:t xml:space="preserve">1. Purpose, Scope, and Applicability</w:t>
      </w:r>
    </w:p>
    <w:p>
      <w:pPr>
        <w:pStyle w:val="Heading2"/>
        <w:spacing w:after="120" w:before="260"/>
      </w:pPr>
      <w:r>
        <w:rPr>
          <w:rFonts w:ascii="Calibri" w:cs="Calibri" w:eastAsia="Calibri" w:hAnsi="Calibri"/>
        </w:rPr>
        <w:t xml:space="preserve">1.1 Purpose</w:t>
      </w:r>
    </w:p>
    <w:p>
      <w:pPr>
        <w:spacing w:after="120" w:line="276"/>
      </w:pPr>
      <w:r>
        <w:rPr>
          <w:rFonts w:ascii="Calibri" w:cs="Calibri" w:eastAsia="Calibri" w:hAnsi="Calibri"/>
          <w:sz w:val="22"/>
          <w:szCs w:val="22"/>
        </w:rPr>
        <w:t xml:space="preserve">This document instructs the Configuration Management (CM) team on how to determine which CM requirements flow to a sub-tier supplier, impose them through the supplier statement of work, and determine whether the supplier’s CM process is effective — including the actions taken when it is not.</w:t>
      </w:r>
    </w:p>
    <w:p>
      <w:pPr>
        <w:spacing w:after="120" w:line="276"/>
      </w:pPr>
      <w:r>
        <w:rPr>
          <w:rFonts w:ascii="Calibri" w:cs="Calibri" w:eastAsia="Calibri" w:hAnsi="Calibri"/>
          <w:sz w:val="22"/>
          <w:szCs w:val="22"/>
        </w:rPr>
        <w:t xml:space="preserve">Performing CM includes responsibility for the CM performance of the supply chain. The governing obligation is to flow to sub-suppliers the same CM requirements imposed on the company, or suitable tailorings of them. On safety-significant product lines that obligation is a safety-floor requirement: it is performed regardless of what the prime contract flows down, or dispositioned through the floor gate defined in the CM planning and management process. A barrier that exists at this tier and not at the tier that performs the work is not a barrier.</w:t>
      </w:r>
    </w:p>
    <w:p>
      <w:pPr>
        <w:pStyle w:val="Heading2"/>
        <w:spacing w:after="120" w:before="260"/>
      </w:pPr>
      <w:r>
        <w:rPr>
          <w:rFonts w:ascii="Calibri" w:cs="Calibri" w:eastAsia="Calibri" w:hAnsi="Calibri"/>
        </w:rPr>
        <w:t xml:space="preserve">1.2 Scope</w:t>
      </w:r>
    </w:p>
    <w:p>
      <w:pPr>
        <w:spacing w:after="120" w:line="276"/>
      </w:pPr>
      <w:r>
        <w:rPr>
          <w:rFonts w:ascii="Calibri" w:cs="Calibri" w:eastAsia="Calibri" w:hAnsi="Calibri"/>
          <w:sz w:val="22"/>
          <w:szCs w:val="22"/>
        </w:rPr>
        <w:t xml:space="preserve">This process covers: classification of each procurement by type of work performed; derivation of the applicable CM requirement set and supplier data deliverables; resolution of conditional requirements, including configuration audit obligations; citation of requirements in the supplier statement of work; CM review and signature prior to release; maintenance and re-classification; continuous accrual of supplier CM performance evidence; periodic and triggered effectiveness determinations; the actions taken when a supplier CM process is determined ineffective; and recursive flowdown to lower tiers.</w:t>
      </w:r>
    </w:p>
    <w:p>
      <w:pPr>
        <w:spacing w:after="120" w:line="276"/>
      </w:pPr>
      <w:r>
        <w:rPr>
          <w:rFonts w:ascii="Calibri" w:cs="Calibri" w:eastAsia="Calibri" w:hAnsi="Calibri"/>
          <w:sz w:val="22"/>
          <w:szCs w:val="22"/>
        </w:rPr>
        <w:t xml:space="preserve">Flowdown is a cross-cutting process, not a sixth CM function. The requirements flowed to a supplier are identification, change management, status accounting, and verification and audit requirements; this process governs how they are selected, imposed, and verified at the supplier tier. It is owned under CM planning and management, which retains the obligation to document the flowdown and effectiveness methods in the program CM plan.</w:t>
      </w:r>
    </w:p>
    <w:p>
      <w:pPr>
        <w:pStyle w:val="Heading2"/>
        <w:spacing w:after="120" w:before="260"/>
      </w:pPr>
      <w:r>
        <w:rPr>
          <w:rFonts w:ascii="Calibri" w:cs="Calibri" w:eastAsia="Calibri" w:hAnsi="Calibri"/>
        </w:rPr>
        <w:t xml:space="preserve">1.3 Applicability</w:t>
      </w:r>
    </w:p>
    <w:p>
      <w:pPr>
        <w:spacing w:after="120" w:line="276"/>
      </w:pPr>
      <w:r>
        <w:rPr>
          <w:rFonts w:ascii="Calibri" w:cs="Calibri" w:eastAsia="Calibri" w:hAnsi="Calibri"/>
          <w:sz w:val="22"/>
          <w:szCs w:val="22"/>
        </w:rPr>
        <w:t xml:space="preserve">This process applies to every procurement in which a sub-tier supplier performs work that affects product configuration — design, build, software or firmware development, repair or overhaul, special processes, or the supply of catalog items incorporated into the product. It applies at every tier: a supplier with sub-tiers of its own flows the same obligation downward.</w:t>
      </w:r>
    </w:p>
    <w:p>
      <w:pPr>
        <w:spacing w:after="120" w:line="276"/>
      </w:pPr>
      <w:r>
        <w:rPr>
          <w:rFonts w:ascii="Calibri" w:cs="Calibri" w:eastAsia="Calibri" w:hAnsi="Calibri"/>
          <w:sz w:val="22"/>
          <w:szCs w:val="22"/>
        </w:rPr>
        <w:t xml:space="preserve">Where a contract imposes differing requirements, the contract governs; deviations are documented in the program CM plan. This process is tool-agnostic. The companion flowdown decision guide provides the reasoning, worked examples, and classification cases supporting the requirements stated here; where the guide and this process differ, this process governs.</w:t>
      </w:r>
    </w:p>
    <w:p>
      <w:pPr>
        <w:pStyle w:val="Heading1"/>
        <w:spacing w:after="160" w:before="320"/>
      </w:pPr>
      <w:r>
        <w:rPr>
          <w:rFonts w:ascii="Calibri" w:cs="Calibri" w:eastAsia="Calibri" w:hAnsi="Calibri"/>
        </w:rPr>
        <w:t xml:space="preserve">2. References</w:t>
      </w:r>
    </w:p>
    <w:p>
      <w:pPr>
        <w:pStyle w:val="Heading2"/>
        <w:spacing w:after="120" w:before="260"/>
      </w:pPr>
      <w:r>
        <w:rPr>
          <w:rFonts w:ascii="Calibri" w:cs="Calibri" w:eastAsia="Calibri" w:hAnsi="Calibri"/>
        </w:rPr>
        <w:t xml:space="preserve">2.1 Governing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Document</w:t>
            </w:r>
          </w:p>
        </w:tc>
        <w:tc>
          <w:tcPr>
            <w:tcW w:type="dxa" w:w="69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Title</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EIA-649-1A</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 Requirements for Defense Contracts</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GEIA-HB-649A</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 Standard Implementation Guide</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ANSI/EIA-649</w:t>
            </w:r>
          </w:p>
        </w:tc>
        <w:tc>
          <w:tcPr>
            <w:tcW w:type="dxa" w:w="69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National Consensus Standard for Configuration Management</w:t>
            </w:r>
          </w:p>
        </w:tc>
      </w:tr>
    </w:tbl>
    <w:p>
      <w:pPr>
        <w:pStyle w:val="Heading2"/>
        <w:spacing w:after="120" w:before="260"/>
      </w:pPr>
      <w:r>
        <w:rPr>
          <w:rFonts w:ascii="Calibri" w:cs="Calibri" w:eastAsia="Calibri" w:hAnsi="Calibri"/>
        </w:rPr>
        <w:t xml:space="preserve">2.2 Related Documents and Artifacts</w:t>
      </w:r>
    </w:p>
    <w:p>
      <w:pPr>
        <w:spacing w:after="120" w:line="276"/>
      </w:pPr>
      <w:r>
        <w:rPr>
          <w:rFonts w:ascii="Calibri" w:cs="Calibri" w:eastAsia="Calibri" w:hAnsi="Calibri"/>
          <w:sz w:val="22"/>
          <w:szCs w:val="22"/>
        </w:rPr>
        <w:t xml:space="preserve">Referenced by plain name. Record the corresponding company document number once; every reference in this process then resolves.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00"/>
        <w:gridCol w:w="2760"/>
      </w:tblGrid>
      <w:tr>
        <w:trPr>
          <w:tblHeader/>
        </w:trPr>
        <w:tc>
          <w:tcPr>
            <w:tcW w:type="dxa" w:w="40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Plain name used in this process</w:t>
            </w:r>
          </w:p>
        </w:tc>
        <w:tc>
          <w:tcPr>
            <w:tcW w:type="dxa" w:w="26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Company document no.</w:t>
            </w:r>
          </w:p>
        </w:tc>
        <w:tc>
          <w:tcPr>
            <w:tcW w:type="dxa" w:w="27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Owner</w:t>
            </w:r>
          </w:p>
        </w:tc>
      </w:tr>
      <w:tr>
        <w:tc>
          <w:tcPr>
            <w:tcW w:type="dxa" w:w="4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planning and management process (floor gate, CM plan content, metrics)</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w:t>
            </w:r>
          </w:p>
        </w:tc>
      </w:tr>
      <w:tr>
        <w:tc>
          <w:tcPr>
            <w:tcW w:type="dxa" w:w="4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CI identification process</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w:t>
            </w:r>
          </w:p>
        </w:tc>
      </w:tr>
      <w:tr>
        <w:tc>
          <w:tcPr>
            <w:tcW w:type="dxa" w:w="4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audit process, including the audit designation assessment</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w:t>
            </w:r>
          </w:p>
        </w:tc>
      </w:tr>
      <w:tr>
        <w:tc>
          <w:tcPr>
            <w:tcW w:type="dxa" w:w="4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status accounting process</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w:t>
            </w:r>
          </w:p>
        </w:tc>
      </w:tr>
      <w:tr>
        <w:tc>
          <w:tcPr>
            <w:tcW w:type="dxa" w:w="4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Sub-supplier CM flowdown decision guide (companion reasoning and cases)</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w:t>
            </w:r>
          </w:p>
        </w:tc>
      </w:tr>
      <w:tr>
        <w:tc>
          <w:tcPr>
            <w:tcW w:type="dxa" w:w="4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Sub-supplier CM flowdown matrix workbook (work types, requirement matrix, deliverable definitions, classification log)</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Enterprise CM functional lead</w:t>
            </w:r>
          </w:p>
        </w:tc>
      </w:tr>
      <w:tr>
        <w:tc>
          <w:tcPr>
            <w:tcW w:type="dxa" w:w="4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Sub-supplier CM effectiveness workbook (receipt log, findings log, evaluation record, actions log)</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w:t>
            </w:r>
          </w:p>
        </w:tc>
      </w:tr>
      <w:tr>
        <w:tc>
          <w:tcPr>
            <w:tcW w:type="dxa" w:w="4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Enterprise safety-floor register and operating model</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Enterprise CM functional lead</w:t>
            </w:r>
          </w:p>
        </w:tc>
      </w:tr>
      <w:tr>
        <w:tc>
          <w:tcPr>
            <w:tcW w:type="dxa" w:w="4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Safety management system standard (hazard analysis, safety data, risk-acceptance authorities)</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System Safety</w:t>
            </w:r>
          </w:p>
        </w:tc>
      </w:tr>
      <w:tr>
        <w:tc>
          <w:tcPr>
            <w:tcW w:type="dxa" w:w="40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Quality management system requirements for purchased product</w:t>
            </w:r>
          </w:p>
        </w:tc>
        <w:tc>
          <w:tcPr>
            <w:tcW w:type="dxa" w:w="26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[insert]</w:t>
            </w:r>
          </w:p>
        </w:tc>
        <w:tc>
          <w:tcPr>
            <w:tcW w:type="dxa" w:w="27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Quality Assurance</w:t>
            </w:r>
          </w:p>
        </w:tc>
      </w:tr>
    </w:tbl>
    <w:p>
      <w:pPr>
        <w:spacing w:after="120" w:line="276"/>
        <w:rPr>
          <w:i/>
          <w:iCs/>
          <w:sz w:val="20"/>
          <w:szCs w:val="20"/>
        </w:rPr>
      </w:pPr>
      <w:r>
        <w:rPr>
          <w:rFonts w:ascii="Calibri" w:cs="Calibri" w:eastAsia="Calibri" w:hAnsi="Calibri"/>
          <w:i/>
          <w:iCs/>
          <w:sz w:val="20"/>
          <w:szCs w:val="20"/>
        </w:rPr>
        <w:t xml:space="preserve">Data item descriptions apply only where cited on contract. Supplier data deliverables referenced in this process are defined in the flowdown matrix workbook; the workbook is the authoritative source for deliverable content, frequency, and applicability.</w:t>
      </w:r>
    </w:p>
    <w:p>
      <w:pPr>
        <w:pStyle w:val="Heading1"/>
        <w:spacing w:after="160" w:before="320"/>
      </w:pPr>
      <w:r>
        <w:rPr>
          <w:rFonts w:ascii="Calibri" w:cs="Calibri" w:eastAsia="Calibri" w:hAnsi="Calibri"/>
        </w:rPr>
        <w:t xml:space="preserve">3. Definitions and Acronyms</w:t>
      </w:r>
    </w:p>
    <w:p>
      <w:pPr>
        <w:pStyle w:val="Heading2"/>
        <w:spacing w:after="120" w:before="260"/>
      </w:pPr>
      <w:r>
        <w:rPr>
          <w:rFonts w:ascii="Calibri" w:cs="Calibri" w:eastAsia="Calibri" w:hAnsi="Calibri"/>
        </w:rPr>
        <w:t xml:space="preserve">3.1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Term</w:t>
            </w:r>
          </w:p>
        </w:tc>
        <w:tc>
          <w:tcPr>
            <w:tcW w:type="dxa" w:w="66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Definition</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Work Type</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 classification of the work a supplier performs, determined by who holds design authority and who performs the build, with item type (hardware, software, commercial item, service) as a modifier. The normative work types are listed in Appendix A and defined in the flowdown matrix workbook.</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Classification Record</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recorded determination of a procurement’s work type(s), maintained on the classification log. The classification record constitutes the documented tailoring rationale required by the flowdown obligation.</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Requirement Derivation</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Reading the applicable CM requirement set from the flowdown matrix for the classified work type(s), resolving conditional cells, and identifying the associated supplier data deliverables.</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Standing Conditional Audit Clause</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 statement-of-work clause imposing configuration audit conduct or support obligations that take effect if and when the procured item is or becomes designated for audit, with the audit deliverables cited as triggered items.</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 Traceability Record</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supplier deliverable recording, per delivered unit or lot: serial numbers; lot or batch numbers; life-limited designation with assigned life limit and life consumed at delivery; safety-critical designation; special handling designations; and traceability to the next higher assembly.</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Reconciliation Process Documentation</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supplier’s documented method for reconciling as-built (or as-maintained) configuration to released design at scale — data sources, comparison method, delta disposition, frequency, and records produced. Capability evidence, submitted once and on revision.</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Reconciliation Report</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recurring per-delivery or per-lot supplier deliverable stating as-built configuration against released design revision, open deltas with disposition, and incorporated changes with effectivity, expressed in part traceability record identifiers.</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Effectiveness Determination</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recorded judgment — Effective, Conditionally effective, or Ineffective — of whether a sub-supplier’s CM process meets the requirements imposed on it, made over rolling accrued evidence on a defined cadence and on defined triggers.</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Actions Ladder</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graduated set of actions taken when a supplier CM process is determined less than effective, ranging from increased surveillance through corrective action, source inspection, and award restriction.</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Recursive Flowdown</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obligation on a supplier to flow the CM requirements imposed on it, or suitable tailorings, to its own sub-tier suppliers, and to return sub-tier product data upward with traceability to next higher assemblies.</w:t>
            </w:r>
          </w:p>
        </w:tc>
      </w:tr>
    </w:tbl>
    <w:p>
      <w:pPr>
        <w:pStyle w:val="Heading2"/>
        <w:spacing w:after="120" w:before="260"/>
      </w:pPr>
      <w:r>
        <w:rPr>
          <w:rFonts w:ascii="Calibri" w:cs="Calibri" w:eastAsia="Calibri" w:hAnsi="Calibri"/>
        </w:rPr>
        <w:t xml:space="preserve">3.2 Acronyms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Acronym</w:t>
            </w:r>
          </w:p>
        </w:tc>
        <w:tc>
          <w:tcPr>
            <w:tcW w:type="dxa" w:w="66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Meaning</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CI / CSCI</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Item / Computer Software Configuration Item</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CSA</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Status Accounting</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ECP</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Engineering Change Proposal</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FAI</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First Article Inspection</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NHA</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Next Higher Assembly</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PO</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Purchase Order</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RFV</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Request for Variance</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SCD</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Source Control Drawing</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SOW</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Statement of Work</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SVD / VDD</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Software Version Description / Version Description Document</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TDP</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Technical Data Package</w:t>
            </w:r>
          </w:p>
        </w:tc>
      </w:tr>
    </w:tbl>
    <w:p>
      <w:pPr>
        <w:pStyle w:val="Heading1"/>
        <w:spacing w:after="160" w:before="320"/>
      </w:pPr>
      <w:r>
        <w:rPr>
          <w:rFonts w:ascii="Calibri" w:cs="Calibri" w:eastAsia="Calibri" w:hAnsi="Calibri"/>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Role</w:t>
            </w:r>
          </w:p>
        </w:tc>
        <w:tc>
          <w:tcPr>
            <w:tcW w:type="dxa" w:w="66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Responsibilities</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Management</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Owns this process. Classifies each procurement by work type and records the classification; derives the requirement set and deliverables; resolves conditional requirements; drafts or reviews the CM content of the supplier statement of work and signs it prior to release; maintains classifications through re-classification triggers; logs supplier deliverable receipts and findings; makes or recommends effectiveness determinations; tracks actions to closure.</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Subcontracts / Supply Chain</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Routes every statement of work through CM before release; incorporates the cited CM requirements and data deliverables; administers supplier notice periods and delivery terms; notifies CM of scope changes, source changes, and award actions; executes contractual actions arising from effectiveness determinations.</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Systems Engineering / Design Engineering</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Provides the technical content the flowdown depends on — source control drawings, specifications, technical data packages, interface definitions; approves supplier-proposed safety-critical, life-limited, and special-handling designations where the supplier holds design authority.</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Quality Assurance</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Performs receiving verification; records nonconformances, escapes, and findings against supplier deliverables; provides first article and source inspection results; supports extent checks arising from findings.</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System Safety</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Receives safety-relevant supplier findings and escapes into the safety data stream; concurs on dispositions affecting hazard controls; supports floor tailoring evaluations at the supplier tier.</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Program Management</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Resources the flowdown and effectiveness activities; approves award restrictions and other actions with schedule or cost consequence; escalates unresolved supplier CM performance.</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 Safety Assurance (independent)</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Evaluates proposed equivalent controls where a supplier or program proposes to tailor a safety-floor requirement at the supplier tier; independent of the program bearing the decision.</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Risk-Acceptance Authority</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Signs risk acceptances for safety-floor requirements not flowed to a supplier, at the authority level the safety management system names for the pre-anchored severity.</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Enterprise CM Functional Lead</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Owns the work type taxonomy, the flowdown matrix, and the deliverable definitions; maintains them as changes to the requirement set or the floor register occur.</w:t>
            </w:r>
          </w:p>
        </w:tc>
      </w:tr>
      <w:tr>
        <w:tc>
          <w:tcPr>
            <w:tcW w:type="dxa" w:w="27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Sub-Tier Supplier</w:t>
            </w:r>
          </w:p>
        </w:tc>
        <w:tc>
          <w:tcPr>
            <w:tcW w:type="dxa" w:w="66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Complies with or suitably tailors the CM requirements flowed to it; submits the required data deliverables; flows requirements recursively to its own sub-tiers and returns sub-tier product data with traceability to next higher assemblies; participates in configuration audits per its work-type role where the item is designated.</w:t>
            </w:r>
          </w:p>
        </w:tc>
      </w:tr>
    </w:tbl>
    <w:p>
      <w:pPr>
        <w:pStyle w:val="Heading1"/>
        <w:spacing w:after="160" w:before="320"/>
      </w:pPr>
      <w:r>
        <w:rPr>
          <w:rFonts w:ascii="Calibri" w:cs="Calibri" w:eastAsia="Calibri" w:hAnsi="Calibri"/>
        </w:rPr>
        <w:t xml:space="preserve">5. Process</w:t>
      </w:r>
    </w:p>
    <w:p>
      <w:pPr>
        <w:spacing w:after="120" w:line="276"/>
      </w:pPr>
      <w:r>
        <w:rPr>
          <w:rFonts w:ascii="Calibri" w:cs="Calibri" w:eastAsia="Calibri" w:hAnsi="Calibri"/>
          <w:sz w:val="22"/>
          <w:szCs w:val="22"/>
        </w:rPr>
        <w:t xml:space="preserve">Flowdown is transaction-driven: it executes for every procurement, and re-executes whenever the facts change. The activities below are performed in order for each procurement, then sustained for the life of the supplier relationship.</w:t>
      </w:r>
    </w:p>
    <w:p>
      <w:pPr>
        <w:pStyle w:val="Heading2"/>
        <w:spacing w:after="120" w:before="260"/>
      </w:pPr>
      <w:r>
        <w:rPr>
          <w:rFonts w:ascii="Calibri" w:cs="Calibri" w:eastAsia="Calibri" w:hAnsi="Calibri"/>
        </w:rPr>
        <w:t xml:space="preserve">5.1 Overall Process Inputs</w:t>
      </w:r>
    </w:p>
    <w:p>
      <w:pPr>
        <w:spacing w:after="120" w:line="276"/>
      </w:pPr>
      <w:r>
        <w:rPr>
          <w:rFonts w:ascii="Calibri" w:cs="Calibri" w:eastAsia="Calibri" w:hAnsi="Calibri"/>
          <w:sz w:val="22"/>
          <w:szCs w:val="22"/>
        </w:rPr>
        <w:t xml:space="preserve">The following are inputs to the process as a whole. Each subsequent section additionally identifies its specific inputs and outputs; an output of one section is typically an input to the next.</w:t>
      </w:r>
    </w:p>
    <w:p>
      <w:pPr>
        <w:pStyle w:val="ListParagraph"/>
        <w:numPr>
          <w:ilvl w:val="0"/>
          <w:numId w:val="2"/>
        </w:numPr>
        <w:spacing w:after="80" w:line="276"/>
      </w:pPr>
      <w:r>
        <w:rPr>
          <w:rFonts w:ascii="Calibri" w:cs="Calibri" w:eastAsia="Calibri" w:hAnsi="Calibri"/>
          <w:sz w:val="22"/>
          <w:szCs w:val="22"/>
        </w:rPr>
        <w:t xml:space="preserve">Procurement scope: the item or service, its technical basis (technical data package, source control drawing, specification, process specification, or vendor item control drawing), and the deliverable definition.</w:t>
      </w:r>
    </w:p>
    <w:p>
      <w:pPr>
        <w:pStyle w:val="ListParagraph"/>
        <w:numPr>
          <w:ilvl w:val="0"/>
          <w:numId w:val="2"/>
        </w:numPr>
        <w:spacing w:after="80" w:line="276"/>
      </w:pPr>
      <w:r>
        <w:rPr>
          <w:rFonts w:ascii="Calibri" w:cs="Calibri" w:eastAsia="Calibri" w:hAnsi="Calibri"/>
          <w:sz w:val="22"/>
          <w:szCs w:val="22"/>
        </w:rPr>
        <w:t xml:space="preserve">The company CM requirement set, as imposed by contract and as tailored in the program CM plan.</w:t>
      </w:r>
    </w:p>
    <w:p>
      <w:pPr>
        <w:pStyle w:val="ListParagraph"/>
        <w:numPr>
          <w:ilvl w:val="0"/>
          <w:numId w:val="2"/>
        </w:numPr>
        <w:spacing w:after="80" w:line="276"/>
      </w:pPr>
      <w:r>
        <w:rPr>
          <w:rFonts w:ascii="Calibri" w:cs="Calibri" w:eastAsia="Calibri" w:hAnsi="Calibri"/>
          <w:sz w:val="22"/>
          <w:szCs w:val="22"/>
        </w:rPr>
        <w:t xml:space="preserve">The enterprise safety-floor register, and the program floor compliance record.</w:t>
      </w:r>
    </w:p>
    <w:p>
      <w:pPr>
        <w:pStyle w:val="ListParagraph"/>
        <w:numPr>
          <w:ilvl w:val="0"/>
          <w:numId w:val="2"/>
        </w:numPr>
        <w:spacing w:after="80" w:line="276"/>
      </w:pPr>
      <w:r>
        <w:rPr>
          <w:rFonts w:ascii="Calibri" w:cs="Calibri" w:eastAsia="Calibri" w:hAnsi="Calibri"/>
          <w:sz w:val="22"/>
          <w:szCs w:val="22"/>
        </w:rPr>
        <w:t xml:space="preserve">The work type taxonomy, requirement matrix, and deliverable definitions.</w:t>
      </w:r>
    </w:p>
    <w:p>
      <w:pPr>
        <w:pStyle w:val="ListParagraph"/>
        <w:numPr>
          <w:ilvl w:val="0"/>
          <w:numId w:val="2"/>
        </w:numPr>
        <w:spacing w:after="80" w:line="276"/>
      </w:pPr>
      <w:r>
        <w:rPr>
          <w:rFonts w:ascii="Calibri" w:cs="Calibri" w:eastAsia="Calibri" w:hAnsi="Calibri"/>
          <w:sz w:val="22"/>
          <w:szCs w:val="22"/>
        </w:rPr>
        <w:t xml:space="preserve">The CI list and, where applicable, the audit designation assessment for the procured item.</w:t>
      </w:r>
    </w:p>
    <w:p>
      <w:pPr>
        <w:pStyle w:val="ListParagraph"/>
        <w:numPr>
          <w:ilvl w:val="0"/>
          <w:numId w:val="2"/>
        </w:numPr>
        <w:spacing w:after="80" w:line="276"/>
      </w:pPr>
      <w:r>
        <w:rPr>
          <w:rFonts w:ascii="Calibri" w:cs="Calibri" w:eastAsia="Calibri" w:hAnsi="Calibri"/>
          <w:sz w:val="22"/>
          <w:szCs w:val="22"/>
        </w:rPr>
        <w:t xml:space="preserve">Hazard analyses and safety-critical item designations affecting the procured item.</w:t>
      </w:r>
    </w:p>
    <w:p>
      <w:pPr>
        <w:pStyle w:val="ListParagraph"/>
        <w:numPr>
          <w:ilvl w:val="0"/>
          <w:numId w:val="2"/>
        </w:numPr>
        <w:spacing w:after="80" w:line="276"/>
      </w:pPr>
      <w:r>
        <w:rPr>
          <w:rFonts w:ascii="Calibri" w:cs="Calibri" w:eastAsia="Calibri" w:hAnsi="Calibri"/>
          <w:sz w:val="22"/>
          <w:szCs w:val="22"/>
        </w:rPr>
        <w:t xml:space="preserve">Supplier history: prior effectiveness determinations, open findings, and prior audit results where the supplier is incumbent.</w:t>
      </w:r>
    </w:p>
    <w:p>
      <w:pPr>
        <w:pStyle w:val="Heading2"/>
        <w:spacing w:after="120" w:before="260"/>
      </w:pPr>
      <w:r>
        <w:rPr>
          <w:rFonts w:ascii="Calibri" w:cs="Calibri" w:eastAsia="Calibri" w:hAnsi="Calibri"/>
        </w:rPr>
        <w:t xml:space="preserve">5.2 Classify the Procurement</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Procurement scope and technical basis; work type taxonomy; supplier history where incumbent.</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Classification record on the classification log identifying one or more work types, with the classifier and date; the classification record as documented tailoring rationale.</w:t>
      </w:r>
    </w:p>
    <w:p>
      <w:pPr>
        <w:spacing w:after="120" w:line="276"/>
      </w:pPr>
      <w:r>
        <w:rPr>
          <w:rFonts w:ascii="Calibri" w:cs="Calibri" w:eastAsia="Calibri" w:hAnsi="Calibri"/>
          <w:sz w:val="22"/>
          <w:szCs w:val="22"/>
        </w:rPr>
        <w:t xml:space="preserve">Classify every procurement in scope by the type of work the supplier performs. Classification is performed by CM at statement-of-work development, before release, and is recorded on the classification log with the classifier and date.</w:t>
      </w:r>
    </w:p>
    <w:p>
      <w:pPr>
        <w:spacing w:after="120" w:line="276"/>
      </w:pPr>
      <w:r>
        <w:rPr>
          <w:rFonts w:ascii="Calibri" w:cs="Calibri" w:eastAsia="Calibri" w:hAnsi="Calibri"/>
          <w:sz w:val="22"/>
          <w:szCs w:val="22"/>
        </w:rPr>
        <w:t xml:space="preserve">Determine the classification from two questions — who holds design authority, and who performs the build — with item type as a modifier. The normative work types are listed in Appendix A. Where a supplier performs more than one type of work under a single procurement, record every applicable type; mixed classifications are the norm for suppliers who both develop and build, or who build hardware and develop its embedded software.</w:t>
      </w:r>
    </w:p>
    <w:p>
      <w:pPr>
        <w:spacing w:after="120" w:line="276"/>
      </w:pPr>
      <w:r>
        <w:rPr>
          <w:rFonts w:ascii="Calibri" w:cs="Calibri" w:eastAsia="Calibri" w:hAnsi="Calibri"/>
          <w:sz w:val="22"/>
          <w:szCs w:val="22"/>
        </w:rPr>
        <w:t xml:space="preserve">The classification record is the documented tailoring rationale the flowdown obligation requires. Tailoring without a recorded classification is omission, not tailoring. A procurement whose classification cannot be determined is not released until it can.</w:t>
      </w:r>
    </w:p>
    <w:p>
      <w:pPr>
        <w:pStyle w:val="Heading2"/>
        <w:spacing w:after="120" w:before="260"/>
      </w:pPr>
      <w:r>
        <w:rPr>
          <w:rFonts w:ascii="Calibri" w:cs="Calibri" w:eastAsia="Calibri" w:hAnsi="Calibri"/>
        </w:rPr>
        <w:t xml:space="preserve">5.3 Derive the Requirement Set</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Classification record; requirement matrix and deliverable definitions; program CM plan tailoring; floor register.</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Derived CM requirement set with associated data deliverables; identified conditional requirements pending resolution; identified floor requirements requiring gate disposition if not imposed.</w:t>
      </w:r>
    </w:p>
    <w:p>
      <w:pPr>
        <w:spacing w:after="120" w:line="276"/>
      </w:pPr>
      <w:r>
        <w:rPr>
          <w:rFonts w:ascii="Calibri" w:cs="Calibri" w:eastAsia="Calibri" w:hAnsi="Calibri"/>
          <w:sz w:val="22"/>
          <w:szCs w:val="22"/>
        </w:rPr>
        <w:t xml:space="preserve">Read the applicable requirement set from the matrix column or columns corresponding to the recorded classification. Apply the following rules:</w:t>
      </w:r>
    </w:p>
    <w:p>
      <w:pPr>
        <w:pStyle w:val="ListParagraph"/>
        <w:numPr>
          <w:ilvl w:val="0"/>
          <w:numId w:val="3"/>
        </w:numPr>
        <w:spacing w:after="80" w:line="276"/>
      </w:pPr>
      <w:r>
        <w:rPr>
          <w:rFonts w:ascii="Calibri" w:cs="Calibri" w:eastAsia="Calibri" w:hAnsi="Calibri"/>
          <w:sz w:val="22"/>
          <w:szCs w:val="22"/>
        </w:rPr>
        <w:t xml:space="preserve">Where a requirement is marked as required, impose it as written together with its defined data deliverable.</w:t>
      </w:r>
    </w:p>
    <w:p>
      <w:pPr>
        <w:pStyle w:val="ListParagraph"/>
        <w:numPr>
          <w:ilvl w:val="0"/>
          <w:numId w:val="3"/>
        </w:numPr>
        <w:spacing w:after="80" w:line="276"/>
      </w:pPr>
      <w:r>
        <w:rPr>
          <w:rFonts w:ascii="Calibri" w:cs="Calibri" w:eastAsia="Calibri" w:hAnsi="Calibri"/>
          <w:sz w:val="22"/>
          <w:szCs w:val="22"/>
        </w:rPr>
        <w:t xml:space="preserve">Where a requirement is marked as tailored, impose it with the tailoring documented — the nature of the tailoring is recorded, not assumed.</w:t>
      </w:r>
    </w:p>
    <w:p>
      <w:pPr>
        <w:pStyle w:val="ListParagraph"/>
        <w:numPr>
          <w:ilvl w:val="0"/>
          <w:numId w:val="3"/>
        </w:numPr>
        <w:spacing w:after="80" w:line="276"/>
      </w:pPr>
      <w:r>
        <w:rPr>
          <w:rFonts w:ascii="Calibri" w:cs="Calibri" w:eastAsia="Calibri" w:hAnsi="Calibri"/>
          <w:sz w:val="22"/>
          <w:szCs w:val="22"/>
        </w:rPr>
        <w:t xml:space="preserve">Where a requirement is marked as conditional, resolve it against its stated condition per 5.4 before citation.</w:t>
      </w:r>
    </w:p>
    <w:p>
      <w:pPr>
        <w:pStyle w:val="ListParagraph"/>
        <w:numPr>
          <w:ilvl w:val="0"/>
          <w:numId w:val="3"/>
        </w:numPr>
        <w:spacing w:after="80" w:line="276"/>
      </w:pPr>
      <w:r>
        <w:rPr>
          <w:rFonts w:ascii="Calibri" w:cs="Calibri" w:eastAsia="Calibri" w:hAnsi="Calibri"/>
          <w:sz w:val="22"/>
          <w:szCs w:val="22"/>
        </w:rPr>
        <w:t xml:space="preserve">Where a supplier is classified into more than one work type, apply the most demanding cell for each requirement: wherever any applicable column requires a requirement, it is required.</w:t>
      </w:r>
    </w:p>
    <w:p>
      <w:pPr>
        <w:pStyle w:val="ListParagraph"/>
        <w:numPr>
          <w:ilvl w:val="0"/>
          <w:numId w:val="3"/>
        </w:numPr>
        <w:spacing w:after="80" w:line="276"/>
      </w:pPr>
      <w:r>
        <w:rPr>
          <w:rFonts w:ascii="Calibri" w:cs="Calibri" w:eastAsia="Calibri" w:hAnsi="Calibri"/>
          <w:sz w:val="22"/>
          <w:szCs w:val="22"/>
        </w:rPr>
        <w:t xml:space="preserve">Where a requirement is tagged as a safety-floor requirement and the program proposes not to impose it, disposition the proposal through the floor gate defined in the CM planning and management process. Floor requirements are not silently dropped at any tier.</w:t>
      </w:r>
    </w:p>
    <w:p>
      <w:pPr>
        <w:spacing w:after="120" w:line="276"/>
      </w:pPr>
      <w:r>
        <w:rPr>
          <w:rFonts w:ascii="Calibri" w:cs="Calibri" w:eastAsia="Calibri" w:hAnsi="Calibri"/>
          <w:sz w:val="22"/>
          <w:szCs w:val="22"/>
        </w:rPr>
        <w:t xml:space="preserve">A requirement is cited with its deliverable or it is not cited. A clause imposing an obligation without identifying the data that evidences it is unenforceable at receipt and unverifiable at audit.</w:t>
      </w:r>
    </w:p>
    <w:p>
      <w:pPr>
        <w:pStyle w:val="Heading2"/>
        <w:spacing w:after="120" w:before="260"/>
      </w:pPr>
      <w:r>
        <w:rPr>
          <w:rFonts w:ascii="Calibri" w:cs="Calibri" w:eastAsia="Calibri" w:hAnsi="Calibri"/>
        </w:rPr>
        <w:t xml:space="preserve">5.4 Resolve Conditional Requirements</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Derived requirement set with conditional cells; CI list and audit designation status; hazard analyses; supplier and item history.</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Resolved requirement set; standing conditional audit clause where designation is possible; recorded basis for each conditional resolution.</w:t>
      </w:r>
    </w:p>
    <w:p>
      <w:pPr>
        <w:pStyle w:val="Heading3"/>
        <w:spacing w:after="100" w:before="200"/>
      </w:pPr>
      <w:r>
        <w:rPr>
          <w:rFonts w:ascii="Calibri" w:cs="Calibri" w:eastAsia="Calibri" w:hAnsi="Calibri"/>
        </w:rPr>
        <w:t xml:space="preserve">5.4.1 Configuration Audit Obligations</w:t>
      </w:r>
    </w:p>
    <w:p>
      <w:pPr>
        <w:spacing w:after="120" w:line="276"/>
      </w:pPr>
      <w:r>
        <w:rPr>
          <w:rFonts w:ascii="Calibri" w:cs="Calibri" w:eastAsia="Calibri" w:hAnsi="Calibri"/>
          <w:sz w:val="22"/>
          <w:szCs w:val="22"/>
        </w:rPr>
        <w:t xml:space="preserve">Configuration audit obligations attach to items designated for audit, not to supplier categories. Work type determines the supplier’s role if the item is or becomes designated; it does not determine whether audit obligations exist. Roles by work type are stated in Appendix A and detailed in the matrix workbook: suppliers holding design authority conduct the item-level audits at their facility; software developers conduct the software functional audit and the witnessed build verification; build-to-print suppliers support the physical audit on their build; design agents provide data support.</w:t>
      </w:r>
    </w:p>
    <w:p>
      <w:pPr>
        <w:spacing w:after="120" w:line="276"/>
      </w:pPr>
      <w:r>
        <w:rPr>
          <w:rFonts w:ascii="Calibri" w:cs="Calibri" w:eastAsia="Calibri" w:hAnsi="Calibri"/>
          <w:sz w:val="22"/>
          <w:szCs w:val="22"/>
        </w:rPr>
        <w:t xml:space="preserve">Where a supplier conducts an audit, audit ceremony may be tailored — an internal co-chair and internal certification in lieu of acquirer participation — but audit substance may not. The requirements-to-test reconciliation and its traceability matrix, the as-built examination including approved-parts verification, the documented non-compliances, and the unit-difference certification are performed in full.</w:t>
      </w:r>
    </w:p>
    <w:p>
      <w:pPr>
        <w:pStyle w:val="Heading3"/>
        <w:spacing w:after="100" w:before="200"/>
      </w:pPr>
      <w:r>
        <w:rPr>
          <w:rFonts w:ascii="Calibri" w:cs="Calibri" w:eastAsia="Calibri" w:hAnsi="Calibri"/>
        </w:rPr>
        <w:t xml:space="preserve">5.4.2 The Standing Conditional Audit Clause</w:t>
      </w:r>
    </w:p>
    <w:p>
      <w:pPr>
        <w:spacing w:after="120" w:line="276"/>
      </w:pPr>
      <w:r>
        <w:rPr>
          <w:rFonts w:ascii="Calibri" w:cs="Calibri" w:eastAsia="Calibri" w:hAnsi="Calibri"/>
          <w:sz w:val="22"/>
          <w:szCs w:val="22"/>
        </w:rPr>
        <w:t xml:space="preserve">Audit designation can arrive or change after award. Awarding work to a new supplier is itself a designation trigger, because a source change is a risk event: placing a subcontract can create the designation that imposes audit obligations on that same subcontract.</w:t>
      </w:r>
    </w:p>
    <w:p>
      <w:pPr>
        <w:spacing w:after="120" w:line="276"/>
      </w:pPr>
      <w:r>
        <w:rPr>
          <w:rFonts w:ascii="Calibri" w:cs="Calibri" w:eastAsia="Calibri" w:hAnsi="Calibri"/>
          <w:sz w:val="22"/>
          <w:szCs w:val="22"/>
        </w:rPr>
        <w:t xml:space="preserve">Accordingly, every statement of work for an item where audit designation is possible shall carry a standing conditional audit clause imposing conduct or support obligations if and when the item is or becomes designated, with the audit data deliverables cited as triggered items. Deciding audit applicability once, at proposal time, converts every post-award designation into a contract modification negotiated from an unfavorable position. Where designation is already in effect at award, the audit requirements are imposed unconditionally and the deliverables scheduled.</w:t>
      </w:r>
    </w:p>
    <w:p>
      <w:pPr>
        <w:pStyle w:val="Heading3"/>
        <w:spacing w:after="100" w:before="200"/>
      </w:pPr>
      <w:r>
        <w:rPr>
          <w:rFonts w:ascii="Calibri" w:cs="Calibri" w:eastAsia="Calibri" w:hAnsi="Calibri"/>
        </w:rPr>
        <w:t xml:space="preserve">5.4.3 Other Conditional Requirements</w:t>
      </w:r>
    </w:p>
    <w:p>
      <w:pPr>
        <w:spacing w:after="120" w:line="276"/>
      </w:pPr>
      <w:r>
        <w:rPr>
          <w:rFonts w:ascii="Calibri" w:cs="Calibri" w:eastAsia="Calibri" w:hAnsi="Calibri"/>
          <w:sz w:val="22"/>
          <w:szCs w:val="22"/>
        </w:rPr>
        <w:t xml:space="preserve">Resolve each remaining conditional cell against its stated condition and record the basis. Software CM requirements are conditional on the presence of deliverable software or embedded code; process-change notification is conditional on identified critical or special processes; first article requirements are conditional on the applicable quality system criteria. Re-resolve any conditional requirement when its condition changes (5.7).</w:t>
      </w:r>
    </w:p>
    <w:p>
      <w:pPr>
        <w:pStyle w:val="Heading2"/>
        <w:spacing w:after="120" w:before="260"/>
      </w:pPr>
      <w:r>
        <w:rPr>
          <w:rFonts w:ascii="Calibri" w:cs="Calibri" w:eastAsia="Calibri" w:hAnsi="Calibri"/>
        </w:rPr>
        <w:t xml:space="preserve">5.5 Cite Requirements in the Statement of Work</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Resolved requirement set and deliverables; floor gate dispositions where applicable; contract data requirements.</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Supplier statement of work CM section citing requirements and deliverables; standing conditional audit clause where applicable; recorded floor dispositions referenced.</w:t>
      </w:r>
    </w:p>
    <w:p>
      <w:pPr>
        <w:spacing w:after="120" w:line="276"/>
      </w:pPr>
      <w:r>
        <w:rPr>
          <w:rFonts w:ascii="Calibri" w:cs="Calibri" w:eastAsia="Calibri" w:hAnsi="Calibri"/>
          <w:sz w:val="22"/>
          <w:szCs w:val="22"/>
        </w:rPr>
        <w:t xml:space="preserve">Incorporate the resolved requirement set into the supplier statement of work. Each cited requirement identifies its data deliverable by reference to the deliverable definition, including content, frequency or triggering event, and submittal terms.</w:t>
      </w:r>
    </w:p>
    <w:p>
      <w:pPr>
        <w:pStyle w:val="ListParagraph"/>
        <w:numPr>
          <w:ilvl w:val="0"/>
          <w:numId w:val="2"/>
        </w:numPr>
        <w:spacing w:after="80" w:line="276"/>
      </w:pPr>
      <w:r>
        <w:rPr>
          <w:rFonts w:ascii="Calibri" w:cs="Calibri" w:eastAsia="Calibri" w:hAnsi="Calibri"/>
          <w:sz w:val="22"/>
          <w:szCs w:val="22"/>
        </w:rPr>
        <w:t xml:space="preserve">State the authorship of designations explicitly. Where the company holds design authority, safety-critical, life-limited, and special-handling designations are provided to the supplier in the technical data and the supplier marks, records, and reports against them. Where the supplier holds design authority, the supplier proposes those designations during design development for company approval. Unstated, each party waits for the other.</w:t>
      </w:r>
    </w:p>
    <w:p>
      <w:pPr>
        <w:pStyle w:val="ListParagraph"/>
        <w:numPr>
          <w:ilvl w:val="0"/>
          <w:numId w:val="2"/>
        </w:numPr>
        <w:spacing w:after="80" w:line="276"/>
      </w:pPr>
      <w:r>
        <w:rPr>
          <w:rFonts w:ascii="Calibri" w:cs="Calibri" w:eastAsia="Calibri" w:hAnsi="Calibri"/>
          <w:sz w:val="22"/>
          <w:szCs w:val="22"/>
        </w:rPr>
        <w:t xml:space="preserve">Impose both reconciliation flowdowns where the supplier builds: the reconciliation process documentation as capability evidence submitted before reliance is placed on it, and the recurring reconciliation report per delivery or lot. A report produced by an undocumented method is a number without a method; a documented method that never reports is a method without evidence.</w:t>
      </w:r>
    </w:p>
    <w:p>
      <w:pPr>
        <w:pStyle w:val="ListParagraph"/>
        <w:numPr>
          <w:ilvl w:val="0"/>
          <w:numId w:val="2"/>
        </w:numPr>
        <w:spacing w:after="80" w:line="276"/>
      </w:pPr>
      <w:r>
        <w:rPr>
          <w:rFonts w:ascii="Calibri" w:cs="Calibri" w:eastAsia="Calibri" w:hAnsi="Calibri"/>
          <w:sz w:val="22"/>
          <w:szCs w:val="22"/>
        </w:rPr>
        <w:t xml:space="preserve">Impose the part traceability record content in full for suppliers who build, repair, or deliver serialized, lot-controlled, life-limited, or safety-critical items.</w:t>
      </w:r>
    </w:p>
    <w:p>
      <w:pPr>
        <w:pStyle w:val="ListParagraph"/>
        <w:numPr>
          <w:ilvl w:val="0"/>
          <w:numId w:val="2"/>
        </w:numPr>
        <w:spacing w:after="80" w:line="276"/>
      </w:pPr>
      <w:r>
        <w:rPr>
          <w:rFonts w:ascii="Calibri" w:cs="Calibri" w:eastAsia="Calibri" w:hAnsi="Calibri"/>
          <w:sz w:val="22"/>
          <w:szCs w:val="22"/>
        </w:rPr>
        <w:t xml:space="preserve">Impose recursive flowdown and the return of sub-tier product data with traceability to next higher assemblies wherever the supplier has sub-tiers.</w:t>
      </w:r>
    </w:p>
    <w:p>
      <w:pPr>
        <w:pStyle w:val="ListParagraph"/>
        <w:numPr>
          <w:ilvl w:val="0"/>
          <w:numId w:val="2"/>
        </w:numPr>
        <w:spacing w:after="80" w:line="276"/>
      </w:pPr>
      <w:r>
        <w:rPr>
          <w:rFonts w:ascii="Calibri" w:cs="Calibri" w:eastAsia="Calibri" w:hAnsi="Calibri"/>
          <w:sz w:val="22"/>
          <w:szCs w:val="22"/>
        </w:rPr>
        <w:t xml:space="preserve">Where a safety-floor requirement has been dispositioned other than by imposition, reference the recorded disposition.</w:t>
      </w:r>
    </w:p>
    <w:p>
      <w:pPr>
        <w:pStyle w:val="Heading2"/>
        <w:spacing w:after="120" w:before="260"/>
      </w:pPr>
      <w:r>
        <w:rPr>
          <w:rFonts w:ascii="Calibri" w:cs="Calibri" w:eastAsia="Calibri" w:hAnsi="Calibri"/>
        </w:rPr>
        <w:t xml:space="preserve">5.6 CM Review and Signature</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Draft statement of work with CM content; classification record; derived and resolved requirement set.</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CM signature on the statement of work prior to release; recorded signature on the classification log.</w:t>
      </w:r>
    </w:p>
    <w:p>
      <w:pPr>
        <w:spacing w:after="120" w:line="276"/>
      </w:pPr>
      <w:r>
        <w:rPr>
          <w:rFonts w:ascii="Calibri" w:cs="Calibri" w:eastAsia="Calibri" w:hAnsi="Calibri"/>
          <w:sz w:val="22"/>
          <w:szCs w:val="22"/>
        </w:rPr>
        <w:t xml:space="preserve">CM reviews and signs the CM content of every statement of work in scope prior to release. The signature is recorded on the classification log.</w:t>
      </w:r>
    </w:p>
    <w:p>
      <w:pPr>
        <w:spacing w:after="120" w:line="276"/>
      </w:pPr>
      <w:r>
        <w:rPr>
          <w:rFonts w:ascii="Calibri" w:cs="Calibri" w:eastAsia="Calibri" w:hAnsi="Calibri"/>
          <w:sz w:val="22"/>
          <w:szCs w:val="22"/>
        </w:rPr>
        <w:t xml:space="preserve">The scope of what the signature attests — that CM review occurred, or that flowdown content is adequate — shall be defined once in the program CM plan and applied consistently. Defining it once prevents later disputes over what a past signature meant, and fixes the meaning of the associated performance metric.</w:t>
      </w:r>
    </w:p>
    <w:p>
      <w:pPr>
        <w:spacing w:after="120" w:line="276"/>
      </w:pPr>
      <w:r>
        <w:rPr>
          <w:rFonts w:ascii="Calibri" w:cs="Calibri" w:eastAsia="Calibri" w:hAnsi="Calibri"/>
          <w:sz w:val="22"/>
          <w:szCs w:val="22"/>
        </w:rPr>
        <w:t xml:space="preserve">A statement of work released without CM signature is recorded as a process finding against the release gate, not against an individual, and the classification and derivation are performed retroactively and reconciled against what was released.</w:t>
      </w:r>
    </w:p>
    <w:p>
      <w:pPr>
        <w:pStyle w:val="Heading2"/>
        <w:spacing w:after="120" w:before="260"/>
      </w:pPr>
      <w:r>
        <w:rPr>
          <w:rFonts w:ascii="Calibri" w:cs="Calibri" w:eastAsia="Calibri" w:hAnsi="Calibri"/>
        </w:rPr>
        <w:t xml:space="preserve">5.7 Maintain the Classification</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Change notifications from subcontracts, engineering, and program management; audit designation changes; floor register revisions; effectiveness determinations.</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Re-classification records; updated requirement derivation; statement-of-work modifications where required.</w:t>
      </w:r>
    </w:p>
    <w:p>
      <w:pPr>
        <w:spacing w:after="120" w:line="276"/>
      </w:pPr>
      <w:r>
        <w:rPr>
          <w:rFonts w:ascii="Calibri" w:cs="Calibri" w:eastAsia="Calibri" w:hAnsi="Calibri"/>
          <w:sz w:val="22"/>
          <w:szCs w:val="22"/>
        </w:rPr>
        <w:t xml:space="preserve">Classification is dated, not permanent. Re-run classification, derivation, and conditional resolution on any of the following triggers, and update the statement of work where the derived set changes:</w:t>
      </w:r>
    </w:p>
    <w:p>
      <w:pPr>
        <w:pStyle w:val="ListParagraph"/>
        <w:numPr>
          <w:ilvl w:val="0"/>
          <w:numId w:val="2"/>
        </w:numPr>
        <w:spacing w:after="80" w:line="276"/>
      </w:pPr>
      <w:r>
        <w:rPr>
          <w:rFonts w:ascii="Calibri" w:cs="Calibri" w:eastAsia="Calibri" w:hAnsi="Calibri"/>
          <w:sz w:val="22"/>
          <w:szCs w:val="22"/>
        </w:rPr>
        <w:t xml:space="preserve">Scope change, including scope that grows from build to any element of design authority — a common and easily missed trigger, because it silently makes change control applicable.</w:t>
      </w:r>
    </w:p>
    <w:p>
      <w:pPr>
        <w:pStyle w:val="ListParagraph"/>
        <w:numPr>
          <w:ilvl w:val="0"/>
          <w:numId w:val="2"/>
        </w:numPr>
        <w:spacing w:after="80" w:line="276"/>
      </w:pPr>
      <w:r>
        <w:rPr>
          <w:rFonts w:ascii="Calibri" w:cs="Calibri" w:eastAsia="Calibri" w:hAnsi="Calibri"/>
          <w:sz w:val="22"/>
          <w:szCs w:val="22"/>
        </w:rPr>
        <w:t xml:space="preserve">Work type change, including the addition of software or firmware development to a hardware procurement.</w:t>
      </w:r>
    </w:p>
    <w:p>
      <w:pPr>
        <w:pStyle w:val="ListParagraph"/>
        <w:numPr>
          <w:ilvl w:val="0"/>
          <w:numId w:val="2"/>
        </w:numPr>
        <w:spacing w:after="80" w:line="276"/>
      </w:pPr>
      <w:r>
        <w:rPr>
          <w:rFonts w:ascii="Calibri" w:cs="Calibri" w:eastAsia="Calibri" w:hAnsi="Calibri"/>
          <w:sz w:val="22"/>
          <w:szCs w:val="22"/>
        </w:rPr>
        <w:t xml:space="preserve">Audit designation change for the procured item, including a designation triggered by the award itself.</w:t>
      </w:r>
    </w:p>
    <w:p>
      <w:pPr>
        <w:pStyle w:val="ListParagraph"/>
        <w:numPr>
          <w:ilvl w:val="0"/>
          <w:numId w:val="2"/>
        </w:numPr>
        <w:spacing w:after="80" w:line="276"/>
      </w:pPr>
      <w:r>
        <w:rPr>
          <w:rFonts w:ascii="Calibri" w:cs="Calibri" w:eastAsia="Calibri" w:hAnsi="Calibri"/>
          <w:sz w:val="22"/>
          <w:szCs w:val="22"/>
        </w:rPr>
        <w:t xml:space="preserve">Source change: a new supplier, facility, or sub-tier source.</w:t>
      </w:r>
    </w:p>
    <w:p>
      <w:pPr>
        <w:pStyle w:val="ListParagraph"/>
        <w:numPr>
          <w:ilvl w:val="0"/>
          <w:numId w:val="2"/>
        </w:numPr>
        <w:spacing w:after="80" w:line="276"/>
      </w:pPr>
      <w:r>
        <w:rPr>
          <w:rFonts w:ascii="Calibri" w:cs="Calibri" w:eastAsia="Calibri" w:hAnsi="Calibri"/>
          <w:sz w:val="22"/>
          <w:szCs w:val="22"/>
        </w:rPr>
        <w:t xml:space="preserve">Revision of the safety-floor register or of the requirement matrix.</w:t>
      </w:r>
    </w:p>
    <w:p>
      <w:pPr>
        <w:pStyle w:val="ListParagraph"/>
        <w:numPr>
          <w:ilvl w:val="0"/>
          <w:numId w:val="2"/>
        </w:numPr>
        <w:spacing w:after="80" w:line="276"/>
      </w:pPr>
      <w:r>
        <w:rPr>
          <w:rFonts w:ascii="Calibri" w:cs="Calibri" w:eastAsia="Calibri" w:hAnsi="Calibri"/>
          <w:sz w:val="22"/>
          <w:szCs w:val="22"/>
        </w:rPr>
        <w:t xml:space="preserve">An effectiveness determination of less than effective, which may warrant imposing requirements previously tailored.</w:t>
      </w:r>
    </w:p>
    <w:p>
      <w:pPr>
        <w:pStyle w:val="Heading2"/>
        <w:spacing w:after="120" w:before="260"/>
      </w:pPr>
      <w:r>
        <w:rPr>
          <w:rFonts w:ascii="Calibri" w:cs="Calibri" w:eastAsia="Calibri" w:hAnsi="Calibri"/>
        </w:rPr>
        <w:t xml:space="preserve">5.8 Determine Sub-Supplier CM Effectiveness</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Supplier data deliverable submittals and review results; receiving, quality, and audit findings; escapes and non-submittal events; prior determinations and open actions.</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Deliverable receipt log entries with review results and defect codes; findings and escapes log entries with safety relevance flagged; recorded effectiveness determination with rationale, date, and next-due date.</w:t>
      </w:r>
    </w:p>
    <w:p>
      <w:pPr>
        <w:pStyle w:val="Heading3"/>
        <w:spacing w:after="100" w:before="200"/>
      </w:pPr>
      <w:r>
        <w:rPr>
          <w:rFonts w:ascii="Calibri" w:cs="Calibri" w:eastAsia="Calibri" w:hAnsi="Calibri"/>
        </w:rPr>
        <w:t xml:space="preserve">5.8.1 Continuous Accrual of Evidence</w:t>
      </w:r>
    </w:p>
    <w:p>
      <w:pPr>
        <w:spacing w:after="120" w:line="276"/>
      </w:pPr>
      <w:r>
        <w:rPr>
          <w:rFonts w:ascii="Calibri" w:cs="Calibri" w:eastAsia="Calibri" w:hAnsi="Calibri"/>
          <w:sz w:val="22"/>
          <w:szCs w:val="22"/>
        </w:rPr>
        <w:t xml:space="preserve">Effectiveness evidence accrues transaction by transaction rather than being assembled at review time:</w:t>
      </w:r>
    </w:p>
    <w:p>
      <w:pPr>
        <w:pStyle w:val="ListParagraph"/>
        <w:numPr>
          <w:ilvl w:val="0"/>
          <w:numId w:val="2"/>
        </w:numPr>
        <w:spacing w:after="80" w:line="276"/>
      </w:pPr>
      <w:r>
        <w:rPr>
          <w:rFonts w:ascii="Calibri" w:cs="Calibri" w:eastAsia="Calibri" w:hAnsi="Calibri"/>
          <w:sz w:val="22"/>
          <w:szCs w:val="22"/>
        </w:rPr>
        <w:t xml:space="preserve">Log every supplier data deliverable on receipt and score it at review as accepted first pass, accepted with comment, or rejected, with defect codes recorded for anything less than first-pass acceptance.</w:t>
      </w:r>
    </w:p>
    <w:p>
      <w:pPr>
        <w:pStyle w:val="ListParagraph"/>
        <w:numPr>
          <w:ilvl w:val="0"/>
          <w:numId w:val="2"/>
        </w:numPr>
        <w:spacing w:after="80" w:line="276"/>
      </w:pPr>
      <w:r>
        <w:rPr>
          <w:rFonts w:ascii="Calibri" w:cs="Calibri" w:eastAsia="Calibri" w:hAnsi="Calibri"/>
          <w:sz w:val="22"/>
          <w:szCs w:val="22"/>
        </w:rPr>
        <w:t xml:space="preserve">Log every finding and escape as it occurs, including events that are the absence of a submittal: post-delivery discovery of a departure that should have been variance-requested, unauthorized process change, traceability gaps found at receiving, reconciliation deltas the supplier’s own report did not disclose, and configuration-related nonconformances. Effectiveness includes what a supplier fails to submit.</w:t>
      </w:r>
    </w:p>
    <w:p>
      <w:pPr>
        <w:pStyle w:val="ListParagraph"/>
        <w:numPr>
          <w:ilvl w:val="0"/>
          <w:numId w:val="2"/>
        </w:numPr>
        <w:spacing w:after="80" w:line="276"/>
      </w:pPr>
      <w:r>
        <w:rPr>
          <w:rFonts w:ascii="Calibri" w:cs="Calibri" w:eastAsia="Calibri" w:hAnsi="Calibri"/>
          <w:sz w:val="22"/>
          <w:szCs w:val="22"/>
        </w:rPr>
        <w:t xml:space="preserve">Flag safety relevance on any finding affecting a hazard control, safety-critical item, or life-limited item, and route it into the safety data stream.</w:t>
      </w:r>
    </w:p>
    <w:p>
      <w:pPr>
        <w:pStyle w:val="Heading3"/>
        <w:spacing w:after="100" w:before="200"/>
      </w:pPr>
      <w:r>
        <w:rPr>
          <w:rFonts w:ascii="Calibri" w:cs="Calibri" w:eastAsia="Calibri" w:hAnsi="Calibri"/>
        </w:rPr>
        <w:t xml:space="preserve">5.8.2 Making the Determination</w:t>
      </w:r>
    </w:p>
    <w:p>
      <w:pPr>
        <w:spacing w:after="120" w:line="276"/>
      </w:pPr>
      <w:r>
        <w:rPr>
          <w:rFonts w:ascii="Calibri" w:cs="Calibri" w:eastAsia="Calibri" w:hAnsi="Calibri"/>
          <w:sz w:val="22"/>
          <w:szCs w:val="22"/>
        </w:rPr>
        <w:t xml:space="preserve">Determine effectiveness over the rolling accrued evidence, against the requirement set actually imposed on that supplier — a supplier is evaluated on what was flowed to it, not on a uniform standard. Evaluation criteria by evidence stream are summarized in Appendix C.</w:t>
      </w:r>
    </w:p>
    <w:p>
      <w:pPr>
        <w:spacing w:after="120" w:line="276"/>
      </w:pPr>
      <w:r>
        <w:rPr>
          <w:rFonts w:ascii="Calibri" w:cs="Calibri" w:eastAsia="Calibri" w:hAnsi="Calibri"/>
          <w:sz w:val="22"/>
          <w:szCs w:val="22"/>
        </w:rPr>
        <w:t xml:space="preserve">Perform determinations on a tiered cadence as a backstop, with the cadence by work type recorded in the program CM plan, and additionally on any of these triggers: a rejection streak or sustained decline in first-pass acceptance; any safety-relevant escape; a reconciliation miss discovered by the company; an adverse configuration audit result; or a source, process, or facility change.</w:t>
      </w:r>
    </w:p>
    <w:p>
      <w:pPr>
        <w:spacing w:after="120" w:line="276"/>
      </w:pPr>
      <w:r>
        <w:rPr>
          <w:rFonts w:ascii="Calibri" w:cs="Calibri" w:eastAsia="Calibri" w:hAnsi="Calibri"/>
          <w:sz w:val="22"/>
          <w:szCs w:val="22"/>
        </w:rPr>
        <w:t xml:space="preserve">Record one of three determinations with its rationale, the evidence relied on, the date, and the next determination due date:</w:t>
      </w:r>
    </w:p>
    <w:p>
      <w:pPr>
        <w:pStyle w:val="ListParagraph"/>
        <w:numPr>
          <w:ilvl w:val="0"/>
          <w:numId w:val="2"/>
        </w:numPr>
        <w:spacing w:after="80" w:line="276"/>
      </w:pPr>
      <w:r>
        <w:rPr>
          <w:rFonts w:ascii="Calibri" w:cs="Calibri" w:eastAsia="Calibri" w:hAnsi="Calibri"/>
          <w:sz w:val="22"/>
          <w:szCs w:val="22"/>
        </w:rPr>
        <w:t xml:space="preserve">Effective — the imposed requirements are being met; routine surveillance continues.</w:t>
      </w:r>
    </w:p>
    <w:p>
      <w:pPr>
        <w:pStyle w:val="ListParagraph"/>
        <w:numPr>
          <w:ilvl w:val="0"/>
          <w:numId w:val="2"/>
        </w:numPr>
        <w:spacing w:after="80" w:line="276"/>
      </w:pPr>
      <w:r>
        <w:rPr>
          <w:rFonts w:ascii="Calibri" w:cs="Calibri" w:eastAsia="Calibri" w:hAnsi="Calibri"/>
          <w:sz w:val="22"/>
          <w:szCs w:val="22"/>
        </w:rPr>
        <w:t xml:space="preserve">Conditionally effective — deficiencies exist with credible correction underway; actions per 5.9 apply.</w:t>
      </w:r>
    </w:p>
    <w:p>
      <w:pPr>
        <w:pStyle w:val="ListParagraph"/>
        <w:numPr>
          <w:ilvl w:val="0"/>
          <w:numId w:val="2"/>
        </w:numPr>
        <w:spacing w:after="80" w:line="276"/>
      </w:pPr>
      <w:r>
        <w:rPr>
          <w:rFonts w:ascii="Calibri" w:cs="Calibri" w:eastAsia="Calibri" w:hAnsi="Calibri"/>
          <w:sz w:val="22"/>
          <w:szCs w:val="22"/>
        </w:rPr>
        <w:t xml:space="preserve">Ineffective — systemic failure to meet imposed requirements; actions per 5.9 apply and escalate.</w:t>
      </w:r>
    </w:p>
    <w:p>
      <w:pPr>
        <w:pStyle w:val="Heading2"/>
        <w:spacing w:after="120" w:before="260"/>
      </w:pPr>
      <w:r>
        <w:rPr>
          <w:rFonts w:ascii="Calibri" w:cs="Calibri" w:eastAsia="Calibri" w:hAnsi="Calibri"/>
        </w:rPr>
        <w:t xml:space="preserve">5.9 Act on Determinations</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Effectiveness determination of less than effective; associated findings and escapes; affected item and CI information.</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Actions recorded on the actions log with owner and due date; closure evidence with extent checks; downstream notifications and re-assessments.</w:t>
      </w:r>
    </w:p>
    <w:p>
      <w:pPr>
        <w:spacing w:after="120" w:line="276"/>
      </w:pPr>
      <w:r>
        <w:rPr>
          <w:rFonts w:ascii="Calibri" w:cs="Calibri" w:eastAsia="Calibri" w:hAnsi="Calibri"/>
          <w:sz w:val="22"/>
          <w:szCs w:val="22"/>
        </w:rPr>
        <w:t xml:space="preserve">An effectiveness determination of less than effective is an action-forcing event, not a filing event. Select and record actions from the ladder, proportionate to the determination and the safety relevance of the evidence:</w:t>
      </w:r>
    </w:p>
    <w:p>
      <w:pPr>
        <w:pStyle w:val="ListParagraph"/>
        <w:numPr>
          <w:ilvl w:val="0"/>
          <w:numId w:val="2"/>
        </w:numPr>
        <w:spacing w:after="80" w:line="276"/>
      </w:pPr>
      <w:r>
        <w:rPr>
          <w:rFonts w:ascii="Calibri" w:cs="Calibri" w:eastAsia="Calibri" w:hAnsi="Calibri"/>
          <w:sz w:val="22"/>
          <w:szCs w:val="22"/>
        </w:rPr>
        <w:t xml:space="preserve">Increased surveillance and elevated deliverable review.</w:t>
      </w:r>
    </w:p>
    <w:p>
      <w:pPr>
        <w:pStyle w:val="ListParagraph"/>
        <w:numPr>
          <w:ilvl w:val="0"/>
          <w:numId w:val="2"/>
        </w:numPr>
        <w:spacing w:after="80" w:line="276"/>
      </w:pPr>
      <w:r>
        <w:rPr>
          <w:rFonts w:ascii="Calibri" w:cs="Calibri" w:eastAsia="Calibri" w:hAnsi="Calibri"/>
          <w:sz w:val="22"/>
          <w:szCs w:val="22"/>
        </w:rPr>
        <w:t xml:space="preserve">Corrective action request, tracked to closure on the corrective artifact rather than on an assertion of completion, and including an extent check across delivered units where the finding indicates a control failure rather than an isolated error.</w:t>
      </w:r>
    </w:p>
    <w:p>
      <w:pPr>
        <w:pStyle w:val="ListParagraph"/>
        <w:numPr>
          <w:ilvl w:val="0"/>
          <w:numId w:val="2"/>
        </w:numPr>
        <w:spacing w:after="80" w:line="276"/>
      </w:pPr>
      <w:r>
        <w:rPr>
          <w:rFonts w:ascii="Calibri" w:cs="Calibri" w:eastAsia="Calibri" w:hAnsi="Calibri"/>
          <w:sz w:val="22"/>
          <w:szCs w:val="22"/>
        </w:rPr>
        <w:t xml:space="preserve">Source inspection or witness points at defined operations.</w:t>
      </w:r>
    </w:p>
    <w:p>
      <w:pPr>
        <w:pStyle w:val="ListParagraph"/>
        <w:numPr>
          <w:ilvl w:val="0"/>
          <w:numId w:val="2"/>
        </w:numPr>
        <w:spacing w:after="80" w:line="276"/>
      </w:pPr>
      <w:r>
        <w:rPr>
          <w:rFonts w:ascii="Calibri" w:cs="Calibri" w:eastAsia="Calibri" w:hAnsi="Calibri"/>
          <w:sz w:val="22"/>
          <w:szCs w:val="22"/>
        </w:rPr>
        <w:t xml:space="preserve">Delivery or payment holds, per the contract terms administered by subcontracts.</w:t>
      </w:r>
    </w:p>
    <w:p>
      <w:pPr>
        <w:pStyle w:val="ListParagraph"/>
        <w:numPr>
          <w:ilvl w:val="0"/>
          <w:numId w:val="2"/>
        </w:numPr>
        <w:spacing w:after="80" w:line="276"/>
      </w:pPr>
      <w:r>
        <w:rPr>
          <w:rFonts w:ascii="Calibri" w:cs="Calibri" w:eastAsia="Calibri" w:hAnsi="Calibri"/>
          <w:sz w:val="22"/>
          <w:szCs w:val="22"/>
        </w:rPr>
        <w:t xml:space="preserve">Restriction or suspension of new awards, and where warranted, disqualification.</w:t>
      </w:r>
    </w:p>
    <w:p>
      <w:pPr>
        <w:spacing w:after="120" w:line="276"/>
      </w:pPr>
      <w:r>
        <w:rPr>
          <w:rFonts w:ascii="Calibri" w:cs="Calibri" w:eastAsia="Calibri" w:hAnsi="Calibri"/>
          <w:sz w:val="22"/>
          <w:szCs w:val="22"/>
        </w:rPr>
        <w:t xml:space="preserve">Record every action on the actions log with an owner and due date and track it to closure. In addition, an ineffective determination — and a conditionally effective determination founded on safety-relevant evidence — requires the following:</w:t>
      </w:r>
    </w:p>
    <w:p>
      <w:pPr>
        <w:pStyle w:val="ListParagraph"/>
        <w:numPr>
          <w:ilvl w:val="0"/>
          <w:numId w:val="4"/>
        </w:numPr>
        <w:spacing w:after="80" w:line="276"/>
      </w:pPr>
      <w:r>
        <w:rPr>
          <w:rFonts w:ascii="Calibri" w:cs="Calibri" w:eastAsia="Calibri" w:hAnsi="Calibri"/>
          <w:sz w:val="22"/>
          <w:szCs w:val="22"/>
        </w:rPr>
        <w:t xml:space="preserve">Re-run the audit designation assessment for the items that supplier builds; supplier CM ineffectiveness and escape history are designation factors.</w:t>
      </w:r>
    </w:p>
    <w:p>
      <w:pPr>
        <w:pStyle w:val="ListParagraph"/>
        <w:numPr>
          <w:ilvl w:val="0"/>
          <w:numId w:val="4"/>
        </w:numPr>
        <w:spacing w:after="80" w:line="276"/>
      </w:pPr>
      <w:r>
        <w:rPr>
          <w:rFonts w:ascii="Calibri" w:cs="Calibri" w:eastAsia="Calibri" w:hAnsi="Calibri"/>
          <w:sz w:val="22"/>
          <w:szCs w:val="22"/>
        </w:rPr>
        <w:t xml:space="preserve">Report into the safety data stream where the evidence is safety-relevant, per the safety management system.</w:t>
      </w:r>
    </w:p>
    <w:p>
      <w:pPr>
        <w:pStyle w:val="ListParagraph"/>
        <w:numPr>
          <w:ilvl w:val="0"/>
          <w:numId w:val="4"/>
        </w:numPr>
        <w:spacing w:after="80" w:line="276"/>
      </w:pPr>
      <w:r>
        <w:rPr>
          <w:rFonts w:ascii="Calibri" w:cs="Calibri" w:eastAsia="Calibri" w:hAnsi="Calibri"/>
          <w:sz w:val="22"/>
          <w:szCs w:val="22"/>
        </w:rPr>
        <w:t xml:space="preserve">Review any safety-floor equivalent control whose validity depends on that supplier’s process; an equivalent control resting on an ineffective process is no longer validated and returns to the floor gate.</w:t>
      </w:r>
    </w:p>
    <w:p>
      <w:pPr>
        <w:pStyle w:val="ListParagraph"/>
        <w:numPr>
          <w:ilvl w:val="0"/>
          <w:numId w:val="4"/>
        </w:numPr>
        <w:spacing w:after="80" w:line="276"/>
      </w:pPr>
      <w:r>
        <w:rPr>
          <w:rFonts w:ascii="Calibri" w:cs="Calibri" w:eastAsia="Calibri" w:hAnsi="Calibri"/>
          <w:sz w:val="22"/>
          <w:szCs w:val="22"/>
        </w:rPr>
        <w:t xml:space="preserve">Re-assess the classification and derived requirement set for that supplier (5.7), including requirements previously tailored on the assumption of a capable process.</w:t>
      </w:r>
    </w:p>
    <w:p>
      <w:pPr>
        <w:pStyle w:val="Heading2"/>
        <w:spacing w:after="120" w:before="260"/>
      </w:pPr>
      <w:r>
        <w:rPr>
          <w:rFonts w:ascii="Calibri" w:cs="Calibri" w:eastAsia="Calibri" w:hAnsi="Calibri"/>
        </w:rPr>
        <w:t xml:space="preserve">5.10 Recursion and Floor Integrity at Lower Tiers</w:t>
      </w:r>
    </w:p>
    <w:p>
      <w:pPr>
        <w:spacing w:after="40" w:line="264"/>
      </w:pPr>
      <w:r>
        <w:rPr>
          <w:rFonts w:ascii="Calibri" w:cs="Calibri" w:eastAsia="Calibri" w:hAnsi="Calibri"/>
          <w:b/>
          <w:bCs/>
          <w:sz w:val="22"/>
          <w:szCs w:val="22"/>
        </w:rPr>
        <w:t xml:space="preserve">Inputs: </w:t>
      </w:r>
      <w:r>
        <w:rPr>
          <w:rFonts w:ascii="Calibri" w:cs="Calibri" w:eastAsia="Calibri" w:hAnsi="Calibri"/>
          <w:sz w:val="22"/>
          <w:szCs w:val="22"/>
        </w:rPr>
        <w:t xml:space="preserve">Supplier sub-tier structure; supplier proposals to tailor imposed requirements; sub-tier product data submittals.</w:t>
      </w:r>
    </w:p>
    <w:p>
      <w:pPr>
        <w:spacing w:after="160" w:line="264"/>
      </w:pPr>
      <w:r>
        <w:rPr>
          <w:rFonts w:ascii="Calibri" w:cs="Calibri" w:eastAsia="Calibri" w:hAnsi="Calibri"/>
          <w:b/>
          <w:bCs/>
          <w:sz w:val="22"/>
          <w:szCs w:val="22"/>
        </w:rPr>
        <w:t xml:space="preserve">Outputs: </w:t>
      </w:r>
      <w:r>
        <w:rPr>
          <w:rFonts w:ascii="Calibri" w:cs="Calibri" w:eastAsia="Calibri" w:hAnsi="Calibri"/>
          <w:sz w:val="22"/>
          <w:szCs w:val="22"/>
        </w:rPr>
        <w:t xml:space="preserve">Recursive flowdown obligations imposed; gate dispositions for any floor tailoring at the supplier tier; sub-tier product data recorded with traceability to next higher assemblies.</w:t>
      </w:r>
    </w:p>
    <w:p>
      <w:pPr>
        <w:pStyle w:val="ListParagraph"/>
        <w:numPr>
          <w:ilvl w:val="0"/>
          <w:numId w:val="2"/>
        </w:numPr>
        <w:spacing w:after="80" w:line="276"/>
      </w:pPr>
      <w:r>
        <w:rPr>
          <w:rFonts w:ascii="Calibri" w:cs="Calibri" w:eastAsia="Calibri" w:hAnsi="Calibri"/>
          <w:sz w:val="22"/>
          <w:szCs w:val="22"/>
        </w:rPr>
        <w:t xml:space="preserve">Flowdown recurses. Wherever a supplier has sub-tiers of its own, the comply-or-suitably-tailor obligation flows again, and sub-tier product data — part numbers and serial numbers with traceability to next higher assemblies — returns upward. A tier that cannot be seen through is a tier that is not controlled.</w:t>
      </w:r>
    </w:p>
    <w:p>
      <w:pPr>
        <w:pStyle w:val="ListParagraph"/>
        <w:numPr>
          <w:ilvl w:val="0"/>
          <w:numId w:val="2"/>
        </w:numPr>
        <w:spacing w:after="80" w:line="276"/>
      </w:pPr>
      <w:r>
        <w:rPr>
          <w:rFonts w:ascii="Calibri" w:cs="Calibri" w:eastAsia="Calibri" w:hAnsi="Calibri"/>
          <w:sz w:val="22"/>
          <w:szCs w:val="22"/>
        </w:rPr>
        <w:t xml:space="preserve">The safety floor does not dilute with depth. A supplier proposal to tailor or omit a floor-tagged requirement at its tier or below is dispositioned through the floor gate exactly as a program proposal would be — performed, replaced by a validated equivalent control, or formally risk-accepted at the authority the pre-anchored severity requires. Supplier size or capacity is a basis for a gate submission, not an exemption.</w:t>
      </w:r>
    </w:p>
    <w:p>
      <w:pPr>
        <w:pStyle w:val="ListParagraph"/>
        <w:numPr>
          <w:ilvl w:val="0"/>
          <w:numId w:val="2"/>
        </w:numPr>
        <w:spacing w:after="80" w:line="276"/>
      </w:pPr>
      <w:r>
        <w:rPr>
          <w:rFonts w:ascii="Calibri" w:cs="Calibri" w:eastAsia="Calibri" w:hAnsi="Calibri"/>
          <w:sz w:val="22"/>
          <w:szCs w:val="22"/>
        </w:rPr>
        <w:t xml:space="preserve">Distinguish tailoring of ceremony from tailoring of substance at every tier. Simplifying the format of a record, or sampling rather than exhaustively checking, is ceremony. Removing a verification because an automated system is asserted to prevent the failure is substance — that verification exists to test the assertion.</w:t>
      </w:r>
    </w:p>
    <w:p>
      <w:pPr>
        <w:pStyle w:val="Heading1"/>
        <w:spacing w:after="160" w:before="320"/>
      </w:pPr>
      <w:r>
        <w:rPr>
          <w:rFonts w:ascii="Calibri" w:cs="Calibri" w:eastAsia="Calibri" w:hAnsi="Calibri"/>
        </w:rPr>
        <w:t xml:space="preserve">6. Records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tblHeader/>
        </w:trPr>
        <w:tc>
          <w:tcPr>
            <w:tcW w:type="dxa" w:w="31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Record / Output</w:t>
            </w:r>
          </w:p>
        </w:tc>
        <w:tc>
          <w:tcPr>
            <w:tcW w:type="dxa" w:w="62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Content and Retention</w:t>
            </w:r>
          </w:p>
        </w:tc>
      </w:tr>
      <w:tr>
        <w:tc>
          <w:tcPr>
            <w:tcW w:type="dxa" w:w="31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Classification Log</w:t>
            </w:r>
          </w:p>
        </w:tc>
        <w:tc>
          <w:tcPr>
            <w:tcW w:type="dxa" w:w="6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One row per statement of work or purchase order: supplier, item and scope, work type(s), CI identifiers where applicable, audit designation status, conditional audit clause presence, floor tailoring dispositions, classifier and CM signature with dates. The documented tailoring rationale required by the flowdown obligation; retained for the program life.</w:t>
            </w:r>
          </w:p>
        </w:tc>
      </w:tr>
      <w:tr>
        <w:tc>
          <w:tcPr>
            <w:tcW w:type="dxa" w:w="31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Derived Requirement Set</w:t>
            </w:r>
          </w:p>
        </w:tc>
        <w:tc>
          <w:tcPr>
            <w:tcW w:type="dxa" w:w="6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The requirement and deliverable set derived for each procurement, traceable to the classification and to the matrix revision in force at derivation.</w:t>
            </w:r>
          </w:p>
        </w:tc>
      </w:tr>
      <w:tr>
        <w:tc>
          <w:tcPr>
            <w:tcW w:type="dxa" w:w="31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Statement of Work CM Content</w:t>
            </w:r>
          </w:p>
        </w:tc>
        <w:tc>
          <w:tcPr>
            <w:tcW w:type="dxa" w:w="6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As released, with the standing conditional audit clause where applicable; retained with the procurement file.</w:t>
            </w:r>
          </w:p>
        </w:tc>
      </w:tr>
      <w:tr>
        <w:tc>
          <w:tcPr>
            <w:tcW w:type="dxa" w:w="31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Floor Disposition Records (supplier tier)</w:t>
            </w:r>
          </w:p>
        </w:tc>
        <w:tc>
          <w:tcPr>
            <w:tcW w:type="dxa" w:w="6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Gate dispositions for any floor-tagged requirement not imposed on a supplier, with evidence or risk-acceptance reference and signature at the required authority.</w:t>
            </w:r>
          </w:p>
        </w:tc>
      </w:tr>
      <w:tr>
        <w:tc>
          <w:tcPr>
            <w:tcW w:type="dxa" w:w="31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Deliverable Receipt Log</w:t>
            </w:r>
          </w:p>
        </w:tc>
        <w:tc>
          <w:tcPr>
            <w:tcW w:type="dxa" w:w="6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Every supplier data deliverable received: date, reviewer, review result, defect codes, and the evaluation criterion it informs.</w:t>
            </w:r>
          </w:p>
        </w:tc>
      </w:tr>
      <w:tr>
        <w:tc>
          <w:tcPr>
            <w:tcW w:type="dxa" w:w="31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Findings and Escapes Log</w:t>
            </w:r>
          </w:p>
        </w:tc>
        <w:tc>
          <w:tcPr>
            <w:tcW w:type="dxa" w:w="6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Configuration-related findings, escapes, and non-submittal events per supplier, with safety relevance flagged and safety report references where routed.</w:t>
            </w:r>
          </w:p>
        </w:tc>
      </w:tr>
      <w:tr>
        <w:tc>
          <w:tcPr>
            <w:tcW w:type="dxa" w:w="31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Effectiveness Determination Records</w:t>
            </w:r>
          </w:p>
        </w:tc>
        <w:tc>
          <w:tcPr>
            <w:tcW w:type="dxa" w:w="6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Determination, rationale, evidence relied on, determining authority, date, and next determination due date, per supplier.</w:t>
            </w:r>
          </w:p>
        </w:tc>
      </w:tr>
      <w:tr>
        <w:tc>
          <w:tcPr>
            <w:tcW w:type="dxa" w:w="31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Actions Log</w:t>
            </w:r>
          </w:p>
        </w:tc>
        <w:tc>
          <w:tcPr>
            <w:tcW w:type="dxa" w:w="62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Actions arising from determinations and findings with owner, due date, status, and closure evidence including extent checks.</w:t>
            </w:r>
          </w:p>
        </w:tc>
      </w:tr>
    </w:tbl>
    <w:p>
      <w:pPr>
        <w:spacing w:after="120" w:line="276"/>
        <w:rPr>
          <w:i/>
          <w:iCs/>
          <w:sz w:val="20"/>
          <w:szCs w:val="20"/>
        </w:rPr>
      </w:pPr>
      <w:r>
        <w:rPr>
          <w:rFonts w:ascii="Calibri" w:cs="Calibri" w:eastAsia="Calibri" w:hAnsi="Calibri"/>
          <w:i/>
          <w:iCs/>
          <w:sz w:val="20"/>
          <w:szCs w:val="20"/>
        </w:rPr>
        <w:t xml:space="preserve">Records are maintained as structured, queryable data rather than as narrative documents. The flowdown and effectiveness performance measures reported under the CM planning and management process are computed from these records; records that cannot be queried cannot be measured.</w:t>
      </w:r>
    </w:p>
    <w:p>
      <w:r>
        <w:br w:type="page"/>
      </w:r>
    </w:p>
    <w:p>
      <w:pPr>
        <w:pStyle w:val="Heading1"/>
        <w:spacing w:after="160" w:before="320"/>
      </w:pPr>
      <w:r>
        <w:rPr>
          <w:rFonts w:ascii="Calibri" w:cs="Calibri" w:eastAsia="Calibri" w:hAnsi="Calibri"/>
        </w:rPr>
        <w:t xml:space="preserve">Appendix A — Work Types and Audit Roles</w:t>
      </w:r>
    </w:p>
    <w:p>
      <w:pPr>
        <w:spacing w:after="120" w:line="276"/>
      </w:pPr>
      <w:r>
        <w:rPr>
          <w:rFonts w:ascii="Calibri" w:cs="Calibri" w:eastAsia="Calibri" w:hAnsi="Calibri"/>
          <w:sz w:val="22"/>
          <w:szCs w:val="22"/>
        </w:rPr>
        <w:t xml:space="preserve">Normative summary. Definitions, requirement mappings, and deliverable definitions are maintained in the flowdown matrix workbook; the companion decision guide provides classification cases and worked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3400"/>
        <w:gridCol w:w="25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Type</w:t>
            </w:r>
          </w:p>
        </w:tc>
        <w:tc>
          <w:tcPr>
            <w:tcW w:type="dxa" w:w="25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Name</w:t>
            </w:r>
          </w:p>
        </w:tc>
        <w:tc>
          <w:tcPr>
            <w:tcW w:type="dxa" w:w="34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Definition</w:t>
            </w:r>
          </w:p>
        </w:tc>
        <w:tc>
          <w:tcPr>
            <w:tcW w:type="dxa" w:w="25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Audit role if item designated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1</w:t>
            </w:r>
          </w:p>
        </w:tc>
        <w:tc>
          <w:tcPr>
            <w:tcW w:type="dxa" w:w="25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Build-to-Print</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Company designs; supplier manufactures to the company-released technical data package. No design authority at the supplier.</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Supports the physical audit on its build: facility access, as-built records, approved-parts evidence, manufacturing instructions.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2</w:t>
            </w:r>
          </w:p>
        </w:tc>
        <w:tc>
          <w:tcPr>
            <w:tcW w:type="dxa" w:w="25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Source-Controlled Design and Build</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develops and builds item internals under a company source control drawing; company controls form, fit, function, interface, and qualification.</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Conducts the item-level functional and physical audits at its facility; substance in full.</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3</w:t>
            </w:r>
          </w:p>
        </w:tc>
        <w:tc>
          <w:tcPr>
            <w:tcW w:type="dxa" w:w="25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Design Agent</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develops the design to company specification; company performs the build. The technical data package is the deliverable.</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Provides data support: technical data package and traceability matrix inputs.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4</w:t>
            </w:r>
          </w:p>
        </w:tc>
        <w:tc>
          <w:tcPr>
            <w:tcW w:type="dxa" w:w="25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Full CI Development</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develops a configuration item to company specification and holds design authority at its level. Heaviest flowdown — comply with or suitably tailor the full requirement set.</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Conducts the item-level functional and physical audits at its facility; substance in full.</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5</w:t>
            </w:r>
          </w:p>
        </w:tc>
        <w:tc>
          <w:tcPr>
            <w:tcW w:type="dxa" w:w="25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Commercial or Catalog Item</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Vendor holds design; company controls selection via a vendor item control drawing. Flowdown is minimal and predominantly notification.</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Generally not applicable.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6</w:t>
            </w:r>
          </w:p>
        </w:tc>
        <w:tc>
          <w:tcPr>
            <w:tcW w:type="dxa" w:w="25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Software or Firmware Development</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Development of deliverable software or embedded code. Adds software CM: version identification, library control, version description, build reproducibility. Usually combined with type 2 or 4.</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Conducts the software functional audit and the witnessed build and installation verification against the version description.</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7</w:t>
            </w:r>
          </w:p>
        </w:tc>
        <w:tc>
          <w:tcPr>
            <w:tcW w:type="dxa" w:w="25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Repair and Overhaul</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maintains fielded configuration: as-maintained records, retrofit incorporation, and retention of unit identifiers and consumed life through part-number changes.</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Generally not applicable; as-maintained records support audits of the parent 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8</w:t>
            </w:r>
          </w:p>
        </w:tc>
        <w:tc>
          <w:tcPr>
            <w:tcW w:type="dxa" w:w="25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Special Process Services</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Process-only work on company or supplier hardware; no item design. Flowdown is process-specification revision control and process-change notification.</w:t>
            </w:r>
          </w:p>
        </w:tc>
        <w:tc>
          <w:tcPr>
            <w:tcW w:type="dxa" w:w="2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Not applicable.</w:t>
            </w:r>
          </w:p>
        </w:tc>
      </w:tr>
    </w:tbl>
    <w:p>
      <w:pPr>
        <w:spacing w:after="120" w:line="276"/>
        <w:rPr>
          <w:i/>
          <w:iCs/>
          <w:sz w:val="20"/>
          <w:szCs w:val="20"/>
        </w:rPr>
      </w:pPr>
      <w:r>
        <w:rPr>
          <w:rFonts w:ascii="Calibri" w:cs="Calibri" w:eastAsia="Calibri" w:hAnsi="Calibri"/>
          <w:i/>
          <w:iCs/>
          <w:sz w:val="20"/>
          <w:szCs w:val="20"/>
        </w:rPr>
        <w:t xml:space="preserve">Mixed classifications apply the most demanding cell of each applicable column. A supplier developing and building a unit with its own embedded software is classified as both type 2 and type 6 and receives the union of both requirement sets.</w:t>
      </w:r>
    </w:p>
    <w:p>
      <w:r>
        <w:br w:type="page"/>
      </w:r>
    </w:p>
    <w:p>
      <w:pPr>
        <w:pStyle w:val="Heading1"/>
        <w:spacing w:after="160" w:before="320"/>
      </w:pPr>
      <w:r>
        <w:rPr>
          <w:rFonts w:ascii="Calibri" w:cs="Calibri" w:eastAsia="Calibri" w:hAnsi="Calibri"/>
        </w:rPr>
        <w:t xml:space="preserve">Appendix B — Classification and Statement of Work Readiness Checklist</w:t>
      </w:r>
    </w:p>
    <w:p>
      <w:pPr>
        <w:spacing w:after="120" w:line="276"/>
      </w:pPr>
      <w:r>
        <w:rPr>
          <w:rFonts w:ascii="Calibri" w:cs="Calibri" w:eastAsia="Calibri" w:hAnsi="Calibri"/>
          <w:sz w:val="22"/>
          <w:szCs w:val="22"/>
        </w:rPr>
        <w:t xml:space="preserve">Complete one per statement of work or purchase order prior to release. Attach to the classification log entry.</w:t>
      </w:r>
    </w:p>
    <w:p>
      <w:pPr>
        <w:spacing w:after="120" w:line="276"/>
      </w:pPr>
      <w:r>
        <w:rPr>
          <w:rFonts w:ascii="Calibri" w:cs="Calibri" w:eastAsia="Calibri" w:hAnsi="Calibri"/>
          <w:sz w:val="22"/>
          <w:szCs w:val="22"/>
        </w:rPr>
        <w:t xml:space="preserve">Supplier: ____________________   SOW / PO no.: ____________________   Item / scope: ____________________   CM classifier / date: ____________________</w:t>
      </w:r>
    </w:p>
    <w:p>
      <w:pPr>
        <w:spacing w:after="120" w:line="276"/>
        <w:rPr>
          <w:b/>
          <w:bCs/>
        </w:rPr>
      </w:pPr>
      <w:r>
        <w:rPr>
          <w:rFonts w:ascii="Calibri" w:cs="Calibri" w:eastAsia="Calibri" w:hAnsi="Calibri"/>
          <w:b/>
          <w:bCs/>
          <w:sz w:val="22"/>
          <w:szCs w:val="22"/>
        </w:rPr>
        <w:t xml:space="preserve">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4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Design authority and build responsibility determined; item type identified (hardware, software, commercial, service)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Work type(s) recorded on the classification log — all applicable types, not only the dominant one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Mixed classification checked: does the supplier also develop software or firmware, or also hold any element of design authority?</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CI identifiers recorded where the procured item is or contains a designated CI</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Supplier history reviewed where incumbent: prior determinations, open findings, open actions</w:t>
            </w:r>
          </w:p>
        </w:tc>
      </w:tr>
    </w:tbl>
    <w:p>
      <w:pPr>
        <w:spacing w:after="120" w:line="276"/>
      </w:pPr>
      <w:r>
        <w:rPr>
          <w:rFonts w:ascii="Calibri" w:cs="Calibri" w:eastAsia="Calibri" w:hAnsi="Calibri"/>
          <w:sz w:val="22"/>
          <w:szCs w:val="22"/>
        </w:rPr>
        <w:t xml:space="preserve"/>
      </w:r>
    </w:p>
    <w:p>
      <w:pPr>
        <w:spacing w:after="120" w:line="276"/>
        <w:rPr>
          <w:b/>
          <w:bCs/>
        </w:rPr>
      </w:pPr>
      <w:r>
        <w:rPr>
          <w:rFonts w:ascii="Calibri" w:cs="Calibri" w:eastAsia="Calibri" w:hAnsi="Calibri"/>
          <w:b/>
          <w:bCs/>
          <w:sz w:val="22"/>
          <w:szCs w:val="22"/>
        </w:rPr>
        <w:t xml:space="preserve">Derivation and conditional resolution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4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Requirement set read from every applicable matrix column; most demanding cell applied for mixed types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Every conditional cell resolved and the basis recorded</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designation status determined for the procured 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Standing conditional audit clause included where designation is possible — or audit requirements imposed unconditionally where designation is already in effect</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Safety-floor requirements: all imposed, or each exception dispositioned through the floor gate with the disposition referenced</w:t>
            </w:r>
          </w:p>
        </w:tc>
      </w:tr>
    </w:tbl>
    <w:p>
      <w:pPr>
        <w:spacing w:after="120" w:line="276"/>
      </w:pPr>
      <w:r>
        <w:rPr>
          <w:rFonts w:ascii="Calibri" w:cs="Calibri" w:eastAsia="Calibri" w:hAnsi="Calibri"/>
          <w:sz w:val="22"/>
          <w:szCs w:val="22"/>
        </w:rPr>
        <w:t xml:space="preserve"/>
      </w:r>
    </w:p>
    <w:p>
      <w:pPr>
        <w:spacing w:after="120" w:line="276"/>
        <w:rPr>
          <w:b/>
          <w:bCs/>
        </w:rPr>
      </w:pPr>
      <w:r>
        <w:rPr>
          <w:rFonts w:ascii="Calibri" w:cs="Calibri" w:eastAsia="Calibri" w:hAnsi="Calibri"/>
          <w:b/>
          <w:bCs/>
          <w:sz w:val="22"/>
          <w:szCs w:val="22"/>
        </w:rPr>
        <w:t xml:space="preserve">Citation completeness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4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Every cited requirement carries its defined data deliverable, with content, frequency or trigger, and submittal terms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Designation authorship stated: who proposes and who approves safety-critical, life-limited, and special-handling designations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Both reconciliation flowdowns imposed where the supplier builds: process documentation and recurring report</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 traceability record content imposed in full, including life limits and life consumed at delivery for life-limited items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Recursive flowdown and return of sub-tier product data with next-higher-assembly traceability imposed where sub-tiers exist</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Software CM requirements imposed where deliverable software or embedded code exists</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Change and variance control imposed consistent with where design authority sits and who builds</w:t>
            </w:r>
          </w:p>
        </w:tc>
      </w:tr>
    </w:tbl>
    <w:p>
      <w:pPr>
        <w:spacing w:after="120" w:line="276"/>
      </w:pPr>
      <w:r>
        <w:rPr>
          <w:rFonts w:ascii="Calibri" w:cs="Calibri" w:eastAsia="Calibri" w:hAnsi="Calibri"/>
          <w:sz w:val="22"/>
          <w:szCs w:val="22"/>
        </w:rPr>
        <w:t xml:space="preserve"/>
      </w:r>
    </w:p>
    <w:p>
      <w:pPr>
        <w:spacing w:after="120" w:line="276"/>
        <w:rPr>
          <w:b/>
          <w:bCs/>
        </w:rPr>
      </w:pPr>
      <w:r>
        <w:rPr>
          <w:rFonts w:ascii="Calibri" w:cs="Calibri" w:eastAsia="Calibri" w:hAnsi="Calibri"/>
          <w:b/>
          <w:bCs/>
          <w:sz w:val="22"/>
          <w:szCs w:val="22"/>
        </w:rPr>
        <w:t xml:space="preserve">Release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t>
            </w:r>
          </w:p>
        </w:tc>
        <w:tc>
          <w:tcPr>
            <w:tcW w:type="dxa" w:w="84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Item</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signature applied prior to release, per the attestation scope defined in the program CM plan</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Classification log entry complete, including signature and date</w:t>
            </w:r>
          </w:p>
        </w:tc>
      </w:tr>
      <w:tr>
        <w:tc>
          <w:tcPr>
            <w:tcW w:type="dxa" w:w="9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
            </w:r>
          </w:p>
        </w:tc>
        <w:tc>
          <w:tcPr>
            <w:tcW w:type="dxa" w:w="84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Re-classification triggers communicated to subcontracts and program management</w:t>
            </w:r>
          </w:p>
        </w:tc>
      </w:tr>
    </w:tbl>
    <w:p>
      <w:r>
        <w:br w:type="page"/>
      </w:r>
    </w:p>
    <w:p>
      <w:pPr>
        <w:pStyle w:val="Heading1"/>
        <w:spacing w:after="160" w:before="320"/>
      </w:pPr>
      <w:r>
        <w:rPr>
          <w:rFonts w:ascii="Calibri" w:cs="Calibri" w:eastAsia="Calibri" w:hAnsi="Calibri"/>
        </w:rPr>
        <w:t xml:space="preserve">Appendix C — Effectiveness Evidence Streams and Criteria</w:t>
      </w:r>
    </w:p>
    <w:p>
      <w:pPr>
        <w:spacing w:after="120" w:line="276"/>
      </w:pPr>
      <w:r>
        <w:rPr>
          <w:rFonts w:ascii="Calibri" w:cs="Calibri" w:eastAsia="Calibri" w:hAnsi="Calibri"/>
          <w:sz w:val="22"/>
          <w:szCs w:val="22"/>
        </w:rPr>
        <w:t xml:space="preserve">Evaluate a supplier against the requirement set actually imposed on it. Streams that were not imposed are not evaluated.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Evidence stream</w:t>
            </w:r>
          </w:p>
        </w:tc>
        <w:tc>
          <w:tcPr>
            <w:tcW w:type="dxa" w:w="340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What effective looks like</w:t>
            </w:r>
          </w:p>
        </w:tc>
        <w:tc>
          <w:tcPr>
            <w:tcW w:type="dxa" w:w="3560"/>
            <w:shd w:fill="1F3864" w:val="clear"/>
            <w:tcMar>
              <w:top w:type="dxa" w:w="60"/>
              <w:left w:type="dxa" w:w="100"/>
              <w:bottom w:type="dxa" w:w="60"/>
              <w:right w:type="dxa" w:w="100"/>
            </w:tcMar>
          </w:tcPr>
          <w:p>
            <w:pPr>
              <w:spacing w:after="0" w:line="252"/>
            </w:pPr>
            <w:r>
              <w:rPr>
                <w:rFonts w:ascii="Calibri" w:cs="Calibri" w:eastAsia="Calibri" w:hAnsi="Calibri"/>
                <w:b/>
                <w:bCs/>
                <w:color w:val="FFFFFF"/>
                <w:sz w:val="20"/>
                <w:szCs w:val="20"/>
              </w:rPr>
              <w:t xml:space="preserve">Common failure signal</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plan adequacy</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Plan accepted; implements the imposed requirement set including recursive sub-tier flowdown; kept current through revisions.</w:t>
            </w:r>
          </w:p>
        </w:tc>
        <w:tc>
          <w:tcPr>
            <w:tcW w:type="dxa" w:w="3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Plan silent on sub-tier flowdown, or never revised as scope changed.</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Reconciliation process capability</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Documented reconciliation method accepted; covers all deliverable configurations at scale.</w:t>
            </w:r>
          </w:p>
        </w:tc>
        <w:tc>
          <w:tcPr>
            <w:tcW w:type="dxa" w:w="3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Method described only for sampled items, or not submitted at all while reports continue to arrive.</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Reconciliation reporting</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Reports delivered per delivery or lot; deltas dispositioned and aged within threshold; content expressed in traceability-record identifiers.</w:t>
            </w:r>
          </w:p>
        </w:tc>
        <w:tc>
          <w:tcPr>
            <w:tcW w:type="dxa" w:w="3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 delta discovered by company receiving that the supplier report cleared as no-delta — the strongest single indicator of an ineffective process.</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Part traceability completeness</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Records complete on first pass, including life limit and life consumed at delivery, safety-critical and special-handling designations, and next-higher-assembly traceability.</w:t>
            </w:r>
          </w:p>
        </w:tc>
        <w:tc>
          <w:tcPr>
            <w:tcW w:type="dxa" w:w="3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Blank consumed-life field on a life-limited item; missing designations where the supplier holds design authority.</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Change control discipline</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Change proposals complete with need, impact data, and affected-document notices on first pass; no baseline-affecting change implemented without approval.</w:t>
            </w:r>
          </w:p>
        </w:tc>
        <w:tc>
          <w:tcPr>
            <w:tcW w:type="dxa" w:w="3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Changes visible in delivered hardware or data that were never proposed.</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Variance discipline</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Departures variance-requested before delivery; recurring variances converted to change action.</w:t>
            </w:r>
          </w:p>
        </w:tc>
        <w:tc>
          <w:tcPr>
            <w:tcW w:type="dxa" w:w="3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Post-delivery discovery of a departure that should have been variance-requested.</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Process change notification</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No unauthorized change to frozen or approved processes; notifications timely per the agreed notice period.</w:t>
            </w:r>
          </w:p>
        </w:tc>
        <w:tc>
          <w:tcPr>
            <w:tcW w:type="dxa" w:w="3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Process, facility, or tooling change discovered after the fact.</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Status accounting and reporting</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Configuration records timely, current, historically traceable, and retrievable per the agreed data terms.</w:t>
            </w:r>
          </w:p>
        </w:tc>
        <w:tc>
          <w:tcPr>
            <w:tcW w:type="dxa" w:w="3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Records reconstructed on request rather than maintained.</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performance</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Where designated: audits conducted or supported per role, substance in full, action items closed by their agreed dates.</w:t>
            </w:r>
          </w:p>
        </w:tc>
        <w:tc>
          <w:tcPr>
            <w:tcW w:type="dxa" w:w="3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Audit conducted with substance tailored — verification steps omitted rather than ceremony simplified.</w:t>
            </w:r>
          </w:p>
        </w:tc>
      </w:tr>
      <w:tr>
        <w:tc>
          <w:tcPr>
            <w:tcW w:type="dxa" w:w="2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CM process audit findings</w:t>
            </w:r>
          </w:p>
        </w:tc>
        <w:tc>
          <w:tcPr>
            <w:tcW w:type="dxa" w:w="340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Company or acquirer audit findings closed by their suspense dates; no repeat findings.</w:t>
            </w:r>
          </w:p>
        </w:tc>
        <w:tc>
          <w:tcPr>
            <w:tcW w:type="dxa" w:w="3560"/>
            <w:tcMar>
              <w:top w:type="dxa" w:w="60"/>
              <w:left w:type="dxa" w:w="100"/>
              <w:bottom w:type="dxa" w:w="60"/>
              <w:right w:type="dxa" w:w="100"/>
            </w:tcMar>
          </w:tcPr>
          <w:p>
            <w:pPr>
              <w:spacing w:after="0" w:line="252"/>
            </w:pPr>
            <w:r>
              <w:rPr>
                <w:rFonts w:ascii="Calibri" w:cs="Calibri" w:eastAsia="Calibri" w:hAnsi="Calibri"/>
                <w:b w:val="false"/>
                <w:bCs w:val="false"/>
                <w:sz w:val="20"/>
                <w:szCs w:val="20"/>
              </w:rPr>
              <w:t xml:space="preserve">Repeat findings across audit cycles.</w:t>
            </w:r>
          </w:p>
        </w:tc>
      </w:tr>
    </w:tbl>
    <w:p>
      <w:pPr>
        <w:spacing w:after="120" w:line="276"/>
      </w:pPr>
      <w:r>
        <w:rPr>
          <w:rFonts w:ascii="Calibri" w:cs="Calibri" w:eastAsia="Calibri" w:hAnsi="Calibri"/>
          <w:sz w:val="22"/>
          <w:szCs w:val="22"/>
        </w:rPr>
        <w:t xml:space="preserve"/>
      </w:r>
    </w:p>
    <w:p>
      <w:pPr>
        <w:spacing w:after="120" w:line="276"/>
        <w:rPr>
          <w:i/>
          <w:iCs/>
        </w:rPr>
      </w:pPr>
      <w:r>
        <w:rPr>
          <w:rFonts w:ascii="Calibri" w:cs="Calibri" w:eastAsia="Calibri" w:hAnsi="Calibri"/>
          <w:i/>
          <w:iCs/>
          <w:sz w:val="22"/>
          <w:szCs w:val="22"/>
        </w:rPr>
        <w:t xml:space="preserve">Determination guidance: isolated, non-systemic defects with credible correction support Effective or Conditionally effective. Evidence that a control did not operate — rather than that a record contained an error — supports Conditionally effective at best, and Ineffective where the pattern recurs or the evidence is safety-relevant.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Sub-Supplier CM Requirements Flowdown and Effectiveness — 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60"/>
      </w:pPr>
    </w:lvl>
  </w:abstractNum>
  <w:abstractNum w:abstractNumId="4"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1F3864"/>
      <w:sz w:val="26"/>
      <w:szCs w:val="26"/>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2026-07-28T19:26:51.965Z</dcterms:created>
  <dcterms:modified xsi:type="dcterms:W3CDTF">2026-07-28T19:26:51.977Z</dcterms:modified>
</cp:coreProperties>
</file>

<file path=docProps/custom.xml><?xml version="1.0" encoding="utf-8"?>
<Properties xmlns="http://schemas.openxmlformats.org/officeDocument/2006/custom-properties" xmlns:vt="http://schemas.openxmlformats.org/officeDocument/2006/docPropsVTypes"/>
</file>