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220" w:line="276"/>
      </w:pPr>
      <w:r>
        <w:rPr>
          <w:rFonts w:ascii="Calibri" w:cs="Calibri" w:eastAsia="Calibri" w:hAnsi="Calibri"/>
          <w:b/>
          <w:bCs/>
          <w:color w:val="B4530C"/>
          <w:sz w:val="18"/>
          <w:szCs w:val="18"/>
        </w:rPr>
        <w:t xml:space="preserve">GUIDANCE  ·  DRAFT FOR REVIEW</w:t>
      </w:r>
    </w:p>
    <w:p>
      <w:pPr>
        <w:spacing w:after="240" w:line="600"/>
      </w:pPr>
      <w:r>
        <w:rPr>
          <w:rFonts w:ascii="Cambria" w:cs="Cambria" w:eastAsia="Cambria" w:hAnsi="Cambria"/>
          <w:b/>
          <w:bCs/>
          <w:color w:val="132A4E"/>
          <w:sz w:val="50"/>
          <w:szCs w:val="50"/>
        </w:rPr>
        <w:t xml:space="preserve">Controlling Inherited Ground Rules and Assumptions</w:t>
      </w:r>
    </w:p>
    <w:p>
      <w:pPr>
        <w:spacing w:after="500" w:line="300"/>
      </w:pPr>
      <w:r>
        <w:rPr>
          <w:rFonts w:ascii="Calibri" w:cs="Calibri" w:eastAsia="Calibri" w:hAnsi="Calibri"/>
          <w:i/>
          <w:iCs/>
          <w:color w:val="4A5568"/>
          <w:sz w:val="24"/>
          <w:szCs w:val="24"/>
        </w:rPr>
        <w:t xml:space="preserve">The situation, the risk it creates, and the steps programs should take across the lifecycle</w:t>
      </w:r>
    </w:p>
    <w:tbl>
      <w:tblPr>
        <w:tblW w:type="dxa" w:w="9360"/>
        <w:tblBorders>
          <w:top w:val="single" w:color="D3DEEF" w:sz="2"/>
          <w:left w:val="single" w:color="1F4380" w:sz="18"/>
          <w:bottom w:val="single" w:color="D3DEEF" w:sz="2"/>
          <w:right w:val="single" w:color="D3DEEF" w:sz="2"/>
          <w:insideH w:val="none"/>
          <w:insideV w:val="none"/>
        </w:tblBorders>
      </w:tblPr>
      <w:tblGrid>
        <w:gridCol w:w="9360"/>
      </w:tblGrid>
      <w:tr>
        <w:tc>
          <w:tcPr>
            <w:tcW w:type="dxa" w:w="9360"/>
            <w:shd w:fill="EDF1F8" w:color="auto" w:val="clear"/>
            <w:tcMar>
              <w:top w:type="dxa" w:w="130"/>
              <w:left w:type="dxa" w:w="200"/>
              <w:bottom w:type="dxa" w:w="130"/>
              <w:right w:type="dxa" w:w="200"/>
            </w:tcMar>
          </w:tcPr>
          <w:p>
            <w:pPr>
              <w:spacing w:after="80" w:line="276"/>
            </w:pPr>
            <w:r>
              <w:rPr>
                <w:rFonts w:ascii="Calibri" w:cs="Calibri" w:eastAsia="Calibri" w:hAnsi="Calibri"/>
                <w:color w:val="1A2333"/>
                <w:sz w:val="20"/>
                <w:szCs w:val="20"/>
              </w:rPr>
              <w:t xml:space="preserve">This document is proposed practice. No current standard requires an assumption register.</w:t>
            </w:r>
          </w:p>
          <w:p>
            <w:pPr>
              <w:spacing w:after="0" w:line="276"/>
            </w:pPr>
            <w:r>
              <w:rPr>
                <w:rFonts w:ascii="Calibri" w:cs="Calibri" w:eastAsia="Calibri" w:hAnsi="Calibri"/>
                <w:color w:val="1A2333"/>
                <w:sz w:val="20"/>
                <w:szCs w:val="20"/>
              </w:rPr>
              <w:t xml:space="preserve">SM-0001 does require that assumptions be recorded with hazards, and that responsibility for accepting risk be clearly assigned. This guidance builds on those two requirements.</w:t>
            </w:r>
          </w:p>
        </w:tc>
      </w:tr>
    </w:tbl>
    <w:p>
      <w:pPr>
        <w:spacing w:after="300"/>
      </w:pP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059"/>
        <w:gridCol w:w="7301"/>
      </w:tblGrid>
      <w:tr>
        <w:trPr>
          <w:cantSplit/>
        </w:trPr>
        <w:tc>
          <w:tcPr>
            <w:tcW w:type="dxa" w:w="2059"/>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Audience</w:t>
            </w:r>
          </w:p>
        </w:tc>
        <w:tc>
          <w:tcPr>
            <w:tcW w:type="dxa" w:w="730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Program management, systems engineering, safety risk management, safety assurance, human factors, and configuration management</w:t>
            </w:r>
          </w:p>
        </w:tc>
      </w:tr>
      <w:tr>
        <w:trPr>
          <w:cantSplit/>
        </w:trPr>
        <w:tc>
          <w:tcPr>
            <w:tcW w:type="dxa" w:w="2059"/>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Applies to</w:t>
            </w:r>
          </w:p>
        </w:tc>
        <w:tc>
          <w:tcPr>
            <w:tcW w:type="dxa" w:w="730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Any ground rule or assumption that a hazard analysis or a certification finding depends on, whether written new or carried over from an earlier program</w:t>
            </w:r>
          </w:p>
        </w:tc>
      </w:tr>
      <w:tr>
        <w:trPr>
          <w:cantSplit/>
        </w:trPr>
        <w:tc>
          <w:tcPr>
            <w:tcW w:type="dxa" w:w="2059"/>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Related standards</w:t>
            </w:r>
          </w:p>
        </w:tc>
        <w:tc>
          <w:tcPr>
            <w:tcW w:type="dxa" w:w="730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SM-0001 Issue C · EIA-649-1 · GEIA-HB-649</w:t>
            </w:r>
          </w:p>
        </w:tc>
      </w:tr>
      <w:tr>
        <w:trPr>
          <w:cantSplit/>
        </w:trPr>
        <w:tc>
          <w:tcPr>
            <w:tcW w:type="dxa" w:w="2059"/>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Status</w:t>
            </w:r>
          </w:p>
        </w:tc>
        <w:tc>
          <w:tcPr>
            <w:tcW w:type="dxa" w:w="730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Draft guidance. Not yet adopted.</w:t>
            </w:r>
          </w:p>
        </w:tc>
      </w:tr>
    </w:tbl>
    <w:p>
      <w:r>
        <w:br w:type="page"/>
      </w:r>
    </w:p>
    <w:p>
      <w:pPr>
        <w:pStyle w:val="Heading1"/>
        <w:spacing w:after="160" w:before="360"/>
      </w:pPr>
      <w:r>
        <w:rPr>
          <w:rFonts w:ascii="Cambria" w:cs="Cambria" w:eastAsia="Cambria" w:hAnsi="Cambria"/>
          <w:b/>
          <w:bCs/>
          <w:color w:val="132A4E"/>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mbria" w:cs="Cambria" w:eastAsia="Cambria" w:hAnsi="Cambria"/>
          <w:b/>
          <w:bCs/>
          <w:color w:val="132A4E"/>
          <w:sz w:val="30"/>
          <w:szCs w:val="30"/>
        </w:rPr>
        <w:t xml:space="preserve">1.  Purpose and how to use this document</w:t>
      </w:r>
    </w:p>
    <w:p>
      <w:pPr>
        <w:spacing w:after="120" w:line="276"/>
      </w:pPr>
      <w:r>
        <w:rPr>
          <w:rFonts w:ascii="Calibri" w:cs="Calibri" w:eastAsia="Calibri" w:hAnsi="Calibri"/>
          <w:color w:val="1A2333"/>
          <w:sz w:val="21"/>
          <w:szCs w:val="21"/>
        </w:rPr>
        <w:t xml:space="preserve">Programs reuse ground rules and assumptions (GR&amp;A) from earlier programs when the hardware looks similar. The assumption text moves to the new program. The conditions that made it true usually do not. Nothing in current practice detects when those conditions change.</w:t>
      </w:r>
    </w:p>
    <w:p>
      <w:pPr>
        <w:spacing w:after="120" w:line="276"/>
      </w:pPr>
      <w:r>
        <w:rPr>
          <w:rFonts w:ascii="Calibri" w:cs="Calibri" w:eastAsia="Calibri" w:hAnsi="Calibri"/>
          <w:color w:val="1A2333"/>
          <w:sz w:val="21"/>
          <w:szCs w:val="21"/>
        </w:rPr>
        <w:t xml:space="preserve">This document explains that gap, why it matters for safety, and what programs should do about it. It does not ask programs to stop reusing assumptions. It asks that reuse leave a trace that someone can check later.</w:t>
      </w:r>
    </w:p>
    <w:p>
      <w:pPr>
        <w:spacing w:after="40"/>
      </w:pP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123"/>
        <w:gridCol w:w="8237"/>
      </w:tblGrid>
      <w:tr>
        <w:trPr>
          <w:tblHeader/>
        </w:trPr>
        <w:tc>
          <w:tcPr>
            <w:tcW w:type="dxa" w:w="1123"/>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Section</w:t>
            </w:r>
          </w:p>
        </w:tc>
        <w:tc>
          <w:tcPr>
            <w:tcW w:type="dxa" w:w="8237"/>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it covers</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2</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situation: what an assumption is, how programs reuse them, and a worked example</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3</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Why it matters: lost conditions, unowned risk, compounding cost, and the non-hardware cases</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4</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Nine principles that govern everything else</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5</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Where the underlying facts are controlled, and who owns this practice</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6</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assumption record: fields, tiers, states, and dispositions</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7</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How change is detected</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8</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Step-by-step actions for each lifecycle state, with owners</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9</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Roles and responsibilities</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10</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Implementation options, including model-based programs</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11</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Limits and decisions still open</w:t>
            </w:r>
          </w:p>
        </w:tc>
      </w:tr>
    </w:tbl>
    <w:p>
      <w:pPr>
        <w:pStyle w:val="Heading1"/>
        <w:spacing w:after="160" w:before="360"/>
      </w:pPr>
      <w:r>
        <w:rPr>
          <w:rFonts w:ascii="Cambria" w:cs="Cambria" w:eastAsia="Cambria" w:hAnsi="Cambria"/>
          <w:b/>
          <w:bCs/>
          <w:color w:val="132A4E"/>
          <w:sz w:val="30"/>
          <w:szCs w:val="30"/>
        </w:rPr>
        <w:t xml:space="preserve">2.  The situation</w:t>
      </w:r>
    </w:p>
    <w:p>
      <w:pPr>
        <w:pStyle w:val="Heading2"/>
        <w:spacing w:after="110" w:before="240"/>
      </w:pPr>
      <w:r>
        <w:rPr>
          <w:rFonts w:ascii="Cambria" w:cs="Cambria" w:eastAsia="Cambria" w:hAnsi="Cambria"/>
          <w:b/>
          <w:bCs/>
          <w:color w:val="1F4380"/>
          <w:sz w:val="24"/>
          <w:szCs w:val="24"/>
        </w:rPr>
        <w:t xml:space="preserve">2.1  What an assumption is</w:t>
      </w:r>
    </w:p>
    <w:p>
      <w:pPr>
        <w:spacing w:after="120" w:line="276"/>
      </w:pPr>
      <w:r>
        <w:rPr>
          <w:rFonts w:ascii="Calibri" w:cs="Calibri" w:eastAsia="Calibri" w:hAnsi="Calibri"/>
          <w:color w:val="1A2333"/>
          <w:sz w:val="21"/>
          <w:szCs w:val="21"/>
        </w:rPr>
        <w:t xml:space="preserve">In safety work, an assumption lets an analysis stop. It says a hazard needs no further treatment because something else handles it.</w:t>
      </w: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c>
          <w:tcPr>
            <w:tcW w:type="dxa" w:w="9360"/>
            <w:shd w:fill="FBEBDC" w:color="auto" w:val="clear"/>
            <w:tcMar>
              <w:top w:type="dxa" w:w="130"/>
              <w:left w:type="dxa" w:w="200"/>
              <w:bottom w:type="dxa" w:w="130"/>
              <w:right w:type="dxa" w:w="200"/>
            </w:tcMar>
          </w:tcPr>
          <w:p>
            <w:pPr>
              <w:spacing w:after="70" w:line="276"/>
            </w:pPr>
            <w:r>
              <w:rPr>
                <w:rFonts w:ascii="Calibri" w:cs="Calibri" w:eastAsia="Calibri" w:hAnsi="Calibri"/>
                <w:b/>
                <w:bCs/>
                <w:color w:val="B4530C"/>
                <w:sz w:val="21"/>
                <w:szCs w:val="21"/>
              </w:rPr>
              <w:t xml:space="preserve">Example of a safety-relevant assumption</w:t>
            </w:r>
          </w:p>
          <w:p>
            <w:pPr>
              <w:spacing w:after="0" w:line="276"/>
            </w:pPr>
            <w:r>
              <w:rPr>
                <w:rFonts w:ascii="Calibri" w:cs="Calibri" w:eastAsia="Calibri" w:hAnsi="Calibri"/>
                <w:color w:val="1A2333"/>
                <w:sz w:val="20"/>
                <w:szCs w:val="20"/>
              </w:rPr>
              <w:t xml:space="preserve">"Undetected blockage of the sensing line is acceptable without additional design mitigation, provided that (a) the crew is alerted within one flight, (b) the line is inspected every 400 flight hours, and (c) the unit is installed outside the icing-exposed bay."</w:t>
            </w:r>
          </w:p>
        </w:tc>
      </w:tr>
    </w:tbl>
    <w:p>
      <w:pPr>
        <w:spacing w:after="120"/>
      </w:pPr>
    </w:p>
    <w:p>
      <w:pPr>
        <w:spacing w:after="120" w:line="276"/>
      </w:pPr>
      <w:r>
        <w:rPr>
          <w:rFonts w:ascii="Calibri" w:cs="Calibri" w:eastAsia="Calibri" w:hAnsi="Calibri"/>
          <w:color w:val="1A2333"/>
          <w:sz w:val="21"/>
          <w:szCs w:val="21"/>
        </w:rPr>
        <w:t xml:space="preserve">Every safety-relevant assumption has three parts.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685"/>
        <w:gridCol w:w="3182"/>
        <w:gridCol w:w="4493"/>
      </w:tblGrid>
      <w:tr>
        <w:trPr>
          <w:tblHeader/>
        </w:trPr>
        <w:tc>
          <w:tcPr>
            <w:tcW w:type="dxa" w:w="1685"/>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Part</w:t>
            </w:r>
          </w:p>
        </w:tc>
        <w:tc>
          <w:tcPr>
            <w:tcW w:type="dxa" w:w="318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it is</w:t>
            </w:r>
          </w:p>
        </w:tc>
        <w:tc>
          <w:tcPr>
            <w:tcW w:type="dxa" w:w="4493"/>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How it behaves when reused</w:t>
            </w:r>
          </w:p>
        </w:tc>
      </w:tr>
      <w:tr>
        <w:trPr>
          <w:cantSplit/>
        </w:trPr>
        <w:tc>
          <w:tcPr>
            <w:tcW w:type="dxa" w:w="1685"/>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The claim</w:t>
            </w:r>
          </w:p>
        </w:tc>
        <w:tc>
          <w:tcPr>
            <w:tcW w:type="dxa" w:w="318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"No additional mitigation required."</w:t>
            </w:r>
          </w:p>
        </w:tc>
        <w:tc>
          <w:tcPr>
            <w:tcW w:type="dxa" w:w="4493"/>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Short and easy to quote. It is the part everyone repeats, and it travels easily.</w:t>
            </w:r>
          </w:p>
        </w:tc>
      </w:tr>
      <w:tr>
        <w:trPr>
          <w:cantSplit/>
        </w:trPr>
        <w:tc>
          <w:tcPr>
            <w:tcW w:type="dxa" w:w="1685"/>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The conditions</w:t>
            </w:r>
          </w:p>
        </w:tc>
        <w:tc>
          <w:tcPr>
            <w:tcW w:type="dxa" w:w="318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Items (a), (b) and (c).</w:t>
            </w:r>
          </w:p>
        </w:tc>
        <w:tc>
          <w:tcPr>
            <w:tcW w:type="dxa" w:w="4493"/>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Longer and less memorable. They make the claim true. They are the first thing lost in a copy.</w:t>
            </w:r>
          </w:p>
        </w:tc>
      </w:tr>
      <w:tr>
        <w:trPr>
          <w:cantSplit/>
        </w:trPr>
        <w:tc>
          <w:tcPr>
            <w:tcW w:type="dxa" w:w="1685"/>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The risk credit</w:t>
            </w:r>
          </w:p>
        </w:tc>
        <w:tc>
          <w:tcPr>
            <w:tcW w:type="dxa" w:w="318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 hazard was closed without a design change because of this assumption.</w:t>
            </w:r>
          </w:p>
        </w:tc>
        <w:tc>
          <w:tcPr>
            <w:tcW w:type="dxa" w:w="4493"/>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 real safety decision that someone accepted. The acceptance does not travel at all.</w:t>
            </w:r>
          </w:p>
        </w:tc>
      </w:tr>
    </w:tbl>
    <w:p>
      <w:pPr>
        <w:spacing w:after="120"/>
      </w:pPr>
    </w:p>
    <w:p>
      <w:pPr>
        <w:keepNext/>
        <w:spacing w:after="60" w:before="160"/>
        <w:jc w:val="center"/>
      </w:pPr>
      <w:r>
        <w:drawing>
          <wp:inline distT="0" distB="0" distL="0" distR="0">
            <wp:extent cx="5943600" cy="2552700"/>
            <wp:effectExtent t="0" r="0" b="0" l="0"/>
            <wp:docPr id="1" name="fig01" descr="Anatomy of a safety-relevant assumption. The claim holds only while every condition hold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527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1.  </w:t>
      </w:r>
      <w:r>
        <w:rPr>
          <w:rFonts w:ascii="Calibri" w:cs="Calibri" w:eastAsia="Calibri" w:hAnsi="Calibri"/>
          <w:i/>
          <w:iCs/>
          <w:color w:val="4A5568"/>
          <w:sz w:val="18"/>
          <w:szCs w:val="18"/>
        </w:rPr>
        <w:t xml:space="preserve">Anatomy of a safety-relevant assumption. The claim holds only while every condition holds.</w:t>
      </w:r>
    </w:p>
    <w:tbl>
      <w:tblPr>
        <w:tblW w:type="dxa" w:w="9360"/>
        <w:tblBorders>
          <w:top w:val="single" w:color="D3DEEF" w:sz="2"/>
          <w:left w:val="single" w:color="1F4380" w:sz="18"/>
          <w:bottom w:val="single" w:color="D3DEEF" w:sz="2"/>
          <w:right w:val="single" w:color="D3DEEF" w:sz="2"/>
          <w:insideH w:val="none"/>
          <w:insideV w:val="none"/>
        </w:tblBorders>
      </w:tblPr>
      <w:tblGrid>
        <w:gridCol w:w="9360"/>
      </w:tblGrid>
      <w:tr>
        <w:tc>
          <w:tcPr>
            <w:tcW w:type="dxa" w:w="9360"/>
            <w:shd w:fill="EDF1F8" w:color="auto" w:val="clear"/>
            <w:tcMar>
              <w:top w:type="dxa" w:w="130"/>
              <w:left w:type="dxa" w:w="200"/>
              <w:bottom w:type="dxa" w:w="130"/>
              <w:right w:type="dxa" w:w="200"/>
            </w:tcMar>
          </w:tcPr>
          <w:p>
            <w:pPr>
              <w:spacing w:after="70" w:line="276"/>
            </w:pPr>
            <w:r>
              <w:rPr>
                <w:rFonts w:ascii="Calibri" w:cs="Calibri" w:eastAsia="Calibri" w:hAnsi="Calibri"/>
                <w:b/>
                <w:bCs/>
                <w:color w:val="1F4380"/>
                <w:sz w:val="21"/>
                <w:szCs w:val="21"/>
              </w:rPr>
              <w:t xml:space="preserve">Definitions</w:t>
            </w:r>
          </w:p>
          <w:p>
            <w:pPr>
              <w:spacing w:after="80" w:line="276"/>
            </w:pPr>
            <w:r>
              <w:rPr>
                <w:rFonts w:ascii="Calibri" w:cs="Calibri" w:eastAsia="Calibri" w:hAnsi="Calibri"/>
                <w:color w:val="1A2333"/>
                <w:sz w:val="20"/>
                <w:szCs w:val="20"/>
              </w:rPr>
              <w:t xml:space="preserve">Ground rules and assumptions: statements a program adopts as true in order to bound analysis and design.</w:t>
            </w:r>
          </w:p>
          <w:p>
            <w:pPr>
              <w:spacing w:after="0" w:line="276"/>
            </w:pPr>
            <w:r>
              <w:rPr>
                <w:rFonts w:ascii="Calibri" w:cs="Calibri" w:eastAsia="Calibri" w:hAnsi="Calibri"/>
                <w:color w:val="1A2333"/>
                <w:sz w:val="20"/>
                <w:szCs w:val="20"/>
              </w:rPr>
              <w:t xml:space="preserve">Risk credit: the reduction in assessed risk that an assumption provides. If the assumption fails, the credit is withdrawn and the hazard reopens.</w:t>
            </w:r>
          </w:p>
        </w:tc>
      </w:tr>
    </w:tbl>
    <w:p>
      <w:pPr>
        <w:pStyle w:val="Heading2"/>
        <w:spacing w:after="110" w:before="240"/>
      </w:pPr>
      <w:r>
        <w:rPr>
          <w:rFonts w:ascii="Cambria" w:cs="Cambria" w:eastAsia="Cambria" w:hAnsi="Cambria"/>
          <w:b/>
          <w:bCs/>
          <w:color w:val="1F4380"/>
          <w:sz w:val="24"/>
          <w:szCs w:val="24"/>
        </w:rPr>
        <w:t xml:space="preserve">2.2  How programs reuse assumptions today</w:t>
      </w:r>
    </w:p>
    <w:p>
      <w:pPr>
        <w:spacing w:after="120" w:line="276"/>
      </w:pPr>
      <w:r>
        <w:rPr>
          <w:rFonts w:ascii="Calibri" w:cs="Calibri" w:eastAsia="Calibri" w:hAnsi="Calibri"/>
          <w:color w:val="1A2333"/>
          <w:sz w:val="21"/>
          <w:szCs w:val="21"/>
        </w:rPr>
        <w:t xml:space="preserve">Programs write GR&amp;A at proposal. Proposal is the most compressed phase of any program. Rebuilding an assumption set takes weeks of senior engineering time that the bid does not have. So when a program reuses hardware, it usually reuses the earlier program's assumptions too.</w:t>
      </w:r>
    </w:p>
    <w:p>
      <w:pPr>
        <w:spacing w:after="120" w:line="276"/>
      </w:pPr>
      <w:r>
        <w:rPr>
          <w:rFonts w:ascii="Calibri" w:cs="Calibri" w:eastAsia="Calibri" w:hAnsi="Calibri"/>
          <w:color w:val="1A2333"/>
          <w:sz w:val="21"/>
          <w:szCs w:val="21"/>
        </w:rPr>
        <w:t xml:space="preserve">This is a rational choice. The cost of rebuilding lands on the bid, now, where everyone sees it. The cost of not rebuilding lands on execution or on the fleet, years later, where nobody sees it. Each decision to reuse makes sense on its own.</w:t>
      </w:r>
    </w:p>
    <w:p>
      <w:pPr>
        <w:spacing w:after="120" w:line="276"/>
      </w:pPr>
      <w:r>
        <w:rPr>
          <w:rFonts w:ascii="Calibri" w:cs="Calibri" w:eastAsia="Calibri" w:hAnsi="Calibri"/>
          <w:color w:val="1A2333"/>
          <w:sz w:val="21"/>
          <w:szCs w:val="21"/>
        </w:rPr>
        <w:t xml:space="preserve">Reuse is often correct. If the part, the installation, the environment, the customer and the maintenance program are all the same, the earlier assumption still holds. Rebuilding it would waste money.</w:t>
      </w: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c>
          <w:tcPr>
            <w:tcW w:type="dxa" w:w="9360"/>
            <w:shd w:fill="FBEBDC" w:color="auto" w:val="clear"/>
            <w:tcMar>
              <w:top w:type="dxa" w:w="130"/>
              <w:left w:type="dxa" w:w="200"/>
              <w:bottom w:type="dxa" w:w="130"/>
              <w:right w:type="dxa" w:w="200"/>
            </w:tcMar>
          </w:tcPr>
          <w:p>
            <w:pPr>
              <w:spacing w:after="0" w:line="276"/>
            </w:pPr>
            <w:r>
              <w:rPr>
                <w:rFonts w:ascii="Calibri" w:cs="Calibri" w:eastAsia="Calibri" w:hAnsi="Calibri"/>
                <w:color w:val="1A2333"/>
                <w:sz w:val="20"/>
                <w:szCs w:val="20"/>
              </w:rPr>
              <w:t xml:space="preserve">The problem is not reuse. The problem is reuse in a form nobody can check.</w:t>
            </w:r>
          </w:p>
        </w:tc>
      </w:tr>
    </w:tbl>
    <w:p>
      <w:pPr>
        <w:pStyle w:val="Heading2"/>
        <w:spacing w:after="110" w:before="240"/>
      </w:pPr>
      <w:r>
        <w:rPr>
          <w:rFonts w:ascii="Cambria" w:cs="Cambria" w:eastAsia="Cambria" w:hAnsi="Cambria"/>
          <w:b/>
          <w:bCs/>
          <w:color w:val="1F4380"/>
          <w:sz w:val="24"/>
          <w:szCs w:val="24"/>
        </w:rPr>
        <w:t xml:space="preserve">2.3  A worked example</w:t>
      </w:r>
    </w:p>
    <w:p>
      <w:pPr>
        <w:spacing w:after="120" w:line="276"/>
      </w:pPr>
      <w:r>
        <w:rPr>
          <w:rFonts w:ascii="Calibri" w:cs="Calibri" w:eastAsia="Calibri" w:hAnsi="Calibri"/>
          <w:color w:val="1A2333"/>
          <w:sz w:val="21"/>
          <w:szCs w:val="21"/>
        </w:rPr>
        <w:t xml:space="preserve">A pressure sensor is qualified and in service on Program A. Program B is a derivative. It reuses the same unit, the same part number and the same supplier. The bid team carries Program A's assumption set across on that basis.</w:t>
      </w:r>
    </w:p>
    <w:p>
      <w:pPr>
        <w:keepNext/>
        <w:spacing w:after="60" w:before="160"/>
        <w:jc w:val="center"/>
      </w:pPr>
      <w:r>
        <w:drawing>
          <wp:inline distT="0" distB="0" distL="0" distR="0">
            <wp:extent cx="5943600" cy="2971800"/>
            <wp:effectExtent t="0" r="0" b="0" l="0"/>
            <wp:docPr id="1" name="fig02" descr="The worked example. The hardware is identical, and every condition the assumption relied on has chang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2.  </w:t>
      </w:r>
      <w:r>
        <w:rPr>
          <w:rFonts w:ascii="Calibri" w:cs="Calibri" w:eastAsia="Calibri" w:hAnsi="Calibri"/>
          <w:i/>
          <w:iCs/>
          <w:color w:val="4A5568"/>
          <w:sz w:val="18"/>
          <w:szCs w:val="18"/>
        </w:rPr>
        <w:t xml:space="preserve">The worked example. The hardware is identical, and every condition the assumption relied on has changed.</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498"/>
        <w:gridCol w:w="3931"/>
        <w:gridCol w:w="3931"/>
      </w:tblGrid>
      <w:tr>
        <w:trPr>
          <w:tblHeader/>
        </w:trPr>
        <w:tc>
          <w:tcPr>
            <w:tcW w:type="dxa" w:w="149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Condition</w:t>
            </w:r>
          </w:p>
        </w:tc>
        <w:tc>
          <w:tcPr>
            <w:tcW w:type="dxa" w:w="393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Program A, where the assumption was written</w:t>
            </w:r>
          </w:p>
        </w:tc>
        <w:tc>
          <w:tcPr>
            <w:tcW w:type="dxa" w:w="393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Program B, what actually changed</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Alerting</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Crew alerting detects a blocked line within one flight.</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Different avionics supplier. Different detection threshold.</w:t>
            </w:r>
          </w:p>
        </w:tc>
      </w:tr>
      <w:tr>
        <w:trPr>
          <w:cantSplit/>
        </w:trPr>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Procedure</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Dispatch is governed by a specific MEL condition.</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Different operator, different MEL, rewritten crew procedure.</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Inspection</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Line inspected every 400 flight hours.</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Customer maintenance program uses 600 flight hours.</w:t>
            </w:r>
          </w:p>
        </w:tc>
      </w:tr>
      <w:tr>
        <w:trPr>
          <w:cantSplit/>
        </w:trPr>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Installation</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Unit sits in a heated bay outside the icing zone.</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Bay layout changed. Unit now sits near the icing zone.</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Result</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Hazard closed without a design change.</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Part number identical. Every condition has moved.</w:t>
            </w:r>
          </w:p>
        </w:tc>
      </w:tr>
    </w:tbl>
    <w:p>
      <w:pPr>
        <w:spacing w:after="100"/>
      </w:pPr>
    </w:p>
    <w:p>
      <w:pPr>
        <w:spacing w:after="120" w:line="276"/>
      </w:pPr>
      <w:r>
        <w:rPr>
          <w:rFonts w:ascii="Calibri" w:cs="Calibri" w:eastAsia="Calibri" w:hAnsi="Calibri"/>
          <w:color w:val="1A2333"/>
          <w:sz w:val="21"/>
          <w:szCs w:val="21"/>
        </w:rPr>
        <w:t xml:space="preserve">Nobody made an error. Four teams made four reasonable changes at four different times. No single person ever saw all four changes next to the assumption they broke.</w:t>
      </w:r>
    </w:p>
    <w:p>
      <w:pPr>
        <w:pStyle w:val="Heading1"/>
        <w:spacing w:after="160" w:before="360"/>
      </w:pPr>
      <w:r>
        <w:rPr>
          <w:rFonts w:ascii="Cambria" w:cs="Cambria" w:eastAsia="Cambria" w:hAnsi="Cambria"/>
          <w:b/>
          <w:bCs/>
          <w:color w:val="132A4E"/>
          <w:sz w:val="30"/>
          <w:szCs w:val="30"/>
        </w:rPr>
        <w:t xml:space="preserve">3.  Why this matters</w:t>
      </w:r>
    </w:p>
    <w:p>
      <w:pPr>
        <w:pStyle w:val="Heading2"/>
        <w:spacing w:after="110" w:before="240"/>
      </w:pPr>
      <w:r>
        <w:rPr>
          <w:rFonts w:ascii="Cambria" w:cs="Cambria" w:eastAsia="Cambria" w:hAnsi="Cambria"/>
          <w:b/>
          <w:bCs/>
          <w:color w:val="1F4380"/>
          <w:sz w:val="24"/>
          <w:szCs w:val="24"/>
        </w:rPr>
        <w:t xml:space="preserve">3.1  The conclusion travels. The conditions stay behind.</w:t>
      </w:r>
    </w:p>
    <w:p>
      <w:pPr>
        <w:spacing w:after="120" w:line="276"/>
      </w:pPr>
      <w:r>
        <w:rPr>
          <w:rFonts w:ascii="Calibri" w:cs="Calibri" w:eastAsia="Calibri" w:hAnsi="Calibri"/>
          <w:color w:val="1A2333"/>
          <w:sz w:val="21"/>
          <w:szCs w:val="21"/>
        </w:rPr>
        <w:t xml:space="preserve">What moves between programs is the sentence. The reasoning stays behind: in the head of the engineer who wrote it, in a review held years ago, and in the source program's documents.</w:t>
      </w:r>
    </w:p>
    <w:p>
      <w:pPr>
        <w:keepNext/>
        <w:spacing w:after="60" w:before="160"/>
        <w:jc w:val="center"/>
      </w:pPr>
      <w:r>
        <w:drawing>
          <wp:inline distT="0" distB="0" distL="0" distR="0">
            <wp:extent cx="5943600" cy="2438400"/>
            <wp:effectExtent t="0" r="0" b="0" l="0"/>
            <wp:docPr id="1" name="fig03" descr="What moves when an assumption is copied, and what stays behin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3.  </w:t>
      </w:r>
      <w:r>
        <w:rPr>
          <w:rFonts w:ascii="Calibri" w:cs="Calibri" w:eastAsia="Calibri" w:hAnsi="Calibri"/>
          <w:i/>
          <w:iCs/>
          <w:color w:val="4A5568"/>
          <w:sz w:val="18"/>
          <w:szCs w:val="18"/>
        </w:rPr>
        <w:t xml:space="preserve">What moves when an assumption is copied, and what stays behind.</w:t>
      </w:r>
    </w:p>
    <w:p>
      <w:pPr>
        <w:spacing w:after="120" w:line="276"/>
      </w:pPr>
      <w:r>
        <w:rPr>
          <w:rFonts w:ascii="Calibri" w:cs="Calibri" w:eastAsia="Calibri" w:hAnsi="Calibri"/>
          <w:color w:val="1A2333"/>
          <w:sz w:val="21"/>
          <w:szCs w:val="21"/>
        </w:rPr>
        <w:t xml:space="preserve">A part number answers one question about a box. An assumption makes claims about how that box is installed, how hard it works, what environment it sees, how often it is inspected, what the crew is told, what it connects to, how the operator flies it and what maintenance requires. Hardware similarity establishes none of those.</w:t>
      </w:r>
    </w:p>
    <w:p>
      <w:pPr>
        <w:spacing w:after="120" w:line="276"/>
      </w:pPr>
      <w:r>
        <w:rPr>
          <w:rFonts w:ascii="Calibri" w:cs="Calibri" w:eastAsia="Calibri" w:hAnsi="Calibri"/>
          <w:color w:val="1A2333"/>
          <w:sz w:val="21"/>
          <w:szCs w:val="21"/>
        </w:rPr>
        <w:t xml:space="preserve">SM-0001 lists assumptions as hazard record content. The stated reason is so assumptions can be re-examined when they change. That presumes someone knows when they change. For inherited assumptions, nobody does.</w:t>
      </w:r>
    </w:p>
    <w:p>
      <w:pPr>
        <w:pStyle w:val="Heading2"/>
        <w:spacing w:after="110" w:before="240"/>
      </w:pPr>
      <w:r>
        <w:rPr>
          <w:rFonts w:ascii="Cambria" w:cs="Cambria" w:eastAsia="Cambria" w:hAnsi="Cambria"/>
          <w:b/>
          <w:bCs/>
          <w:color w:val="1F4380"/>
          <w:sz w:val="24"/>
          <w:szCs w:val="24"/>
        </w:rPr>
        <w:t xml:space="preserve">3.2  Risk accepted by nobody</w:t>
      </w:r>
    </w:p>
    <w:p>
      <w:pPr>
        <w:spacing w:after="120" w:line="276"/>
      </w:pPr>
      <w:r>
        <w:rPr>
          <w:rFonts w:ascii="Calibri" w:cs="Calibri" w:eastAsia="Calibri" w:hAnsi="Calibri"/>
          <w:color w:val="1A2333"/>
          <w:sz w:val="21"/>
          <w:szCs w:val="21"/>
        </w:rPr>
        <w:t xml:space="preserve">Behind every assumption that closes a hazard, someone accepted the residual risk. That person worked on the source program, under that program's risk tolerability criteria.</w:t>
      </w:r>
    </w:p>
    <w:p>
      <w:pPr>
        <w:spacing w:after="120" w:line="276"/>
      </w:pPr>
      <w:r>
        <w:rPr>
          <w:rFonts w:ascii="Calibri" w:cs="Calibri" w:eastAsia="Calibri" w:hAnsi="Calibri"/>
          <w:color w:val="1A2333"/>
          <w:sz w:val="21"/>
          <w:szCs w:val="21"/>
        </w:rPr>
        <w:t xml:space="preserve">When the assumption is inherited, the acceptance does not come with it. No one on the receiving program is asked to accept anything. No record shows the question was ever asked. Within a year or two, the assumption stops reading as a decision. It becomes background truth.</w:t>
      </w: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c>
          <w:tcPr>
            <w:tcW w:type="dxa" w:w="9360"/>
            <w:shd w:fill="FBEBDC" w:color="auto" w:val="clear"/>
            <w:tcMar>
              <w:top w:type="dxa" w:w="130"/>
              <w:left w:type="dxa" w:w="200"/>
              <w:bottom w:type="dxa" w:w="130"/>
              <w:right w:type="dxa" w:w="200"/>
            </w:tcMar>
          </w:tcPr>
          <w:p>
            <w:pPr>
              <w:spacing w:after="70" w:line="276"/>
            </w:pPr>
            <w:r>
              <w:rPr>
                <w:rFonts w:ascii="Calibri" w:cs="Calibri" w:eastAsia="Calibri" w:hAnsi="Calibri"/>
                <w:b/>
                <w:bCs/>
                <w:color w:val="B4530C"/>
                <w:sz w:val="21"/>
                <w:szCs w:val="21"/>
              </w:rPr>
              <w:t xml:space="preserve">This is a compliance gap, not only an engineering-quality gap</w:t>
            </w:r>
          </w:p>
          <w:p>
            <w:pPr>
              <w:spacing w:after="0" w:line="276"/>
            </w:pPr>
            <w:r>
              <w:rPr>
                <w:rFonts w:ascii="Calibri" w:cs="Calibri" w:eastAsia="Calibri" w:hAnsi="Calibri"/>
                <w:color w:val="1A2333"/>
                <w:sz w:val="20"/>
                <w:szCs w:val="20"/>
              </w:rPr>
              <w:t xml:space="preserve">SM-0001 requires that the level of acceptable risk be defined, and that responsibility for accepting risk be clearly assigned. An inherited assumption still carrying risk credit at critical design review, with no named acceptor on the receiving program, does not meet that requirement.</w:t>
            </w:r>
          </w:p>
        </w:tc>
      </w:tr>
    </w:tbl>
    <w:p>
      <w:pPr>
        <w:pStyle w:val="Heading2"/>
        <w:spacing w:after="110" w:before="240"/>
      </w:pPr>
      <w:r>
        <w:rPr>
          <w:rFonts w:ascii="Cambria" w:cs="Cambria" w:eastAsia="Cambria" w:hAnsi="Cambria"/>
          <w:b/>
          <w:bCs/>
          <w:color w:val="1F4380"/>
          <w:sz w:val="24"/>
          <w:szCs w:val="24"/>
        </w:rPr>
        <w:t xml:space="preserve">3.3  Cost compounds by stage</w:t>
      </w:r>
    </w:p>
    <w:p>
      <w:pPr>
        <w:spacing w:after="120" w:line="276"/>
      </w:pPr>
      <w:r>
        <w:rPr>
          <w:rFonts w:ascii="Calibri" w:cs="Calibri" w:eastAsia="Calibri" w:hAnsi="Calibri"/>
          <w:color w:val="1A2333"/>
          <w:sz w:val="21"/>
          <w:szCs w:val="21"/>
        </w:rPr>
        <w:t xml:space="preserve">The usual objection is that this work costs time programs do not have. That objection compares the work against zero. The honest comparison is against the cost of finding out later.</w:t>
      </w:r>
    </w:p>
    <w:p>
      <w:pPr>
        <w:keepNext/>
        <w:spacing w:after="60" w:before="160"/>
        <w:jc w:val="center"/>
      </w:pPr>
      <w:r>
        <w:drawing>
          <wp:inline distT="0" distB="0" distL="0" distR="0">
            <wp:extent cx="5943600" cy="2552700"/>
            <wp:effectExtent t="0" r="0" b="0" l="0"/>
            <wp:docPr id="1" name="fig04" descr="Cost to resolve a bad assumption rises with each stage. Illustrative shape only."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5527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4.  </w:t>
      </w:r>
      <w:r>
        <w:rPr>
          <w:rFonts w:ascii="Calibri" w:cs="Calibri" w:eastAsia="Calibri" w:hAnsi="Calibri"/>
          <w:i/>
          <w:iCs/>
          <w:color w:val="4A5568"/>
          <w:sz w:val="18"/>
          <w:szCs w:val="18"/>
        </w:rPr>
        <w:t xml:space="preserve">Cost to resolve a bad assumption rises with each stage. Illustrative shape only.</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434"/>
        <w:gridCol w:w="4118"/>
        <w:gridCol w:w="2808"/>
      </w:tblGrid>
      <w:tr>
        <w:trPr>
          <w:tblHeader/>
        </w:trPr>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When the problem is found</w:t>
            </w:r>
          </w:p>
        </w:tc>
        <w:tc>
          <w:tcPr>
            <w:tcW w:type="dxa" w:w="411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happens</w:t>
            </w:r>
          </w:p>
        </w:tc>
        <w:tc>
          <w:tcPr>
            <w:tcW w:type="dxa" w:w="280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Typical cost</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Proposal</w:t>
            </w:r>
          </w:p>
        </w:tc>
        <w:tc>
          <w:tcPr>
            <w:tcW w:type="dxa" w:w="411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Conditions written down while the author still knows them</w:t>
            </w:r>
          </w:p>
        </w:tc>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Minutes per assumption</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Preliminary design</w:t>
            </w:r>
          </w:p>
        </w:tc>
        <w:tc>
          <w:tcPr>
            <w:tcW w:type="dxa" w:w="411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Assumption checked against the emerging design</w:t>
            </w:r>
          </w:p>
        </w:tc>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Hours to days. Nothing committed yet.</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Critical design review</w:t>
            </w:r>
          </w:p>
        </w:tc>
        <w:tc>
          <w:tcPr>
            <w:tcW w:type="dxa" w:w="411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Assumption found not to hold</w:t>
            </w:r>
          </w:p>
        </w:tc>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Weeks to months. Design change and rework.</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Certification</w:t>
            </w:r>
          </w:p>
        </w:tc>
        <w:tc>
          <w:tcPr>
            <w:tcW w:type="dxa" w:w="411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Found during compliance demonstration</w:t>
            </w:r>
          </w:p>
        </w:tc>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Months. Re-analysis and possible schedule slip.</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In service</w:t>
            </w:r>
          </w:p>
        </w:tc>
        <w:tc>
          <w:tcPr>
            <w:tcW w:type="dxa" w:w="411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Found from field evidence</w:t>
            </w:r>
          </w:p>
        </w:tc>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Fleet action. Service bulletin. Possible airworthiness directive.</w:t>
            </w:r>
          </w:p>
        </w:tc>
      </w:tr>
    </w:tbl>
    <w:p>
      <w:pPr>
        <w:spacing w:after="80"/>
      </w:pPr>
    </w:p>
    <w:p>
      <w:pPr>
        <w:spacing w:after="120" w:line="276"/>
      </w:pPr>
      <w:r>
        <w:rPr>
          <w:rFonts w:ascii="Calibri" w:cs="Calibri" w:eastAsia="Calibri" w:hAnsi="Calibri"/>
          <w:i/>
          <w:iCs/>
          <w:color w:val="4A5568"/>
          <w:sz w:val="20"/>
          <w:szCs w:val="20"/>
        </w:rPr>
        <w:t xml:space="preserve">These figures show the shape of the curve. They are illustrative, not measured across our programs. The cheapest point to capture an assumption is the one point where programs capture nothing today.</w:t>
      </w:r>
    </w:p>
    <w:p>
      <w:pPr>
        <w:pStyle w:val="Heading2"/>
        <w:spacing w:after="110" w:before="240"/>
      </w:pPr>
      <w:r>
        <w:rPr>
          <w:rFonts w:ascii="Cambria" w:cs="Cambria" w:eastAsia="Cambria" w:hAnsi="Cambria"/>
          <w:b/>
          <w:bCs/>
          <w:color w:val="1F4380"/>
          <w:sz w:val="24"/>
          <w:szCs w:val="24"/>
        </w:rPr>
        <w:t xml:space="preserve">3.4  The assumptions most likely to fail are not about hardware</w:t>
      </w:r>
    </w:p>
    <w:p>
      <w:pPr>
        <w:spacing w:after="120" w:line="276"/>
      </w:pPr>
      <w:r>
        <w:rPr>
          <w:rFonts w:ascii="Calibri" w:cs="Calibri" w:eastAsia="Calibri" w:hAnsi="Calibri"/>
          <w:color w:val="1A2333"/>
          <w:sz w:val="21"/>
          <w:szCs w:val="21"/>
        </w:rPr>
        <w:t xml:space="preserve">A similarity review compares parts. The assumptions most likely to be wrong are not about parts at all. That is why the current process does not catch them.</w:t>
      </w:r>
    </w:p>
    <w:p>
      <w:pPr>
        <w:spacing w:after="120" w:line="276"/>
      </w:pPr>
      <w:r>
        <w:rPr>
          <w:rFonts w:ascii="Calibri" w:cs="Calibri" w:eastAsia="Calibri" w:hAnsi="Calibri"/>
          <w:b/>
          <w:bCs/>
          <w:color w:val="132A4E"/>
          <w:sz w:val="21"/>
          <w:szCs w:val="21"/>
        </w:rPr>
        <w:t xml:space="preserve">Assumptions about people. </w:t>
      </w:r>
      <w:r>
        <w:rPr>
          <w:rFonts w:ascii="Calibri" w:cs="Calibri" w:eastAsia="Calibri" w:hAnsi="Calibri"/>
          <w:color w:val="1A2333"/>
          <w:sz w:val="21"/>
          <w:szCs w:val="21"/>
        </w:rPr>
        <w:t xml:space="preserve">Crew training standard and recency. Workload in the relevant phase of flight. Maintainer skill level. The probability that an inspector finds a defect. Time available to complete a procedure. Staffing and fatigue. These have no part number. Nothing in a parts comparison raises them.</w:t>
      </w:r>
    </w:p>
    <w:p>
      <w:pPr>
        <w:spacing w:after="120" w:line="276"/>
      </w:pPr>
      <w:r>
        <w:rPr>
          <w:rFonts w:ascii="Calibri" w:cs="Calibri" w:eastAsia="Calibri" w:hAnsi="Calibri"/>
          <w:b/>
          <w:bCs/>
          <w:color w:val="132A4E"/>
          <w:sz w:val="21"/>
          <w:szCs w:val="21"/>
        </w:rPr>
        <w:t xml:space="preserve">A further gap: </w:t>
      </w:r>
      <w:r>
        <w:rPr>
          <w:rFonts w:ascii="Calibri" w:cs="Calibri" w:eastAsia="Calibri" w:hAnsi="Calibri"/>
          <w:color w:val="1A2333"/>
          <w:sz w:val="21"/>
          <w:szCs w:val="21"/>
        </w:rPr>
        <w:t xml:space="preserve">a procedure revision or a training change generates no engineering change. So nothing prompts anyone to ask whether an assumption just broke. FMEA detectability ratings and assumed inspection intervals are human-performance assumptions in disguise. Reuse them and you have silently reused another program's workforce.</w:t>
      </w:r>
    </w:p>
    <w:p>
      <w:pPr>
        <w:spacing w:after="120" w:line="276"/>
      </w:pPr>
      <w:r>
        <w:rPr>
          <w:rFonts w:ascii="Calibri" w:cs="Calibri" w:eastAsia="Calibri" w:hAnsi="Calibri"/>
          <w:b/>
          <w:bCs/>
          <w:color w:val="132A4E"/>
          <w:sz w:val="21"/>
          <w:szCs w:val="21"/>
        </w:rPr>
        <w:t xml:space="preserve">Assumptions about interfaces. </w:t>
      </w:r>
      <w:r>
        <w:rPr>
          <w:rFonts w:ascii="Calibri" w:cs="Calibri" w:eastAsia="Calibri" w:hAnsi="Calibri"/>
          <w:color w:val="1A2333"/>
          <w:sz w:val="21"/>
          <w:szCs w:val="21"/>
        </w:rPr>
        <w:t xml:space="preserve">Reuse by similarity is a claim about the item. An interface assumption is a claim about the item's surroundings. The surroundings are exactly what did not come across.</w:t>
      </w:r>
    </w:p>
    <w:p>
      <w:pPr>
        <w:spacing w:after="120" w:line="276"/>
      </w:pPr>
      <w:r>
        <w:rPr>
          <w:rFonts w:ascii="Calibri" w:cs="Calibri" w:eastAsia="Calibri" w:hAnsi="Calibri"/>
          <w:b/>
          <w:bCs/>
          <w:color w:val="132A4E"/>
          <w:sz w:val="21"/>
          <w:szCs w:val="21"/>
        </w:rPr>
        <w:t xml:space="preserve">Organizational interfaces fail in a typical way. </w:t>
      </w:r>
      <w:r>
        <w:rPr>
          <w:rFonts w:ascii="Calibri" w:cs="Calibri" w:eastAsia="Calibri" w:hAnsi="Calibri"/>
          <w:color w:val="1A2333"/>
          <w:sz w:val="21"/>
          <w:szCs w:val="21"/>
        </w:rPr>
        <w:t xml:space="preserve">The supplier assumed the integrator covered it. The integrator assumed the supplier did. The assumption falls into the gap between two safety management systems.</w:t>
      </w:r>
    </w:p>
    <w:p>
      <w:pPr>
        <w:spacing w:after="120" w:line="276"/>
      </w:pPr>
      <w:r>
        <w:rPr>
          <w:rFonts w:ascii="Calibri" w:cs="Calibri" w:eastAsia="Calibri" w:hAnsi="Calibri"/>
          <w:color w:val="1A2333"/>
          <w:sz w:val="21"/>
          <w:szCs w:val="21"/>
        </w:rPr>
        <w:t xml:space="preserve">In the worked example, three of the four broken conditions concerned alerting logic, the maintenance program and the crew procedure. The hardware really was identical. That is the common pattern, not the exception.</w:t>
      </w:r>
    </w:p>
    <w:p>
      <w:pPr>
        <w:pStyle w:val="Heading1"/>
        <w:spacing w:after="160" w:before="360"/>
      </w:pPr>
      <w:r>
        <w:rPr>
          <w:rFonts w:ascii="Cambria" w:cs="Cambria" w:eastAsia="Cambria" w:hAnsi="Cambria"/>
          <w:b/>
          <w:bCs/>
          <w:color w:val="132A4E"/>
          <w:sz w:val="30"/>
          <w:szCs w:val="30"/>
        </w:rPr>
        <w:t xml:space="preserve">4.  Principles</w:t>
      </w:r>
    </w:p>
    <w:p>
      <w:pPr>
        <w:spacing w:after="120" w:line="276"/>
      </w:pPr>
      <w:r>
        <w:rPr>
          <w:rFonts w:ascii="Calibri" w:cs="Calibri" w:eastAsia="Calibri" w:hAnsi="Calibri"/>
          <w:color w:val="1A2333"/>
          <w:sz w:val="21"/>
          <w:szCs w:val="21"/>
        </w:rPr>
        <w:t xml:space="preserve">These nine principles govern the rest of this document. Where a later step is unclear, apply the principle.</w:t>
      </w:r>
    </w:p>
    <w:p>
      <w:pPr>
        <w:pStyle w:val="ListParagraph"/>
        <w:numPr>
          <w:ilvl w:val="0"/>
          <w:numId w:val="2"/>
        </w:numPr>
        <w:spacing w:after="110" w:line="276"/>
      </w:pPr>
      <w:r>
        <w:rPr>
          <w:rFonts w:ascii="Calibri" w:cs="Calibri" w:eastAsia="Calibri" w:hAnsi="Calibri"/>
          <w:b/>
          <w:bCs/>
          <w:color w:val="132A4E"/>
          <w:sz w:val="21"/>
          <w:szCs w:val="21"/>
        </w:rPr>
        <w:t xml:space="preserve">Reuse is allowed. Reuse must leave a trace.  </w:t>
      </w:r>
      <w:r>
        <w:rPr>
          <w:rFonts w:ascii="Calibri" w:cs="Calibri" w:eastAsia="Calibri" w:hAnsi="Calibri"/>
          <w:color w:val="1A2333"/>
          <w:sz w:val="21"/>
          <w:szCs w:val="21"/>
        </w:rPr>
        <w:t xml:space="preserve">Programs may carry assumptions across. They must carry the conditions, the anchors and the evidence with them.</w:t>
      </w:r>
    </w:p>
    <w:p>
      <w:pPr>
        <w:pStyle w:val="ListParagraph"/>
        <w:numPr>
          <w:ilvl w:val="0"/>
          <w:numId w:val="2"/>
        </w:numPr>
        <w:spacing w:after="110" w:line="276"/>
      </w:pPr>
      <w:r>
        <w:rPr>
          <w:rFonts w:ascii="Calibri" w:cs="Calibri" w:eastAsia="Calibri" w:hAnsi="Calibri"/>
          <w:b/>
          <w:bCs/>
          <w:color w:val="132A4E"/>
          <w:sz w:val="21"/>
          <w:szCs w:val="21"/>
        </w:rPr>
        <w:t xml:space="preserve">Write the conditions when the assumption is made.  </w:t>
      </w:r>
      <w:r>
        <w:rPr>
          <w:rFonts w:ascii="Calibri" w:cs="Calibri" w:eastAsia="Calibri" w:hAnsi="Calibri"/>
          <w:color w:val="1A2333"/>
          <w:sz w:val="21"/>
          <w:szCs w:val="21"/>
        </w:rPr>
        <w:t xml:space="preserve">The author knows the conditions at that moment. Writing them costs minutes. Reconstructing them years later costs weeks, and often cannot be done.</w:t>
      </w:r>
    </w:p>
    <w:p>
      <w:pPr>
        <w:pStyle w:val="ListParagraph"/>
        <w:numPr>
          <w:ilvl w:val="0"/>
          <w:numId w:val="2"/>
        </w:numPr>
        <w:spacing w:after="110" w:line="276"/>
      </w:pPr>
      <w:r>
        <w:rPr>
          <w:rFonts w:ascii="Calibri" w:cs="Calibri" w:eastAsia="Calibri" w:hAnsi="Calibri"/>
          <w:b/>
          <w:bCs/>
          <w:color w:val="132A4E"/>
          <w:sz w:val="21"/>
          <w:szCs w:val="21"/>
        </w:rPr>
        <w:t xml:space="preserve">Reference the controlling document. Do not restate its values.  </w:t>
      </w:r>
      <w:r>
        <w:rPr>
          <w:rFonts w:ascii="Calibri" w:cs="Calibri" w:eastAsia="Calibri" w:hAnsi="Calibri"/>
          <w:color w:val="1A2333"/>
          <w:sz w:val="21"/>
          <w:szCs w:val="21"/>
        </w:rPr>
        <w:t xml:space="preserve">Record the document, the item and the revision. A restated value cannot be checked. A reference can.</w:t>
      </w:r>
    </w:p>
    <w:p>
      <w:pPr>
        <w:pStyle w:val="ListParagraph"/>
        <w:numPr>
          <w:ilvl w:val="0"/>
          <w:numId w:val="2"/>
        </w:numPr>
        <w:spacing w:after="110" w:line="276"/>
      </w:pPr>
      <w:r>
        <w:rPr>
          <w:rFonts w:ascii="Calibri" w:cs="Calibri" w:eastAsia="Calibri" w:hAnsi="Calibri"/>
          <w:b/>
          <w:bCs/>
          <w:color w:val="132A4E"/>
          <w:sz w:val="21"/>
          <w:szCs w:val="21"/>
        </w:rPr>
        <w:t xml:space="preserve">Name a risk acceptor on the receiving program.  </w:t>
      </w:r>
      <w:r>
        <w:rPr>
          <w:rFonts w:ascii="Calibri" w:cs="Calibri" w:eastAsia="Calibri" w:hAnsi="Calibri"/>
          <w:color w:val="1A2333"/>
          <w:sz w:val="21"/>
          <w:szCs w:val="21"/>
        </w:rPr>
        <w:t xml:space="preserve">Every assumption carrying risk credit needs a named person on this program who accepts the residual risk. Inherited acceptance does not count.</w:t>
      </w:r>
    </w:p>
    <w:p>
      <w:pPr>
        <w:pStyle w:val="ListParagraph"/>
        <w:numPr>
          <w:ilvl w:val="0"/>
          <w:numId w:val="2"/>
        </w:numPr>
        <w:spacing w:after="110" w:line="276"/>
      </w:pPr>
      <w:r>
        <w:rPr>
          <w:rFonts w:ascii="Calibri" w:cs="Calibri" w:eastAsia="Calibri" w:hAnsi="Calibri"/>
          <w:b/>
          <w:bCs/>
          <w:color w:val="132A4E"/>
          <w:sz w:val="21"/>
          <w:szCs w:val="21"/>
        </w:rPr>
        <w:t xml:space="preserve">Re-adopt. Do not inherit.  </w:t>
      </w:r>
      <w:r>
        <w:rPr>
          <w:rFonts w:ascii="Calibri" w:cs="Calibri" w:eastAsia="Calibri" w:hAnsi="Calibri"/>
          <w:color w:val="1A2333"/>
          <w:sz w:val="21"/>
          <w:szCs w:val="21"/>
        </w:rPr>
        <w:t xml:space="preserve">An assumption may enter a new program only after a documented comparison of the conditions on both programs. Part numbers alone are not enough. Anything that cannot be verified returns to safety risk management.</w:t>
      </w:r>
    </w:p>
    <w:p>
      <w:pPr>
        <w:pStyle w:val="ListParagraph"/>
        <w:numPr>
          <w:ilvl w:val="0"/>
          <w:numId w:val="2"/>
        </w:numPr>
        <w:spacing w:after="110" w:line="276"/>
      </w:pPr>
      <w:r>
        <w:rPr>
          <w:rFonts w:ascii="Calibri" w:cs="Calibri" w:eastAsia="Calibri" w:hAnsi="Calibri"/>
          <w:b/>
          <w:bCs/>
          <w:color w:val="132A4E"/>
          <w:sz w:val="21"/>
          <w:szCs w:val="21"/>
        </w:rPr>
        <w:t xml:space="preserve">Scope by the hazard analysis.  </w:t>
      </w:r>
      <w:r>
        <w:rPr>
          <w:rFonts w:ascii="Calibri" w:cs="Calibri" w:eastAsia="Calibri" w:hAnsi="Calibri"/>
          <w:color w:val="1A2333"/>
          <w:sz w:val="21"/>
          <w:szCs w:val="21"/>
        </w:rPr>
        <w:t xml:space="preserve">An assumption gets full control if a hazard reopens when it fails. Apply this test to the hazard analysis. Do not borrow a list maintained for other purposes.</w:t>
      </w:r>
    </w:p>
    <w:p>
      <w:pPr>
        <w:pStyle w:val="ListParagraph"/>
        <w:numPr>
          <w:ilvl w:val="0"/>
          <w:numId w:val="2"/>
        </w:numPr>
        <w:spacing w:after="110" w:line="276"/>
      </w:pPr>
      <w:r>
        <w:rPr>
          <w:rFonts w:ascii="Calibri" w:cs="Calibri" w:eastAsia="Calibri" w:hAnsi="Calibri"/>
          <w:b/>
          <w:bCs/>
          <w:color w:val="132A4E"/>
          <w:sz w:val="21"/>
          <w:szCs w:val="21"/>
        </w:rPr>
        <w:t xml:space="preserve">Distinguish verified from monitored.  </w:t>
      </w:r>
      <w:r>
        <w:rPr>
          <w:rFonts w:ascii="Calibri" w:cs="Calibri" w:eastAsia="Calibri" w:hAnsi="Calibri"/>
          <w:color w:val="1A2333"/>
          <w:sz w:val="21"/>
          <w:szCs w:val="21"/>
        </w:rPr>
        <w:t xml:space="preserve">Some conditions can be closed by test, analysis, inspection or demonstration. Others can only be watched. Never record a monitored condition as verified.</w:t>
      </w:r>
    </w:p>
    <w:p>
      <w:pPr>
        <w:pStyle w:val="ListParagraph"/>
        <w:numPr>
          <w:ilvl w:val="0"/>
          <w:numId w:val="2"/>
        </w:numPr>
        <w:spacing w:after="110" w:line="276"/>
      </w:pPr>
      <w:r>
        <w:rPr>
          <w:rFonts w:ascii="Calibri" w:cs="Calibri" w:eastAsia="Calibri" w:hAnsi="Calibri"/>
          <w:b/>
          <w:bCs/>
          <w:color w:val="132A4E"/>
          <w:sz w:val="21"/>
          <w:szCs w:val="21"/>
        </w:rPr>
        <w:t xml:space="preserve">Convert to a requirement wherever possible.  </w:t>
      </w:r>
      <w:r>
        <w:rPr>
          <w:rFonts w:ascii="Calibri" w:cs="Calibri" w:eastAsia="Calibri" w:hAnsi="Calibri"/>
          <w:color w:val="1A2333"/>
          <w:sz w:val="21"/>
          <w:szCs w:val="21"/>
        </w:rPr>
        <w:t xml:space="preserve">If a condition can be levied on a responsible party, levy it. A requirement has an owner and a compliance path. This shrinks the population needing ongoing control.</w:t>
      </w:r>
    </w:p>
    <w:p>
      <w:pPr>
        <w:pStyle w:val="ListParagraph"/>
        <w:numPr>
          <w:ilvl w:val="0"/>
          <w:numId w:val="2"/>
        </w:numPr>
        <w:spacing w:after="110" w:line="276"/>
      </w:pPr>
      <w:r>
        <w:rPr>
          <w:rFonts w:ascii="Calibri" w:cs="Calibri" w:eastAsia="Calibri" w:hAnsi="Calibri"/>
          <w:b/>
          <w:bCs/>
          <w:color w:val="132A4E"/>
          <w:sz w:val="21"/>
          <w:szCs w:val="21"/>
        </w:rPr>
        <w:t xml:space="preserve">The SMS owns the practice.  </w:t>
      </w:r>
      <w:r>
        <w:rPr>
          <w:rFonts w:ascii="Calibri" w:cs="Calibri" w:eastAsia="Calibri" w:hAnsi="Calibri"/>
          <w:color w:val="1A2333"/>
          <w:sz w:val="21"/>
          <w:szCs w:val="21"/>
        </w:rPr>
        <w:t xml:space="preserve">The underlying facts are controlled in three different places. No one of those owners can hold the whole picture. The SMS can.</w:t>
      </w:r>
    </w:p>
    <w:p>
      <w:pPr>
        <w:spacing w:after="120" w:line="276"/>
      </w:pPr>
      <w:r>
        <w:rPr>
          <w:rFonts w:ascii="Calibri" w:cs="Calibri" w:eastAsia="Calibri" w:hAnsi="Calibri"/>
          <w:color w:val="1A2333"/>
          <w:sz w:val="21"/>
          <w:szCs w:val="21"/>
        </w:rPr>
        <w:t xml:space="preserve">Principle 5 is the one that changes current practice most directly. Figure 5 contrasts the two paths.</w:t>
      </w:r>
    </w:p>
    <w:p>
      <w:pPr>
        <w:keepNext/>
        <w:spacing w:after="60" w:before="160"/>
        <w:jc w:val="center"/>
      </w:pPr>
      <w:r>
        <w:drawing>
          <wp:inline distT="0" distB="0" distL="0" distR="0">
            <wp:extent cx="5943600" cy="2790825"/>
            <wp:effectExtent t="0" r="0" b="0" l="0"/>
            <wp:docPr id="1" name="fig05" descr="Inheriting copies a sentence. Re-adopting compares conditions and makes a new risk decision on the receiving program."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790825"/>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5.  </w:t>
      </w:r>
      <w:r>
        <w:rPr>
          <w:rFonts w:ascii="Calibri" w:cs="Calibri" w:eastAsia="Calibri" w:hAnsi="Calibri"/>
          <w:i/>
          <w:iCs/>
          <w:color w:val="4A5568"/>
          <w:sz w:val="18"/>
          <w:szCs w:val="18"/>
        </w:rPr>
        <w:t xml:space="preserve">Inheriting copies a sentence. Re-adopting compares conditions and makes a new risk decision on the receiving program.</w:t>
      </w:r>
    </w:p>
    <w:p>
      <w:pPr>
        <w:pStyle w:val="Heading1"/>
        <w:spacing w:after="160" w:before="360"/>
      </w:pPr>
      <w:r>
        <w:rPr>
          <w:rFonts w:ascii="Cambria" w:cs="Cambria" w:eastAsia="Cambria" w:hAnsi="Cambria"/>
          <w:b/>
          <w:bCs/>
          <w:color w:val="132A4E"/>
          <w:sz w:val="30"/>
          <w:szCs w:val="30"/>
        </w:rPr>
        <w:t xml:space="preserve">5.  Where the facts live, and who owns this practice</w:t>
      </w:r>
    </w:p>
    <w:p>
      <w:pPr>
        <w:spacing w:after="120" w:line="276"/>
      </w:pPr>
      <w:r>
        <w:rPr>
          <w:rFonts w:ascii="Calibri" w:cs="Calibri" w:eastAsia="Calibri" w:hAnsi="Calibri"/>
          <w:color w:val="1A2333"/>
          <w:sz w:val="21"/>
          <w:szCs w:val="21"/>
        </w:rPr>
        <w:t xml:space="preserve">The facts an assumption relies on are controlled in three different places. Each has its own authority and its own change process.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2434"/>
        <w:gridCol w:w="2246"/>
        <w:gridCol w:w="2434"/>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Control regime</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it controls</w:t>
            </w:r>
          </w:p>
        </w:tc>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Who approves changes</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Assumptions anchored here</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Engineering configuration control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Drawings, specifications, interface requirements</w:t>
            </w:r>
          </w:p>
        </w:tc>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Engineering change board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Hardware, installation, interface, loads, thermal, duty cycle</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Maintenance program and operational control</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Inspection intervals, MEL conditions, flight and maintenance procedures</w:t>
            </w:r>
          </w:p>
        </w:tc>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Operator and authority. No engineering change involved.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Inspection, dispatch, procedural, operational</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Training and competence control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Crew and maintainer qualification, recency, curriculum</w:t>
            </w:r>
          </w:p>
        </w:tc>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Training organization. Outside engineering.</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Human performance, detection, workload</w:t>
            </w:r>
          </w:p>
        </w:tc>
      </w:tr>
    </w:tbl>
    <w:p>
      <w:pPr>
        <w:spacing w:after="120"/>
      </w:pPr>
    </w:p>
    <w:p>
      <w:pPr>
        <w:keepNext/>
        <w:spacing w:after="60" w:before="160"/>
        <w:jc w:val="center"/>
      </w:pPr>
      <w:r>
        <w:drawing>
          <wp:inline distT="0" distB="0" distL="0" distR="0">
            <wp:extent cx="5943600" cy="3209925"/>
            <wp:effectExtent t="0" r="0" b="0" l="0"/>
            <wp:docPr id="1" name="fig06" descr="One assumption can depend on documents held in all three control regim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6.  </w:t>
      </w:r>
      <w:r>
        <w:rPr>
          <w:rFonts w:ascii="Calibri" w:cs="Calibri" w:eastAsia="Calibri" w:hAnsi="Calibri"/>
          <w:i/>
          <w:iCs/>
          <w:color w:val="4A5568"/>
          <w:sz w:val="18"/>
          <w:szCs w:val="18"/>
        </w:rPr>
        <w:t xml:space="preserve">One assumption can depend on documents held in all three control regimes.</w:t>
      </w:r>
    </w:p>
    <w:p>
      <w:pPr>
        <w:spacing w:after="120" w:line="276"/>
      </w:pPr>
      <w:r>
        <w:rPr>
          <w:rFonts w:ascii="Calibri" w:cs="Calibri" w:eastAsia="Calibri" w:hAnsi="Calibri"/>
          <w:color w:val="1A2333"/>
          <w:sz w:val="21"/>
          <w:szCs w:val="21"/>
        </w:rPr>
        <w:t xml:space="preserve">All three regimes produce documents with an identifier, a revision and an approval authority. That is enough to anchor an assumption. It is also enough to detect later that the anchor moved.</w:t>
      </w:r>
    </w:p>
    <w:p>
      <w:pPr>
        <w:spacing w:after="120" w:line="276"/>
      </w:pPr>
      <w:r>
        <w:rPr>
          <w:rFonts w:ascii="Calibri" w:cs="Calibri" w:eastAsia="Calibri" w:hAnsi="Calibri"/>
          <w:color w:val="1A2333"/>
          <w:sz w:val="21"/>
          <w:szCs w:val="21"/>
        </w:rPr>
        <w:t xml:space="preserve">The three regimes do not share a change process, an owner or an approval route. A practice hooked into only one of them misses most failures. So the practice sits in the SMS.</w:t>
      </w:r>
    </w:p>
    <w:tbl>
      <w:tblPr>
        <w:tblW w:type="dxa" w:w="9360"/>
        <w:tblBorders>
          <w:top w:val="single" w:color="D3DEEF" w:sz="2"/>
          <w:left w:val="single" w:color="0F6B62" w:sz="18"/>
          <w:bottom w:val="single" w:color="D3DEEF" w:sz="2"/>
          <w:right w:val="single" w:color="D3DEEF" w:sz="2"/>
          <w:insideH w:val="none"/>
          <w:insideV w:val="none"/>
        </w:tblBorders>
      </w:tblPr>
      <w:tblGrid>
        <w:gridCol w:w="9360"/>
      </w:tblGrid>
      <w:tr>
        <w:tc>
          <w:tcPr>
            <w:tcW w:type="dxa" w:w="9360"/>
            <w:shd w:fill="E4F1EE" w:color="auto" w:val="clear"/>
            <w:tcMar>
              <w:top w:type="dxa" w:w="130"/>
              <w:left w:type="dxa" w:w="200"/>
              <w:bottom w:type="dxa" w:w="130"/>
              <w:right w:type="dxa" w:w="200"/>
            </w:tcMar>
          </w:tcPr>
          <w:p>
            <w:pPr>
              <w:spacing w:after="70" w:line="276"/>
            </w:pPr>
            <w:r>
              <w:rPr>
                <w:rFonts w:ascii="Calibri" w:cs="Calibri" w:eastAsia="Calibri" w:hAnsi="Calibri"/>
                <w:b/>
                <w:bCs/>
                <w:color w:val="0F6B62"/>
                <w:sz w:val="21"/>
                <w:szCs w:val="21"/>
              </w:rPr>
              <w:t xml:space="preserve">Configuration management is a supplier, not the owner</w:t>
            </w:r>
          </w:p>
          <w:p>
            <w:pPr>
              <w:spacing w:after="80" w:line="276"/>
            </w:pPr>
            <w:r>
              <w:rPr>
                <w:rFonts w:ascii="Calibri" w:cs="Calibri" w:eastAsia="Calibri" w:hAnsi="Calibri"/>
                <w:color w:val="1A2333"/>
                <w:sz w:val="20"/>
                <w:szCs w:val="20"/>
              </w:rPr>
              <w:t xml:space="preserve">Configuration management supplies revision state for engineering documents and the identifier discipline that keeps references stable. Continued airworthiness supplies the same for the maintenance program. The training organization supplies the same for curricula and qualification. Each is a supplier to the SMS.</w:t>
            </w:r>
          </w:p>
          <w:p>
            <w:pPr>
              <w:spacing w:after="0" w:line="276"/>
            </w:pPr>
            <w:r>
              <w:rPr>
                <w:rFonts w:ascii="Calibri" w:cs="Calibri" w:eastAsia="Calibri" w:hAnsi="Calibri"/>
                <w:color w:val="1A2333"/>
                <w:sz w:val="20"/>
                <w:szCs w:val="20"/>
              </w:rPr>
              <w:t xml:space="preserve">This guidance requires no change to the engineering change process or its forms.</w:t>
            </w:r>
          </w:p>
        </w:tc>
      </w:tr>
    </w:tbl>
    <w:p>
      <w:pPr>
        <w:pStyle w:val="Heading1"/>
        <w:spacing w:after="160" w:before="360"/>
      </w:pPr>
      <w:r>
        <w:rPr>
          <w:rFonts w:ascii="Cambria" w:cs="Cambria" w:eastAsia="Cambria" w:hAnsi="Cambria"/>
          <w:b/>
          <w:bCs/>
          <w:color w:val="132A4E"/>
          <w:sz w:val="30"/>
          <w:szCs w:val="30"/>
        </w:rPr>
        <w:t xml:space="preserve">6.  The assumption record</w:t>
      </w:r>
    </w:p>
    <w:p>
      <w:pPr>
        <w:pStyle w:val="Heading2"/>
        <w:spacing w:after="110" w:before="240"/>
      </w:pPr>
      <w:r>
        <w:rPr>
          <w:rFonts w:ascii="Cambria" w:cs="Cambria" w:eastAsia="Cambria" w:hAnsi="Cambria"/>
          <w:b/>
          <w:bCs/>
          <w:color w:val="1F4380"/>
          <w:sz w:val="24"/>
          <w:szCs w:val="24"/>
        </w:rPr>
        <w:t xml:space="preserve">6.1  What each record contains</w:t>
      </w:r>
    </w:p>
    <w:p>
      <w:pPr>
        <w:spacing w:after="120" w:line="276"/>
      </w:pPr>
      <w:r>
        <w:rPr>
          <w:rFonts w:ascii="Calibri" w:cs="Calibri" w:eastAsia="Calibri" w:hAnsi="Calibri"/>
          <w:color w:val="1A2333"/>
          <w:sz w:val="21"/>
          <w:szCs w:val="21"/>
        </w:rPr>
        <w:t xml:space="preserve">The fields below follow the hazard record content SM-0001 already describes, applied one level down.</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5616"/>
        <w:gridCol w:w="1498"/>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Field</w:t>
            </w:r>
          </w:p>
        </w:tc>
        <w:tc>
          <w:tcPr>
            <w:tcW w:type="dxa" w:w="561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Content</w:t>
            </w:r>
          </w:p>
        </w:tc>
        <w:tc>
          <w:tcPr>
            <w:tcW w:type="dxa" w:w="149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Tier 1</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Identifier</w:t>
            </w:r>
          </w:p>
        </w:tc>
        <w:tc>
          <w:tcPr>
            <w:tcW w:type="dxa" w:w="561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Unique number within the program</w:t>
            </w:r>
          </w:p>
        </w:tc>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Statement</w:t>
            </w:r>
          </w:p>
        </w:tc>
        <w:tc>
          <w:tcPr>
            <w:tcW w:type="dxa" w:w="561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claim, written on its own, separate from the reasoning</w:t>
            </w:r>
          </w:p>
        </w:tc>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Rationale</w:t>
            </w:r>
          </w:p>
        </w:tc>
        <w:tc>
          <w:tcPr>
            <w:tcW w:type="dxa" w:w="561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Why it was made. This is the field that cannot be reconstructed later.</w:t>
            </w:r>
          </w:p>
        </w:tc>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Conditions</w:t>
            </w:r>
          </w:p>
        </w:tc>
        <w:tc>
          <w:tcPr>
            <w:tcW w:type="dxa" w:w="561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Each checkable claim that must be true, as a separate line</w:t>
            </w:r>
          </w:p>
        </w:tc>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Anchor per condition</w:t>
            </w:r>
          </w:p>
        </w:tc>
        <w:tc>
          <w:tcPr>
            <w:tcW w:type="dxa" w:w="561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Controlling document, item and revision. Cited, not copied.</w:t>
            </w:r>
          </w:p>
        </w:tc>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Control regime per condition</w:t>
            </w:r>
          </w:p>
        </w:tc>
        <w:tc>
          <w:tcPr>
            <w:tcW w:type="dxa" w:w="561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Engineering, maintenance and operational, training, contractual, or none</w:t>
            </w:r>
          </w:p>
        </w:tc>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Owner</w:t>
            </w:r>
          </w:p>
        </w:tc>
        <w:tc>
          <w:tcPr>
            <w:tcW w:type="dxa" w:w="561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Engineer accountable for the assumption</w:t>
            </w:r>
          </w:p>
        </w:tc>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Risk acceptor</w:t>
            </w:r>
          </w:p>
        </w:tc>
        <w:tc>
          <w:tcPr>
            <w:tcW w:type="dxa" w:w="561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Named person on this program who accepts the residual risk</w:t>
            </w:r>
          </w:p>
        </w:tc>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Dependent hazard</w:t>
            </w:r>
          </w:p>
        </w:tc>
        <w:tc>
          <w:tcPr>
            <w:tcW w:type="dxa" w:w="561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hazard that reopens if the assumption fails</w:t>
            </w:r>
          </w:p>
        </w:tc>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Tier, state, disposition</w:t>
            </w:r>
          </w:p>
        </w:tc>
        <w:tc>
          <w:tcPr>
            <w:tcW w:type="dxa" w:w="561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See 6.3 to 6.5</w:t>
            </w:r>
          </w:p>
        </w:tc>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Provenance</w:t>
            </w:r>
          </w:p>
        </w:tc>
        <w:tc>
          <w:tcPr>
            <w:tcW w:type="dxa" w:w="561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If inherited: source program, source record, revision, and basis of the similarity claim</w:t>
            </w:r>
          </w:p>
        </w:tc>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If inherited</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Last confirmed</w:t>
            </w:r>
          </w:p>
        </w:tc>
        <w:tc>
          <w:tcPr>
            <w:tcW w:type="dxa" w:w="561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Date the conditions were last checked against the documents in force</w:t>
            </w:r>
          </w:p>
        </w:tc>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Required</w:t>
            </w:r>
          </w:p>
        </w:tc>
      </w:tr>
    </w:tbl>
    <w:p>
      <w:pPr>
        <w:pStyle w:val="Heading2"/>
        <w:spacing w:after="110" w:before="240"/>
      </w:pPr>
      <w:r>
        <w:rPr>
          <w:rFonts w:ascii="Cambria" w:cs="Cambria" w:eastAsia="Cambria" w:hAnsi="Cambria"/>
          <w:b/>
          <w:bCs/>
          <w:color w:val="1F4380"/>
          <w:sz w:val="24"/>
          <w:szCs w:val="24"/>
        </w:rPr>
        <w:t xml:space="preserve">6.2  Writing conditions</w:t>
      </w:r>
    </w:p>
    <w:p>
      <w:pPr>
        <w:pStyle w:val="ListParagraph"/>
        <w:numPr>
          <w:ilvl w:val="0"/>
          <w:numId w:val="3"/>
        </w:numPr>
        <w:spacing w:after="80" w:line="276"/>
      </w:pPr>
      <w:r>
        <w:rPr>
          <w:rFonts w:ascii="Calibri" w:cs="Calibri" w:eastAsia="Calibri" w:hAnsi="Calibri"/>
          <w:color w:val="1A2333"/>
          <w:sz w:val="21"/>
          <w:szCs w:val="21"/>
        </w:rPr>
        <w:t xml:space="preserve">Write one claim per condition.</w:t>
      </w:r>
    </w:p>
    <w:p>
      <w:pPr>
        <w:pStyle w:val="ListParagraph"/>
        <w:numPr>
          <w:ilvl w:val="0"/>
          <w:numId w:val="3"/>
        </w:numPr>
        <w:spacing w:after="80" w:line="276"/>
      </w:pPr>
      <w:r>
        <w:rPr>
          <w:rFonts w:ascii="Calibri" w:cs="Calibri" w:eastAsia="Calibri" w:hAnsi="Calibri"/>
          <w:color w:val="1A2333"/>
          <w:sz w:val="21"/>
          <w:szCs w:val="21"/>
        </w:rPr>
        <w:t xml:space="preserve">Write each condition so a reader can answer yes or no.</w:t>
      </w:r>
    </w:p>
    <w:p>
      <w:pPr>
        <w:pStyle w:val="ListParagraph"/>
        <w:numPr>
          <w:ilvl w:val="0"/>
          <w:numId w:val="3"/>
        </w:numPr>
        <w:spacing w:after="80" w:line="276"/>
      </w:pPr>
      <w:r>
        <w:rPr>
          <w:rFonts w:ascii="Calibri" w:cs="Calibri" w:eastAsia="Calibri" w:hAnsi="Calibri"/>
          <w:color w:val="1A2333"/>
          <w:sz w:val="21"/>
          <w:szCs w:val="21"/>
        </w:rPr>
        <w:t xml:space="preserve">Name the controlling document and its revision. Do not repeat the value it contains.</w:t>
      </w:r>
    </w:p>
    <w:p>
      <w:pPr>
        <w:pStyle w:val="ListParagraph"/>
        <w:numPr>
          <w:ilvl w:val="0"/>
          <w:numId w:val="3"/>
        </w:numPr>
        <w:spacing w:after="80" w:line="276"/>
      </w:pPr>
      <w:r>
        <w:rPr>
          <w:rFonts w:ascii="Calibri" w:cs="Calibri" w:eastAsia="Calibri" w:hAnsi="Calibri"/>
          <w:color w:val="1A2333"/>
          <w:sz w:val="21"/>
          <w:szCs w:val="21"/>
        </w:rPr>
        <w:t xml:space="preserve">State which control regime holds that document.</w:t>
      </w:r>
    </w:p>
    <w:p>
      <w:pPr>
        <w:pStyle w:val="ListParagraph"/>
        <w:numPr>
          <w:ilvl w:val="0"/>
          <w:numId w:val="3"/>
        </w:numPr>
        <w:spacing w:after="80" w:line="276"/>
      </w:pPr>
      <w:r>
        <w:rPr>
          <w:rFonts w:ascii="Calibri" w:cs="Calibri" w:eastAsia="Calibri" w:hAnsi="Calibri"/>
          <w:color w:val="1A2333"/>
          <w:sz w:val="21"/>
          <w:szCs w:val="21"/>
        </w:rPr>
        <w:t xml:space="preserve">If nothing controls the condition, record the regime as "none." That is a finding, not a gap in the data.</w:t>
      </w:r>
    </w:p>
    <w:p>
      <w:pPr>
        <w:spacing w:after="60"/>
      </w:pP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4680"/>
        <w:gridCol w:w="4680"/>
      </w:tblGrid>
      <w:tr>
        <w:trPr>
          <w:tblHeader/>
        </w:trPr>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Restated (avoid)</w:t>
            </w:r>
          </w:p>
        </w:tc>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Referenced (use)</w:t>
            </w:r>
          </w:p>
        </w:tc>
      </w:tr>
      <w:tr>
        <w:trPr>
          <w:cantSplit/>
        </w:trPr>
        <w:tc>
          <w:tcPr>
            <w:tcW w:type="dxa" w:w="4680"/>
            <w:shd w:fill="EDF1F8" w:color="auto" w:val="clear"/>
            <w:tcMar>
              <w:top w:type="dxa" w:w="80"/>
              <w:left w:type="dxa" w:w="120"/>
              <w:bottom w:type="dxa" w:w="80"/>
              <w:right w:type="dxa" w:w="120"/>
            </w:tcMar>
          </w:tcPr>
          <w:p>
            <w:pPr>
              <w:spacing w:after="40" w:line="252"/>
            </w:pPr>
            <w:r>
              <w:rPr>
                <w:rFonts w:ascii="Calibri" w:cs="Calibri" w:eastAsia="Calibri" w:hAnsi="Calibri"/>
                <w:color w:val="1A2333"/>
                <w:sz w:val="19"/>
                <w:szCs w:val="19"/>
              </w:rPr>
              <w:t xml:space="preserve">"Assumes the line is inspected every 400 flight hours."</w:t>
            </w:r>
          </w:p>
          <w:p>
            <w:pPr>
              <w:spacing w:after="0" w:line="252"/>
            </w:pPr>
            <w:r>
              <w:rPr>
                <w:rFonts w:ascii="Calibri" w:cs="Calibri" w:eastAsia="Calibri" w:hAnsi="Calibri"/>
                <w:color w:val="1A2333"/>
                <w:sz w:val="19"/>
                <w:szCs w:val="19"/>
              </w:rPr>
              <w:t xml:space="preserve">When the maintenance program moves to 600 hours, nothing connects that change to this sentence. It still reads as true.</w:t>
            </w:r>
          </w:p>
        </w:tc>
        <w:tc>
          <w:tcPr>
            <w:tcW w:type="dxa" w:w="4680"/>
            <w:shd w:fill="EDF1F8" w:color="auto" w:val="clear"/>
            <w:tcMar>
              <w:top w:type="dxa" w:w="80"/>
              <w:left w:type="dxa" w:w="120"/>
              <w:bottom w:type="dxa" w:w="80"/>
              <w:right w:type="dxa" w:w="120"/>
            </w:tcMar>
          </w:tcPr>
          <w:p>
            <w:pPr>
              <w:spacing w:after="40" w:line="252"/>
            </w:pPr>
            <w:r>
              <w:rPr>
                <w:rFonts w:ascii="Calibri" w:cs="Calibri" w:eastAsia="Calibri" w:hAnsi="Calibri"/>
                <w:color w:val="1A2333"/>
                <w:sz w:val="19"/>
                <w:szCs w:val="19"/>
              </w:rPr>
              <w:t xml:space="preserve">"Assumes the inspection interval defined in [document, item, revision]."</w:t>
            </w:r>
          </w:p>
          <w:p>
            <w:pPr>
              <w:spacing w:after="0" w:line="252"/>
            </w:pPr>
            <w:r>
              <w:rPr>
                <w:rFonts w:ascii="Calibri" w:cs="Calibri" w:eastAsia="Calibri" w:hAnsi="Calibri"/>
                <w:color w:val="1A2333"/>
                <w:sz w:val="19"/>
                <w:szCs w:val="19"/>
              </w:rPr>
              <w:t xml:space="preserve">When that document is revised, the recorded revision no longer matches. The next sweep flags it.</w:t>
            </w:r>
          </w:p>
        </w:tc>
      </w:tr>
    </w:tbl>
    <w:p>
      <w:pPr>
        <w:pStyle w:val="Heading2"/>
        <w:spacing w:after="110" w:before="240"/>
      </w:pPr>
      <w:r>
        <w:rPr>
          <w:rFonts w:ascii="Cambria" w:cs="Cambria" w:eastAsia="Cambria" w:hAnsi="Cambria"/>
          <w:b/>
          <w:bCs/>
          <w:color w:val="1F4380"/>
          <w:sz w:val="24"/>
          <w:szCs w:val="24"/>
        </w:rPr>
        <w:t xml:space="preserve">6.3  Tiers</w:t>
      </w:r>
    </w:p>
    <w:p>
      <w:pPr>
        <w:spacing w:after="120" w:line="276"/>
      </w:pPr>
      <w:r>
        <w:rPr>
          <w:rFonts w:ascii="Calibri" w:cs="Calibri" w:eastAsia="Calibri" w:hAnsi="Calibri"/>
          <w:color w:val="1A2333"/>
          <w:sz w:val="21"/>
          <w:szCs w:val="21"/>
        </w:rPr>
        <w:t xml:space="preserve">Safety risk management assigns the tier, using the hazard analysis. The test for Tier 1 is simple. Does a hazard reopen if this assumption fails?</w:t>
      </w:r>
    </w:p>
    <w:p>
      <w:pPr>
        <w:keepNext/>
        <w:spacing w:after="60" w:before="160"/>
        <w:jc w:val="center"/>
      </w:pPr>
      <w:r>
        <w:drawing>
          <wp:inline distT="0" distB="0" distL="0" distR="0">
            <wp:extent cx="5943600" cy="2495550"/>
            <wp:effectExtent t="0" r="0" b="0" l="0"/>
            <wp:docPr id="1" name="fig07" descr="Tiering. The hazard analysis decides which assumptions receive full contro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49555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7.  </w:t>
      </w:r>
      <w:r>
        <w:rPr>
          <w:rFonts w:ascii="Calibri" w:cs="Calibri" w:eastAsia="Calibri" w:hAnsi="Calibri"/>
          <w:i/>
          <w:iCs/>
          <w:color w:val="4A5568"/>
          <w:sz w:val="18"/>
          <w:szCs w:val="18"/>
        </w:rPr>
        <w:t xml:space="preserve">Tiering. The hazard analysis decides which assumptions receive full control.</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872"/>
        <w:gridCol w:w="3557"/>
        <w:gridCol w:w="3931"/>
      </w:tblGrid>
      <w:tr>
        <w:trPr>
          <w:tblHeader/>
        </w:trPr>
        <w:tc>
          <w:tcPr>
            <w:tcW w:type="dxa" w:w="187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Tier</w:t>
            </w:r>
          </w:p>
        </w:tc>
        <w:tc>
          <w:tcPr>
            <w:tcW w:type="dxa" w:w="3557"/>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Scope</w:t>
            </w:r>
          </w:p>
        </w:tc>
        <w:tc>
          <w:tcPr>
            <w:tcW w:type="dxa" w:w="393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Treatment</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Tier 1, controlled</w:t>
            </w:r>
          </w:p>
        </w:tc>
        <w:tc>
          <w:tcPr>
            <w:tcW w:type="dxa" w:w="355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 hazard analysis or a certification finding depends on it</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Full record, anchors, named risk acceptor, sweep, design review reporting. Expect tens of items per program, not hundreds.</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Tier 2, registered</w:t>
            </w:r>
          </w:p>
        </w:tc>
        <w:tc>
          <w:tcPr>
            <w:tcW w:type="dxa" w:w="355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Shapes design decisions but carries no safety risk credit</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Identifier, owner, statement and rationale only. Can be promoted to Tier 1 later.</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Tier 3, engineering note</w:t>
            </w:r>
          </w:p>
        </w:tc>
        <w:tc>
          <w:tcPr>
            <w:tcW w:type="dxa" w:w="355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Working assumptions and modeling simplifications with no safety consequence</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No control. Saying so explicitly keeps Tier 1 credible.</w:t>
            </w:r>
          </w:p>
        </w:tc>
      </w:tr>
    </w:tbl>
    <w:p>
      <w:pPr>
        <w:pStyle w:val="Heading2"/>
        <w:spacing w:after="110" w:before="240"/>
      </w:pPr>
      <w:r>
        <w:rPr>
          <w:rFonts w:ascii="Cambria" w:cs="Cambria" w:eastAsia="Cambria" w:hAnsi="Cambria"/>
          <w:b/>
          <w:bCs/>
          <w:color w:val="1F4380"/>
          <w:sz w:val="24"/>
          <w:szCs w:val="24"/>
        </w:rPr>
        <w:t xml:space="preserve">6.4  States</w:t>
      </w:r>
    </w:p>
    <w:p>
      <w:pPr>
        <w:keepNext/>
        <w:spacing w:after="60" w:before="160"/>
        <w:jc w:val="center"/>
      </w:pPr>
      <w:r>
        <w:drawing>
          <wp:inline distT="0" distB="0" distL="0" distR="0">
            <wp:extent cx="5943600" cy="2495550"/>
            <wp:effectExtent t="0" r="0" b="0" l="0"/>
            <wp:docPr id="1" name="fig08" descr="States of an assumption and the transitions between them."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49555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8.  </w:t>
      </w:r>
      <w:r>
        <w:rPr>
          <w:rFonts w:ascii="Calibri" w:cs="Calibri" w:eastAsia="Calibri" w:hAnsi="Calibri"/>
          <w:i/>
          <w:iCs/>
          <w:color w:val="4A5568"/>
          <w:sz w:val="18"/>
          <w:szCs w:val="18"/>
        </w:rPr>
        <w:t xml:space="preserve">States of an assumption and the transitions between them.</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872"/>
        <w:gridCol w:w="7488"/>
      </w:tblGrid>
      <w:tr>
        <w:trPr>
          <w:tblHeader/>
        </w:trPr>
        <w:tc>
          <w:tcPr>
            <w:tcW w:type="dxa" w:w="187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State</w:t>
            </w:r>
          </w:p>
        </w:tc>
        <w:tc>
          <w:tcPr>
            <w:tcW w:type="dxa" w:w="748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Meaning</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Unanchored</w:t>
            </w:r>
          </w:p>
        </w:tc>
        <w:tc>
          <w:tcPr>
            <w:tcW w:type="dxa" w:w="748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Recorded, with conditions, but no controlling document yet identified. Expected at proposal.</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Anchored</w:t>
            </w:r>
          </w:p>
        </w:tc>
        <w:tc>
          <w:tcPr>
            <w:tcW w:type="dxa" w:w="748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Every condition references a controlling document and revision.</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Verified</w:t>
            </w:r>
          </w:p>
        </w:tc>
        <w:tc>
          <w:tcPr>
            <w:tcW w:type="dxa" w:w="748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Conditions confirmed by test, analysis, inspection or demonstration.</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Monitored</w:t>
            </w:r>
          </w:p>
        </w:tc>
        <w:tc>
          <w:tcPr>
            <w:tcW w:type="dxa" w:w="748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Conditions that no test can close, watched through a named indicator with a defined trigger. This is an end state, not a waypoint.</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Failed</w:t>
            </w:r>
          </w:p>
        </w:tc>
        <w:tc>
          <w:tcPr>
            <w:tcW w:type="dxa" w:w="748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 condition no longer holds. The dependent hazard reopens in safety risk management. Not a defect to be cleared.</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Superseded</w:t>
            </w:r>
          </w:p>
        </w:tc>
        <w:tc>
          <w:tcPr>
            <w:tcW w:type="dxa" w:w="748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Replaced by a later assumption or converted to a requirement.</w:t>
            </w:r>
          </w:p>
        </w:tc>
      </w:tr>
    </w:tbl>
    <w:p>
      <w:pPr>
        <w:pStyle w:val="Heading2"/>
        <w:spacing w:after="110" w:before="240"/>
      </w:pPr>
      <w:r>
        <w:rPr>
          <w:rFonts w:ascii="Cambria" w:cs="Cambria" w:eastAsia="Cambria" w:hAnsi="Cambria"/>
          <w:b/>
          <w:bCs/>
          <w:color w:val="1F4380"/>
          <w:sz w:val="24"/>
          <w:szCs w:val="24"/>
        </w:rPr>
        <w:t xml:space="preserve">6.5  Dispositions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621"/>
        <w:gridCol w:w="6739"/>
      </w:tblGrid>
      <w:tr>
        <w:trPr>
          <w:tblHeader/>
        </w:trPr>
        <w:tc>
          <w:tcPr>
            <w:tcW w:type="dxa" w:w="262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Disposition</w:t>
            </w:r>
          </w:p>
        </w:tc>
        <w:tc>
          <w:tcPr>
            <w:tcW w:type="dxa" w:w="673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When to use it</w:t>
            </w:r>
          </w:p>
        </w:tc>
      </w:tr>
      <w:tr>
        <w:trPr>
          <w:cantSplit/>
        </w:trPr>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Converted to requirement</w:t>
            </w:r>
          </w:p>
        </w:tc>
        <w:tc>
          <w:tcPr>
            <w:tcW w:type="dxa" w:w="673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Preferred. The condition is levied on a responsible party with an owner and a compliance path.</w:t>
            </w:r>
          </w:p>
        </w:tc>
      </w:tr>
      <w:tr>
        <w:trPr>
          <w:cantSplit/>
        </w:trPr>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Accepted</w:t>
            </w:r>
          </w:p>
        </w:tc>
        <w:tc>
          <w:tcPr>
            <w:tcW w:type="dxa" w:w="673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assumption stands, with a named acceptor, and stays under control.</w:t>
            </w:r>
          </w:p>
        </w:tc>
      </w:tr>
      <w:tr>
        <w:trPr>
          <w:cantSplit/>
        </w:trPr>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Transferred to operator</w:t>
            </w:r>
          </w:p>
        </w:tc>
        <w:tc>
          <w:tcPr>
            <w:tcW w:type="dxa" w:w="673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condition is the operator's to hold, and the transfer is documented.</w:t>
            </w:r>
          </w:p>
        </w:tc>
      </w:tr>
      <w:tr>
        <w:trPr>
          <w:cantSplit/>
        </w:trPr>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Retired</w:t>
            </w:r>
          </w:p>
        </w:tc>
        <w:tc>
          <w:tcPr>
            <w:tcW w:type="dxa" w:w="673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assumption no longer applies.</w:t>
            </w:r>
          </w:p>
        </w:tc>
      </w:tr>
      <w:tr>
        <w:trPr>
          <w:cantSplit/>
        </w:trPr>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Open</w:t>
            </w:r>
          </w:p>
        </w:tc>
        <w:tc>
          <w:tcPr>
            <w:tcW w:type="dxa" w:w="673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No disposition yet.</w:t>
            </w:r>
          </w:p>
        </w:tc>
      </w:tr>
    </w:tbl>
    <w:p>
      <w:pPr>
        <w:pStyle w:val="Heading1"/>
        <w:spacing w:after="160" w:before="360"/>
      </w:pPr>
      <w:r>
        <w:rPr>
          <w:rFonts w:ascii="Cambria" w:cs="Cambria" w:eastAsia="Cambria" w:hAnsi="Cambria"/>
          <w:b/>
          <w:bCs/>
          <w:color w:val="132A4E"/>
          <w:sz w:val="30"/>
          <w:szCs w:val="30"/>
        </w:rPr>
        <w:t xml:space="preserve">7.  Detecting change: the re-confirmation sweep</w:t>
      </w:r>
    </w:p>
    <w:p>
      <w:pPr>
        <w:spacing w:after="120" w:line="276"/>
      </w:pPr>
      <w:r>
        <w:rPr>
          <w:rFonts w:ascii="Calibri" w:cs="Calibri" w:eastAsia="Calibri" w:hAnsi="Calibri"/>
          <w:color w:val="1A2333"/>
          <w:sz w:val="21"/>
          <w:szCs w:val="21"/>
        </w:rPr>
        <w:t xml:space="preserve">The sweep compares the revision recorded against each condition with the revision currently in force. Any difference flags the assumption for re-confirmation.</w:t>
      </w:r>
    </w:p>
    <w:p>
      <w:pPr>
        <w:keepNext/>
        <w:spacing w:after="60" w:before="160"/>
        <w:jc w:val="center"/>
      </w:pPr>
      <w:r>
        <w:drawing>
          <wp:inline distT="0" distB="0" distL="0" distR="0">
            <wp:extent cx="5943600" cy="2257425"/>
            <wp:effectExtent t="0" r="0" b="0" l="0"/>
            <wp:docPr id="1" name="fig09" descr="The re-confirmation sweep. A revision mismatch is the signal, whichever regime holds the documen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257425"/>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9.  </w:t>
      </w:r>
      <w:r>
        <w:rPr>
          <w:rFonts w:ascii="Calibri" w:cs="Calibri" w:eastAsia="Calibri" w:hAnsi="Calibri"/>
          <w:i/>
          <w:iCs/>
          <w:color w:val="4A5568"/>
          <w:sz w:val="18"/>
          <w:szCs w:val="18"/>
        </w:rPr>
        <w:t xml:space="preserve">The re-confirmation sweep. A revision mismatch is the signal, whichever regime holds the document.</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7114"/>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Element</w:t>
            </w:r>
          </w:p>
        </w:tc>
        <w:tc>
          <w:tcPr>
            <w:tcW w:type="dxa" w:w="711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Guidance</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Owner</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SMS safety assurance</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Frequency</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At an interval set in the program safety plan, and before every design review</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Inputs</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Current revision of each anchor document, supplied by the custodian for that control regime</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When a flag is raised</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assumption owner confirms the condition still holds and updates the recorded revision, or reopens the dependent hazard in safety risk management</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Record</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Outcome, date and person confirming. The "last confirmed" date is updated.</w:t>
            </w:r>
          </w:p>
        </w:tc>
      </w:tr>
    </w:tbl>
    <w:p>
      <w:pPr>
        <w:spacing w:after="120"/>
      </w:pP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c>
          <w:tcPr>
            <w:tcW w:type="dxa" w:w="9360"/>
            <w:shd w:fill="FBEBDC" w:color="auto" w:val="clear"/>
            <w:tcMar>
              <w:top w:type="dxa" w:w="130"/>
              <w:left w:type="dxa" w:w="200"/>
              <w:bottom w:type="dxa" w:w="130"/>
              <w:right w:type="dxa" w:w="200"/>
            </w:tcMar>
          </w:tcPr>
          <w:p>
            <w:pPr>
              <w:spacing w:after="70" w:line="276"/>
            </w:pPr>
            <w:r>
              <w:rPr>
                <w:rFonts w:ascii="Calibri" w:cs="Calibri" w:eastAsia="Calibri" w:hAnsi="Calibri"/>
                <w:b/>
                <w:bCs/>
                <w:color w:val="B4530C"/>
                <w:sz w:val="21"/>
                <w:szCs w:val="21"/>
              </w:rPr>
              <w:t xml:space="preserve">Two honest limits</w:t>
            </w:r>
          </w:p>
          <w:p>
            <w:pPr>
              <w:spacing w:after="80" w:line="276"/>
            </w:pPr>
            <w:r>
              <w:rPr>
                <w:rFonts w:ascii="Calibri" w:cs="Calibri" w:eastAsia="Calibri" w:hAnsi="Calibri"/>
                <w:color w:val="1A2333"/>
                <w:sz w:val="20"/>
                <w:szCs w:val="20"/>
              </w:rPr>
              <w:t xml:space="preserve">Latency. The sweep finds movement at the next sweep, not on the day of the change. A trigger inside the change process would be faster. The sweep is slower, but it costs other functions nothing and it covers all three control regimes.</w:t>
            </w:r>
          </w:p>
          <w:p>
            <w:pPr>
              <w:spacing w:after="0" w:line="276"/>
            </w:pPr>
            <w:r>
              <w:rPr>
                <w:rFonts w:ascii="Calibri" w:cs="Calibri" w:eastAsia="Calibri" w:hAnsi="Calibri"/>
                <w:color w:val="1A2333"/>
                <w:sz w:val="20"/>
                <w:szCs w:val="20"/>
              </w:rPr>
              <w:t xml:space="preserve">Single point of failure. The sweep is only as good as the current revisions it compares against. Each anchor document needs a named custodian who keeps its revision current.</w:t>
            </w:r>
          </w:p>
        </w:tc>
      </w:tr>
    </w:tbl>
    <w:p>
      <w:pPr>
        <w:spacing w:after="100"/>
      </w:pPr>
    </w:p>
    <w:p>
      <w:pPr>
        <w:spacing w:after="120" w:line="276"/>
      </w:pPr>
      <w:r>
        <w:rPr>
          <w:rFonts w:ascii="Calibri" w:cs="Calibri" w:eastAsia="Calibri" w:hAnsi="Calibri"/>
          <w:color w:val="1A2333"/>
          <w:sz w:val="21"/>
          <w:szCs w:val="21"/>
        </w:rPr>
        <w:t xml:space="preserve">On model-based programs, the same comparison can run continuously as a model validation rule. See section 10.</w:t>
      </w:r>
    </w:p>
    <w:p>
      <w:r>
        <w:br w:type="page"/>
      </w:r>
    </w:p>
    <w:p>
      <w:pPr>
        <w:pStyle w:val="Heading1"/>
        <w:spacing w:after="160" w:before="360"/>
      </w:pPr>
      <w:r>
        <w:rPr>
          <w:rFonts w:ascii="Cambria" w:cs="Cambria" w:eastAsia="Cambria" w:hAnsi="Cambria"/>
          <w:b/>
          <w:bCs/>
          <w:color w:val="132A4E"/>
          <w:sz w:val="30"/>
          <w:szCs w:val="30"/>
        </w:rPr>
        <w:t xml:space="preserve">8.  Steps by lifecycle state</w:t>
      </w:r>
    </w:p>
    <w:p>
      <w:pPr>
        <w:spacing w:after="120" w:line="276"/>
      </w:pPr>
      <w:r>
        <w:rPr>
          <w:rFonts w:ascii="Calibri" w:cs="Calibri" w:eastAsia="Calibri" w:hAnsi="Calibri"/>
          <w:color w:val="1A2333"/>
          <w:sz w:val="21"/>
          <w:szCs w:val="21"/>
        </w:rPr>
        <w:t xml:space="preserve">Assumptions are written at proposal, when almost nothing is fixed. The documents they point at appear in sequence. Each one lets a further set of assumptions be anchored. Programs should not wait for a mature design. They should anchor progressively, and keep count of what is still unanchored.</w:t>
      </w:r>
    </w:p>
    <w:p>
      <w:pPr>
        <w:keepNext/>
        <w:spacing w:after="60" w:before="160"/>
        <w:jc w:val="center"/>
      </w:pPr>
      <w:r>
        <w:drawing>
          <wp:inline distT="0" distB="0" distL="0" distR="0">
            <wp:extent cx="5943600" cy="3086100"/>
            <wp:effectExtent t="0" r="0" b="0" l="0"/>
            <wp:docPr id="1" name="fig10" descr="When each kind of anchor document typically becomes available, and how the unanchored population should fall. Illustrativ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10.  </w:t>
      </w:r>
      <w:r>
        <w:rPr>
          <w:rFonts w:ascii="Calibri" w:cs="Calibri" w:eastAsia="Calibri" w:hAnsi="Calibri"/>
          <w:i/>
          <w:iCs/>
          <w:color w:val="4A5568"/>
          <w:sz w:val="18"/>
          <w:szCs w:val="18"/>
        </w:rPr>
        <w:t xml:space="preserve">When each kind of anchor document typically becomes available, and how the unanchored population should fall. Illustrative.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995"/>
        <w:gridCol w:w="2621"/>
        <w:gridCol w:w="3744"/>
      </w:tblGrid>
      <w:tr>
        <w:trPr>
          <w:tblHeader/>
        </w:trPr>
        <w:tc>
          <w:tcPr>
            <w:tcW w:type="dxa" w:w="2995"/>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Anchor document</w:t>
            </w:r>
          </w:p>
        </w:tc>
        <w:tc>
          <w:tcPr>
            <w:tcW w:type="dxa" w:w="262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Typically available</w:t>
            </w:r>
          </w:p>
        </w:tc>
        <w:tc>
          <w:tcPr>
            <w:tcW w:type="dxa" w:w="374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Assumptions it can anchor</w:t>
            </w:r>
          </w:p>
        </w:tc>
      </w:tr>
      <w:tr>
        <w:trPr>
          <w:cantSplit/>
        </w:trPr>
        <w:tc>
          <w:tcPr>
            <w:tcW w:type="dxa" w:w="2995"/>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System specification</w:t>
            </w:r>
          </w:p>
        </w:tc>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Early design</w:t>
            </w:r>
          </w:p>
        </w:tc>
        <w:tc>
          <w:tcPr>
            <w:tcW w:type="dxa" w:w="374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Operating environment, performance envelope</w:t>
            </w:r>
          </w:p>
        </w:tc>
      </w:tr>
      <w:tr>
        <w:trPr>
          <w:cantSplit/>
        </w:trPr>
        <w:tc>
          <w:tcPr>
            <w:tcW w:type="dxa" w:w="2995"/>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Subsystem and interface requirements</w:t>
            </w:r>
          </w:p>
        </w:tc>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Development</w:t>
            </w:r>
          </w:p>
        </w:tc>
        <w:tc>
          <w:tcPr>
            <w:tcW w:type="dxa" w:w="374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Interface, installation, thermal, loads, duty cycle</w:t>
            </w:r>
          </w:p>
        </w:tc>
      </w:tr>
      <w:tr>
        <w:trPr>
          <w:cantSplit/>
        </w:trPr>
        <w:tc>
          <w:tcPr>
            <w:tcW w:type="dxa" w:w="2995"/>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Detailed design definition</w:t>
            </w:r>
          </w:p>
        </w:tc>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Detail design through CDR</w:t>
            </w:r>
          </w:p>
        </w:tc>
        <w:tc>
          <w:tcPr>
            <w:tcW w:type="dxa" w:w="374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Item-level assumptions at specific revisions</w:t>
            </w:r>
          </w:p>
        </w:tc>
      </w:tr>
      <w:tr>
        <w:trPr>
          <w:cantSplit/>
        </w:trPr>
        <w:tc>
          <w:tcPr>
            <w:tcW w:type="dxa" w:w="2995"/>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Maintenance program and procedures</w:t>
            </w:r>
          </w:p>
        </w:tc>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Often late. Sometimes customer-owned.</w:t>
            </w:r>
          </w:p>
        </w:tc>
        <w:tc>
          <w:tcPr>
            <w:tcW w:type="dxa" w:w="374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Inspection intervals, MEL conditions, crew and maintainer procedures</w:t>
            </w:r>
          </w:p>
        </w:tc>
      </w:tr>
      <w:tr>
        <w:trPr>
          <w:cantSplit/>
        </w:trPr>
        <w:tc>
          <w:tcPr>
            <w:tcW w:type="dxa" w:w="2995"/>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Training curricula and qualification</w:t>
            </w:r>
          </w:p>
        </w:tc>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Late, and revised continuously in service</w:t>
            </w:r>
          </w:p>
        </w:tc>
        <w:tc>
          <w:tcPr>
            <w:tcW w:type="dxa" w:w="374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Competence, recency, workload, detection performance</w:t>
            </w:r>
          </w:p>
        </w:tc>
      </w:tr>
    </w:tbl>
    <w:p>
      <w:pPr>
        <w:spacing w:after="100"/>
      </w:pPr>
    </w:p>
    <w:p>
      <w:pPr>
        <w:spacing w:after="120" w:line="276"/>
      </w:pPr>
      <w:r>
        <w:rPr>
          <w:rFonts w:ascii="Calibri" w:cs="Calibri" w:eastAsia="Calibri" w:hAnsi="Calibri"/>
          <w:color w:val="1A2333"/>
          <w:sz w:val="21"/>
          <w:szCs w:val="21"/>
        </w:rPr>
        <w:t xml:space="preserve">Some assumptions cannot be confirmed until the maintenance program and training are settled. On many programs that is at or after entry into service. Those assumptions stay open by design. Record them as open. Do not record a confirmation nobody made.</w:t>
      </w:r>
    </w:p>
    <w:p>
      <w:pPr>
        <w:pStyle w:val="Heading2"/>
        <w:spacing w:after="110" w:before="240"/>
      </w:pPr>
      <w:r>
        <w:rPr>
          <w:rFonts w:ascii="Cambria" w:cs="Cambria" w:eastAsia="Cambria" w:hAnsi="Cambria"/>
          <w:b/>
          <w:bCs/>
          <w:color w:val="1F4380"/>
          <w:sz w:val="24"/>
          <w:szCs w:val="24"/>
        </w:rPr>
        <w:t xml:space="preserve">8.1  Proposal and pre-award</w:t>
      </w:r>
    </w:p>
    <w:p>
      <w:pPr>
        <w:spacing w:after="120" w:line="276"/>
      </w:pPr>
      <w:r>
        <w:rPr>
          <w:rFonts w:ascii="Calibri" w:cs="Calibri" w:eastAsia="Calibri" w:hAnsi="Calibri"/>
          <w:color w:val="1A2333"/>
          <w:sz w:val="21"/>
          <w:szCs w:val="21"/>
        </w:rPr>
        <w:t xml:space="preserve">No baselines exist. Nothing can be anchored, and that is expected. This state must produce a written record of what is assumed and why, made by the people who still know.</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Create a record for every assumption that closes or reduces a hazard: identifier, owner, statement, rationale.</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Write each condition so a reader can answer yes or no.</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Systems Engineering</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For inherited assumptions, record the source program, source record, revision and basis of the similarity claim.</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Capture the hazards and risk controls the borrowed assumptions served on the source program.</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Flag assumptions about people and organizations separately. A parts comparison will not surface them.</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Mark every assumption unanchored. Start the count.</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 Safety Assurance</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Include the cost of discharging assumptions in the bid.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Program Management</w:t>
            </w:r>
          </w:p>
        </w:tc>
      </w:tr>
    </w:tbl>
    <w:p>
      <w:pPr>
        <w:spacing w:after="80"/>
      </w:pPr>
    </w:p>
    <w:p>
      <w:pPr>
        <w:spacing w:after="120" w:line="276"/>
      </w:pPr>
      <w:r>
        <w:rPr>
          <w:rFonts w:ascii="Calibri" w:cs="Calibri" w:eastAsia="Calibri" w:hAnsi="Calibri"/>
          <w:i/>
          <w:iCs/>
          <w:color w:val="4A5568"/>
          <w:sz w:val="20"/>
          <w:szCs w:val="20"/>
        </w:rPr>
        <w:t xml:space="preserve">This is the state where the work is cheapest and where programs currently do none of it.</w:t>
      </w:r>
    </w:p>
    <w:p>
      <w:pPr>
        <w:pStyle w:val="Heading2"/>
        <w:spacing w:after="110" w:before="240"/>
      </w:pPr>
      <w:r>
        <w:rPr>
          <w:rFonts w:ascii="Cambria" w:cs="Cambria" w:eastAsia="Cambria" w:hAnsi="Cambria"/>
          <w:b/>
          <w:bCs/>
          <w:color w:val="1F4380"/>
          <w:sz w:val="24"/>
          <w:szCs w:val="24"/>
        </w:rPr>
        <w:t xml:space="preserve">8.2  Concept and early design</w:t>
      </w:r>
    </w:p>
    <w:p>
      <w:pPr>
        <w:spacing w:after="120" w:line="276"/>
      </w:pPr>
      <w:r>
        <w:rPr>
          <w:rFonts w:ascii="Calibri" w:cs="Calibri" w:eastAsia="Calibri" w:hAnsi="Calibri"/>
          <w:color w:val="1A2333"/>
          <w:sz w:val="21"/>
          <w:szCs w:val="21"/>
        </w:rPr>
        <w:t xml:space="preserve">The first hazard analysis shows which assumptions actually carry risk credit. This is where tiering happens, and where inherited risk acceptance is replaced by a decision made on this program.</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Perform system-level hazard identification. Test each assumption: does a hazard reopen if it fails?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Assign a tier to every assumption.</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Name a risk acceptor on this program for every Tier 1 assumption.</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 Accountable Executive or delegate</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Confirm the organizational system description bounds the scope.</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Anchor operating-environment and performance assumptions to the system specification.</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Stand up the assumption register, in a spreadsheet or in the model.</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 Safety Assurance</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Agree the identifier convention so references stay stable.</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Configuration Management</w:t>
            </w:r>
          </w:p>
        </w:tc>
      </w:tr>
    </w:tbl>
    <w:p>
      <w:pPr>
        <w:spacing w:after="80"/>
      </w:pPr>
    </w:p>
    <w:p>
      <w:pPr>
        <w:spacing w:after="120" w:line="276"/>
      </w:pPr>
      <w:r>
        <w:rPr>
          <w:rFonts w:ascii="Calibri" w:cs="Calibri" w:eastAsia="Calibri" w:hAnsi="Calibri"/>
          <w:i/>
          <w:iCs/>
          <w:color w:val="4A5568"/>
          <w:sz w:val="20"/>
          <w:szCs w:val="20"/>
        </w:rPr>
        <w:t xml:space="preserve">If tiering is done well here, everything downstream stays affordable. If it is done badly, the practice will be abandoned within a year.</w:t>
      </w:r>
    </w:p>
    <w:p>
      <w:pPr>
        <w:pStyle w:val="Heading2"/>
        <w:spacing w:after="110" w:before="240"/>
      </w:pPr>
      <w:r>
        <w:rPr>
          <w:rFonts w:ascii="Cambria" w:cs="Cambria" w:eastAsia="Cambria" w:hAnsi="Cambria"/>
          <w:b/>
          <w:bCs/>
          <w:color w:val="1F4380"/>
          <w:sz w:val="24"/>
          <w:szCs w:val="24"/>
        </w:rPr>
        <w:t xml:space="preserve">8.3  Development and subsystem design</w:t>
      </w:r>
    </w:p>
    <w:p>
      <w:pPr>
        <w:spacing w:after="120" w:line="276"/>
      </w:pPr>
      <w:r>
        <w:rPr>
          <w:rFonts w:ascii="Calibri" w:cs="Calibri" w:eastAsia="Calibri" w:hAnsi="Calibri"/>
          <w:color w:val="1A2333"/>
          <w:sz w:val="21"/>
          <w:szCs w:val="21"/>
        </w:rPr>
        <w:t xml:space="preserve">Most assumptions that fail are about an item's surroundings, not the item. This state makes those assumptions anchorable. It is the highest-yield state in the sequence.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Push hazard analysis to subsystem level. Restate conditions at that level.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Anchor interface, installation, thermal, loads and duty-cycle assumptions to subsystem and interface requirements.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Systems Engineering</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Identify the maintenance, procedure and training documents assumptions depend on. Record each with a custodian.</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Systems Engineering, 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Convert conditions to derived requirements wherever a responsible party can be named.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Systems Engineering, 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Flow assumption ownership and reporting duties to suppliers through interface agreements and contracts.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Supply Chain</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Begin the sweep. Report unanchored Tier 1 assumptions at preliminary design review.</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 Safety Assurance, Program Management</w:t>
            </w:r>
          </w:p>
        </w:tc>
      </w:tr>
    </w:tbl>
    <w:p>
      <w:pPr>
        <w:spacing w:after="80"/>
      </w:pPr>
    </w:p>
    <w:p>
      <w:pPr>
        <w:spacing w:after="120" w:line="276"/>
      </w:pPr>
      <w:r>
        <w:rPr>
          <w:rFonts w:ascii="Calibri" w:cs="Calibri" w:eastAsia="Calibri" w:hAnsi="Calibri"/>
          <w:i/>
          <w:iCs/>
          <w:color w:val="4A5568"/>
          <w:sz w:val="20"/>
          <w:szCs w:val="20"/>
        </w:rPr>
        <w:t xml:space="preserve">In the worked example, three of the four broken conditions become visible here if anyone looks.</w:t>
      </w:r>
    </w:p>
    <w:p>
      <w:pPr>
        <w:pStyle w:val="Heading2"/>
        <w:spacing w:after="110" w:before="240"/>
      </w:pPr>
      <w:r>
        <w:rPr>
          <w:rFonts w:ascii="Cambria" w:cs="Cambria" w:eastAsia="Cambria" w:hAnsi="Cambria"/>
          <w:b/>
          <w:bCs/>
          <w:color w:val="1F4380"/>
          <w:sz w:val="24"/>
          <w:szCs w:val="24"/>
        </w:rPr>
        <w:t xml:space="preserve">8.4  Detail design through critical design review</w:t>
      </w:r>
    </w:p>
    <w:p>
      <w:pPr>
        <w:spacing w:after="120" w:line="276"/>
      </w:pPr>
      <w:r>
        <w:rPr>
          <w:rFonts w:ascii="Calibri" w:cs="Calibri" w:eastAsia="Calibri" w:hAnsi="Calibri"/>
          <w:color w:val="1A2333"/>
          <w:sz w:val="21"/>
          <w:szCs w:val="21"/>
        </w:rPr>
        <w:t xml:space="preserve">Until now, "the hardware is the same" has been an assertion. Now there is enough definition on both programs to compare them. This is the last inexpensive point to find that an inherited assumption does not hold.</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Anchor remaining assumptions to specific items at specific revisions.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For every inherited assumption, compare source and receiving programs condition by condition, not part number by part number.</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Systems Engineering, 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Return any condition that cannot be verified against this program's own data to safety risk management.</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Raise any Tier 1 assumption without a named risk acceptor as a finding.</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Check operator and maintainer assumptions against draft procedures and task analysis.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Hold the review criterion: unanchored Tier 1 assumptions at or below the agreed threshold.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Program Management</w:t>
            </w:r>
          </w:p>
        </w:tc>
      </w:tr>
    </w:tbl>
    <w:p>
      <w:pPr>
        <w:spacing w:after="80"/>
      </w:pPr>
    </w:p>
    <w:p>
      <w:pPr>
        <w:spacing w:after="120" w:line="276"/>
      </w:pPr>
      <w:r>
        <w:rPr>
          <w:rFonts w:ascii="Calibri" w:cs="Calibri" w:eastAsia="Calibri" w:hAnsi="Calibri"/>
          <w:i/>
          <w:iCs/>
          <w:color w:val="4A5568"/>
          <w:sz w:val="20"/>
          <w:szCs w:val="20"/>
        </w:rPr>
        <w:t xml:space="preserve">If only two steps in this document are adopted, adopt the condition-by-condition comparison here and the sweep in section 7.</w:t>
      </w:r>
    </w:p>
    <w:p>
      <w:pPr>
        <w:pStyle w:val="Heading2"/>
        <w:spacing w:after="110" w:before="240"/>
      </w:pPr>
      <w:r>
        <w:rPr>
          <w:rFonts w:ascii="Cambria" w:cs="Cambria" w:eastAsia="Cambria" w:hAnsi="Cambria"/>
          <w:b/>
          <w:bCs/>
          <w:color w:val="1F4380"/>
          <w:sz w:val="24"/>
          <w:szCs w:val="24"/>
        </w:rPr>
        <w:t xml:space="preserve">8.5  Verification, audits and certification</w:t>
      </w:r>
    </w:p>
    <w:p>
      <w:pPr>
        <w:spacing w:after="120" w:line="276"/>
      </w:pPr>
      <w:r>
        <w:rPr>
          <w:rFonts w:ascii="Calibri" w:cs="Calibri" w:eastAsia="Calibri" w:hAnsi="Calibri"/>
          <w:color w:val="1A2333"/>
          <w:sz w:val="21"/>
          <w:szCs w:val="21"/>
        </w:rPr>
        <w:t xml:space="preserve">Evidence replaces assertion. A failed assumption now becomes a change with cost and schedule consequences.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Confirm conditions by test, analysis, inspection or demonstration. Move them to verified.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Systems Engineering, Quality</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For conditions no test can close, define the monitor: indicator, data source, trigger. Move them to monitored.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 Safety Assurance, Human Factors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Treat a condition falsified by test as a reopened hazard. Any resulting design change follows the normal change process.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Confirm assumed task times, alerting and detection performance by test or simulation.</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Human Factors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Validate the risk controls that depend on assumptions.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Decide whether assumption confirmation evidence enters the certification evidence set.</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 Certification lead</w:t>
            </w:r>
          </w:p>
        </w:tc>
      </w:tr>
    </w:tbl>
    <w:p>
      <w:pPr>
        <w:pStyle w:val="Heading2"/>
        <w:spacing w:after="110" w:before="240"/>
      </w:pPr>
      <w:r>
        <w:rPr>
          <w:rFonts w:ascii="Cambria" w:cs="Cambria" w:eastAsia="Cambria" w:hAnsi="Cambria"/>
          <w:b/>
          <w:bCs/>
          <w:color w:val="1F4380"/>
          <w:sz w:val="24"/>
          <w:szCs w:val="24"/>
        </w:rPr>
        <w:t xml:space="preserve">8.6  Production</w:t>
      </w:r>
    </w:p>
    <w:p>
      <w:pPr>
        <w:spacing w:after="120" w:line="276"/>
      </w:pPr>
      <w:r>
        <w:rPr>
          <w:rFonts w:ascii="Calibri" w:cs="Calibri" w:eastAsia="Calibri" w:hAnsi="Calibri"/>
          <w:color w:val="1A2333"/>
          <w:sz w:val="21"/>
          <w:szCs w:val="21"/>
        </w:rPr>
        <w:t xml:space="preserve">Change volume rises. The risk is that the discipline lapses quietly. The work here keeps the mechanism running.</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Keep the sweep running at the planned interval.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 Safety Assurance</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When a recurring deviation is made permanent, reopen the assumptions it touches.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Safety Risk Management, Quality</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Treat repeated nonconformances as possible invalid manufacturing or human-factors assumptions.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Quality, 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Check whether re-confirmations are actually performed or quietly waived.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 Safety Assurance</w:t>
            </w:r>
          </w:p>
        </w:tc>
      </w:tr>
    </w:tbl>
    <w:p>
      <w:pPr>
        <w:spacing w:after="80"/>
      </w:pPr>
    </w:p>
    <w:p>
      <w:pPr>
        <w:spacing w:after="120" w:line="276"/>
      </w:pPr>
      <w:r>
        <w:rPr>
          <w:rFonts w:ascii="Calibri" w:cs="Calibri" w:eastAsia="Calibri" w:hAnsi="Calibri"/>
          <w:i/>
          <w:iCs/>
          <w:color w:val="4A5568"/>
          <w:sz w:val="20"/>
          <w:szCs w:val="20"/>
        </w:rPr>
        <w:t xml:space="preserve">Procedure and training revisions generate no engineering change. The sweep catches them because those documents carry revisions too.</w:t>
      </w:r>
    </w:p>
    <w:p>
      <w:pPr>
        <w:pStyle w:val="Heading2"/>
        <w:spacing w:after="110" w:before="240"/>
      </w:pPr>
      <w:r>
        <w:rPr>
          <w:rFonts w:ascii="Cambria" w:cs="Cambria" w:eastAsia="Cambria" w:hAnsi="Cambria"/>
          <w:b/>
          <w:bCs/>
          <w:color w:val="1F4380"/>
          <w:sz w:val="24"/>
          <w:szCs w:val="24"/>
        </w:rPr>
        <w:t xml:space="preserve">8.7  In service, and handing on to the next program</w:t>
      </w:r>
    </w:p>
    <w:p>
      <w:pPr>
        <w:spacing w:after="120" w:line="276"/>
      </w:pPr>
      <w:r>
        <w:rPr>
          <w:rFonts w:ascii="Calibri" w:cs="Calibri" w:eastAsia="Calibri" w:hAnsi="Calibri"/>
          <w:color w:val="1A2333"/>
          <w:sz w:val="21"/>
          <w:szCs w:val="21"/>
        </w:rPr>
        <w:t xml:space="preserve">Field evidence is the only thing that tests assumptions about how the aircraft is actually flown and maintained. This is also where the program becomes the source the next program borrows from.</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Route continued operational safety findings to assumption owners, not only to hazard owners.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Track monitored assumptions against their triggers.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 Safety Assurance</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Re-confirm assumptions on schedule and on trigger. Track how long since each was confirmed.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 Safety Assurance</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Use configuration history to identify which aircraft a failed assumption affects.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Configuration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When exporting to another program, send conditions, anchors and evidence with each statement.</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Program Management, 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Do not release bare assumption statements to another program.</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color w:val="1F4380"/>
                <w:sz w:val="19"/>
                <w:szCs w:val="19"/>
              </w:rPr>
              <w:t xml:space="preserve">SMS</w:t>
            </w:r>
          </w:p>
        </w:tc>
      </w:tr>
    </w:tbl>
    <w:p>
      <w:pPr>
        <w:spacing w:after="80"/>
      </w:pPr>
    </w:p>
    <w:p>
      <w:pPr>
        <w:spacing w:after="120" w:line="276"/>
      </w:pPr>
      <w:r>
        <w:rPr>
          <w:rFonts w:ascii="Calibri" w:cs="Calibri" w:eastAsia="Calibri" w:hAnsi="Calibri"/>
          <w:i/>
          <w:iCs/>
          <w:color w:val="4A5568"/>
          <w:sz w:val="20"/>
          <w:szCs w:val="20"/>
        </w:rPr>
        <w:t xml:space="preserve">A program that exports well makes the next program cheaper. A program that exports badly makes it more dangerous.</w:t>
      </w:r>
    </w:p>
    <w:p>
      <w:pPr>
        <w:pStyle w:val="Heading1"/>
        <w:spacing w:after="160" w:before="360"/>
      </w:pPr>
      <w:r>
        <w:rPr>
          <w:rFonts w:ascii="Cambria" w:cs="Cambria" w:eastAsia="Cambria" w:hAnsi="Cambria"/>
          <w:b/>
          <w:bCs/>
          <w:color w:val="132A4E"/>
          <w:sz w:val="30"/>
          <w:szCs w:val="30"/>
        </w:rPr>
        <w:t xml:space="preserve">9.  Roles and responsibilities</w:t>
      </w:r>
    </w:p>
    <w:p>
      <w:pPr>
        <w:spacing w:after="120" w:line="276"/>
      </w:pPr>
      <w:r>
        <w:rPr>
          <w:rFonts w:ascii="Calibri" w:cs="Calibri" w:eastAsia="Calibri" w:hAnsi="Calibri"/>
          <w:color w:val="1A2333"/>
          <w:sz w:val="21"/>
          <w:szCs w:val="21"/>
        </w:rPr>
        <w:t xml:space="preserve">No single function owns this end to end today. That is why it falls through. The roles below assign each duty once.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808"/>
        <w:gridCol w:w="6552"/>
      </w:tblGrid>
      <w:tr>
        <w:trPr>
          <w:tblHeader/>
        </w:trPr>
        <w:tc>
          <w:tcPr>
            <w:tcW w:type="dxa" w:w="280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Role</w:t>
            </w:r>
          </w:p>
        </w:tc>
        <w:tc>
          <w:tcPr>
            <w:tcW w:type="dxa" w:w="655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Responsibility</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SMS Safety Assurance (owner)</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Owns the register, the sweep, the named-acceptor rule and the reported position. Monitors whether re-confirmations actually happen.</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Safety Risk Management</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Assigns tiers using the hazard analysis. Reopens assumptions that fail or cannot be verified. Routes in-service findings to assumption owners.</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Systems Engineering</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Writes conditions. Records anchors. Performs the source-to-receiving comparison. Converts conditions to requirements where possible.</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Human Factors</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Owns assumptions anchored in procedures and training. Validates claims about human performance by test, not assertion.</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Program Management</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Funds and schedules the work. Owns design review criteria and the reported position. Owns what is exported to the next program.</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Configuration Management (supplier)</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Supplies revision state for engineering documents and identifier discipline. Supports scoping of fleet impact from configuration history.</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Continued Airworthiness (supplier)</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Supplies current revisions of maintenance program documents.</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Training (supplier)</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Supplies current revisions of curricula and qualification standards.</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Supply Chain</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Flows assumption ownership and reporting duties to suppliers.</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Quality</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Supports verification and treats repeat nonconformances as assumption signals.</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Safety Accountable Executive</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Single accountable position. The only role with authority over both the cost pressure and the risk it creates.</w:t>
            </w:r>
          </w:p>
        </w:tc>
      </w:tr>
    </w:tbl>
    <w:p>
      <w:pPr>
        <w:pStyle w:val="Heading1"/>
        <w:spacing w:after="160" w:before="360"/>
      </w:pPr>
      <w:r>
        <w:rPr>
          <w:rFonts w:ascii="Cambria" w:cs="Cambria" w:eastAsia="Cambria" w:hAnsi="Cambria"/>
          <w:b/>
          <w:bCs/>
          <w:color w:val="132A4E"/>
          <w:sz w:val="30"/>
          <w:szCs w:val="30"/>
        </w:rPr>
        <w:t xml:space="preserve">10.  Implementation options</w:t>
      </w:r>
    </w:p>
    <w:p>
      <w:pPr>
        <w:spacing w:after="120" w:line="276"/>
      </w:pPr>
      <w:r>
        <w:rPr>
          <w:rFonts w:ascii="Calibri" w:cs="Calibri" w:eastAsia="Calibri" w:hAnsi="Calibri"/>
          <w:color w:val="1A2333"/>
          <w:sz w:val="21"/>
          <w:szCs w:val="21"/>
        </w:rPr>
        <w:t xml:space="preserve">The same record schema can be held in two ways. Programs should use one schema for both, so records move cleanly from one to the other.</w:t>
      </w:r>
    </w:p>
    <w:p>
      <w:pPr>
        <w:pStyle w:val="Heading2"/>
        <w:spacing w:after="110" w:before="240"/>
      </w:pPr>
      <w:r>
        <w:rPr>
          <w:rFonts w:ascii="Cambria" w:cs="Cambria" w:eastAsia="Cambria" w:hAnsi="Cambria"/>
          <w:b/>
          <w:bCs/>
          <w:color w:val="1F4380"/>
          <w:sz w:val="24"/>
          <w:szCs w:val="24"/>
        </w:rPr>
        <w:t xml:space="preserve">10.1  Assumption register</w:t>
      </w:r>
    </w:p>
    <w:p>
      <w:pPr>
        <w:spacing w:after="120" w:line="276"/>
      </w:pPr>
      <w:r>
        <w:rPr>
          <w:rFonts w:ascii="Calibri" w:cs="Calibri" w:eastAsia="Calibri" w:hAnsi="Calibri"/>
          <w:color w:val="1A2333"/>
          <w:sz w:val="21"/>
          <w:szCs w:val="21"/>
        </w:rPr>
        <w:t xml:space="preserve">A spreadsheet or database holding the fields in section 6. It works on every program, from the first day of proposal. It needs no model. The sweep is a manual or scripted comparison of recorded revisions against current revisions.</w:t>
      </w:r>
    </w:p>
    <w:p>
      <w:pPr>
        <w:spacing w:after="120" w:line="276"/>
      </w:pPr>
      <w:r>
        <w:rPr>
          <w:rFonts w:ascii="Calibri" w:cs="Calibri" w:eastAsia="Calibri" w:hAnsi="Calibri"/>
          <w:color w:val="1A2333"/>
          <w:sz w:val="21"/>
          <w:szCs w:val="21"/>
        </w:rPr>
        <w:t xml:space="preserve">This is the required starting point. Assumptions are created at proposal, before most programs have a model, and that is when capture matters most.</w:t>
      </w:r>
    </w:p>
    <w:p>
      <w:pPr>
        <w:pStyle w:val="Heading2"/>
        <w:spacing w:after="110" w:before="240"/>
      </w:pPr>
      <w:r>
        <w:rPr>
          <w:rFonts w:ascii="Cambria" w:cs="Cambria" w:eastAsia="Cambria" w:hAnsi="Cambria"/>
          <w:b/>
          <w:bCs/>
          <w:color w:val="1F4380"/>
          <w:sz w:val="24"/>
          <w:szCs w:val="24"/>
        </w:rPr>
        <w:t xml:space="preserve">10.2  Assumptions as requirement objects</w:t>
      </w:r>
    </w:p>
    <w:p>
      <w:pPr>
        <w:spacing w:after="120" w:line="276"/>
      </w:pPr>
      <w:r>
        <w:rPr>
          <w:rFonts w:ascii="Calibri" w:cs="Calibri" w:eastAsia="Calibri" w:hAnsi="Calibri"/>
          <w:color w:val="1A2333"/>
          <w:sz w:val="21"/>
          <w:szCs w:val="21"/>
        </w:rPr>
        <w:t xml:space="preserve">Assumptions can be held in requirements tooling as a distinct object type. On model-based programs using Cameo or MSOSA, a custom requirement type can carry the assumption fields. It inherits tables, matrices, relation maps and reporting without bespoke development.</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4680"/>
        <w:gridCol w:w="4680"/>
      </w:tblGrid>
      <w:tr>
        <w:trPr>
          <w:tblHeader/>
        </w:trPr>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this adds</w:t>
            </w:r>
          </w:p>
        </w:tc>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to watch</w:t>
            </w:r>
          </w:p>
        </w:tc>
      </w:tr>
      <w:tr>
        <w:trPr>
          <w:cantSplit/>
        </w:trPr>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Requirements quality criteria make conditions checkable by default.</w:t>
            </w:r>
          </w:p>
        </w:tc>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An assumption is accepted, not imposed. Housed with requirements, it may be treated as something to satisfy. The object type must look and read differently from a requirement.</w:t>
            </w:r>
          </w:p>
        </w:tc>
      </w:tr>
      <w:tr>
        <w:trPr>
          <w:cantSplit/>
        </w:trPr>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Model validation rules can enforce required fields and flag any anchor whose recorded revision differs from the current one. The sweep then runs continuously.</w:t>
            </w:r>
          </w:p>
        </w:tc>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Some conditions can only be monitored. The tool needs a monitored state distinct from verified.</w:t>
            </w:r>
          </w:p>
        </w:tc>
      </w:tr>
      <w:tr>
        <w:trPr>
          <w:cantSplit/>
        </w:trPr>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Relation maps show every assumption and hazard downstream of a document.</w:t>
            </w:r>
          </w:p>
        </w:tc>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Coverage stops at the model boundary. External documents need stub elements, each with a custodian who keeps its revision current.</w:t>
            </w:r>
          </w:p>
        </w:tc>
      </w:tr>
      <w:tr>
        <w:trPr>
          <w:cantSplit/>
        </w:trPr>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Conversion of a condition into a derived requirement is natural.</w:t>
            </w:r>
          </w:p>
        </w:tc>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color w:val="1A2333"/>
                <w:sz w:val="19"/>
                <w:szCs w:val="19"/>
              </w:rPr>
              <w:t xml:space="preserve">If change notifications and validation warnings are already ignored on a program, this inherits a dead control and gives false assurance.</w:t>
            </w:r>
          </w:p>
        </w:tc>
      </w:tr>
    </w:tbl>
    <w:p>
      <w:pPr>
        <w:spacing w:after="100"/>
      </w:pPr>
    </w:p>
    <w:p>
      <w:pPr>
        <w:spacing w:after="120" w:line="276"/>
      </w:pPr>
      <w:r>
        <w:rPr>
          <w:rFonts w:ascii="Calibri" w:cs="Calibri" w:eastAsia="Calibri" w:hAnsi="Calibri"/>
          <w:i/>
          <w:iCs/>
          <w:color w:val="4A5568"/>
          <w:sz w:val="20"/>
          <w:szCs w:val="20"/>
        </w:rPr>
        <w:t xml:space="preserve">A separate draft specification, "Assumption Control Profile for Cameo / MSOSA," describes one way to build this. It must be checked against each program's actual tool configuration before any build work.</w:t>
      </w:r>
    </w:p>
    <w:p>
      <w:pPr>
        <w:pStyle w:val="Heading2"/>
        <w:spacing w:after="110" w:before="240"/>
      </w:pPr>
      <w:r>
        <w:rPr>
          <w:rFonts w:ascii="Cambria" w:cs="Cambria" w:eastAsia="Cambria" w:hAnsi="Cambria"/>
          <w:b/>
          <w:bCs/>
          <w:color w:val="1F4380"/>
          <w:sz w:val="24"/>
          <w:szCs w:val="24"/>
        </w:rPr>
        <w:t xml:space="preserve">10.3  Recommended approach</w:t>
      </w:r>
    </w:p>
    <w:p>
      <w:pPr>
        <w:pStyle w:val="ListParagraph"/>
        <w:numPr>
          <w:ilvl w:val="0"/>
          <w:numId w:val="3"/>
        </w:numPr>
        <w:spacing w:after="80" w:line="276"/>
      </w:pPr>
      <w:r>
        <w:rPr>
          <w:rFonts w:ascii="Calibri" w:cs="Calibri" w:eastAsia="Calibri" w:hAnsi="Calibri"/>
          <w:color w:val="1A2333"/>
          <w:sz w:val="21"/>
          <w:szCs w:val="21"/>
        </w:rPr>
        <w:t xml:space="preserve">Start every program in the register at proposal.</w:t>
      </w:r>
    </w:p>
    <w:p>
      <w:pPr>
        <w:pStyle w:val="ListParagraph"/>
        <w:numPr>
          <w:ilvl w:val="0"/>
          <w:numId w:val="3"/>
        </w:numPr>
        <w:spacing w:after="80" w:line="276"/>
      </w:pPr>
      <w:r>
        <w:rPr>
          <w:rFonts w:ascii="Calibri" w:cs="Calibri" w:eastAsia="Calibri" w:hAnsi="Calibri"/>
          <w:color w:val="1A2333"/>
          <w:sz w:val="21"/>
          <w:szCs w:val="21"/>
        </w:rPr>
        <w:t xml:space="preserve">Move records into the model when the model is mature enough to hold them.</w:t>
      </w:r>
    </w:p>
    <w:p>
      <w:pPr>
        <w:pStyle w:val="ListParagraph"/>
        <w:numPr>
          <w:ilvl w:val="0"/>
          <w:numId w:val="3"/>
        </w:numPr>
        <w:spacing w:after="80" w:line="276"/>
      </w:pPr>
      <w:r>
        <w:rPr>
          <w:rFonts w:ascii="Calibri" w:cs="Calibri" w:eastAsia="Calibri" w:hAnsi="Calibri"/>
          <w:color w:val="1A2333"/>
          <w:sz w:val="21"/>
          <w:szCs w:val="21"/>
        </w:rPr>
        <w:t xml:space="preserve">Keep the register for programs with no model and for assumptions the model cannot represent.</w:t>
      </w:r>
    </w:p>
    <w:p>
      <w:pPr>
        <w:pStyle w:val="ListParagraph"/>
        <w:numPr>
          <w:ilvl w:val="0"/>
          <w:numId w:val="3"/>
        </w:numPr>
        <w:spacing w:after="80" w:line="276"/>
      </w:pPr>
      <w:r>
        <w:rPr>
          <w:rFonts w:ascii="Calibri" w:cs="Calibri" w:eastAsia="Calibri" w:hAnsi="Calibri"/>
          <w:color w:val="1A2333"/>
          <w:sz w:val="21"/>
          <w:szCs w:val="21"/>
        </w:rPr>
        <w:t xml:space="preserve">Use the same field names in both, so nothing is lost in the move.</w:t>
      </w:r>
    </w:p>
    <w:p>
      <w:pPr>
        <w:pStyle w:val="Heading1"/>
        <w:spacing w:after="160" w:before="360"/>
      </w:pPr>
      <w:r>
        <w:rPr>
          <w:rFonts w:ascii="Cambria" w:cs="Cambria" w:eastAsia="Cambria" w:hAnsi="Cambria"/>
          <w:b/>
          <w:bCs/>
          <w:color w:val="132A4E"/>
          <w:sz w:val="30"/>
          <w:szCs w:val="30"/>
        </w:rPr>
        <w:t xml:space="preserve">11.  Limits and open decisions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7114"/>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Item</w:t>
            </w:r>
          </w:p>
        </w:tc>
        <w:tc>
          <w:tcPr>
            <w:tcW w:type="dxa" w:w="711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Status</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Standards basis</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No standard requires an assumption register. This guidance is a practice we are building, and should be labeled as such.</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Affordability</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Applied to every assumption, this is unaffordable. Tiering decides whether it survives.</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Sweep latency</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Detection happens at the next sweep, not on the day of the change. Accepted in exchange for leaving other processes untouched.</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Revision custodians</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sweep depends on accurate current revisions. Each anchor document needs a named custodian.</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Supplier assumptions</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This guidance can record that a supplier holds an assumption. It cannot see inside the supplier's analysis.</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Incentives</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cost lands on the bid. The benefit lands on execution. This needs a governance answer from the Safety Accountable Executive, not a tooling answer.</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Certification evidence</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Open. Decide deliberately whether assumption confirmation evidence enters the certification evidence set.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Model scope</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Open per program. If the model does not represent the operator, maintenance organization and training organization, assumptions about people stay in the register.</w:t>
            </w:r>
          </w:p>
        </w:tc>
      </w:tr>
    </w:tbl>
    <w:p>
      <w:pPr>
        <w:pStyle w:val="Heading1"/>
        <w:spacing w:after="160" w:before="360"/>
      </w:pPr>
      <w:r>
        <w:rPr>
          <w:rFonts w:ascii="Cambria" w:cs="Cambria" w:eastAsia="Cambria" w:hAnsi="Cambria"/>
          <w:b/>
          <w:bCs/>
          <w:color w:val="132A4E"/>
          <w:sz w:val="30"/>
          <w:szCs w:val="30"/>
        </w:rPr>
        <w:t xml:space="preserve">Appendix A.  Glossary</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808"/>
        <w:gridCol w:w="6552"/>
      </w:tblGrid>
      <w:tr>
        <w:trPr>
          <w:tblHeader/>
        </w:trPr>
        <w:tc>
          <w:tcPr>
            <w:tcW w:type="dxa" w:w="280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Term</w:t>
            </w:r>
          </w:p>
        </w:tc>
        <w:tc>
          <w:tcPr>
            <w:tcW w:type="dxa" w:w="655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Definition</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Ground rules and assumptions (GR&amp;A)</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Statements a program adopts as true in order to bound analysis and design.</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Risk credit</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reduction in assessed risk that an assumption provides. If the assumption fails, the credit is withdrawn and the hazard reopens.</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Condition</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 single checkable claim that must be true for an assumption to hold.</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Anchor</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specific controlled document, item and revision that a condition depends on.</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Control regime</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One of the places the underlying facts are controlled: engineering configuration control, maintenance program and operational control, or training and competence control.</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Tier 1 assumption</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An assumption whose failure would reopen a hazard. Determined by safety risk management using the hazard analysis.</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Re-confirmation sweep</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A periodic comparison of the revision recorded against each condition with the revision currently in force.</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Re-adoption</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Bringing an assumption into a program only after a documented condition-by-condition comparison with the source program.</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color w:val="132A4E"/>
                <w:sz w:val="19"/>
                <w:szCs w:val="19"/>
              </w:rPr>
              <w:t xml:space="preserve">Risk acceptor</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color w:val="1A2333"/>
                <w:sz w:val="19"/>
                <w:szCs w:val="19"/>
              </w:rPr>
              <w:t xml:space="preserve">The named individual on the program who accepts the residual risk associated with an assumption.</w:t>
            </w:r>
          </w:p>
        </w:tc>
      </w:tr>
    </w:tbl>
    <w:p>
      <w:pPr>
        <w:pStyle w:val="Heading1"/>
        <w:spacing w:after="160" w:before="360"/>
      </w:pPr>
      <w:r>
        <w:rPr>
          <w:rFonts w:ascii="Cambria" w:cs="Cambria" w:eastAsia="Cambria" w:hAnsi="Cambria"/>
          <w:b/>
          <w:bCs/>
          <w:color w:val="132A4E"/>
          <w:sz w:val="30"/>
          <w:szCs w:val="30"/>
        </w:rPr>
        <w:t xml:space="preserve">Appendix B.  References</w:t>
      </w:r>
    </w:p>
    <w:p>
      <w:pPr>
        <w:pStyle w:val="ListParagraph"/>
        <w:numPr>
          <w:ilvl w:val="0"/>
          <w:numId w:val="3"/>
        </w:numPr>
        <w:spacing w:after="80" w:line="276"/>
      </w:pPr>
      <w:r>
        <w:rPr>
          <w:rFonts w:ascii="Calibri" w:cs="Calibri" w:eastAsia="Calibri" w:hAnsi="Calibri"/>
          <w:color w:val="1A2333"/>
          <w:sz w:val="21"/>
          <w:szCs w:val="21"/>
        </w:rPr>
        <w:t xml:space="preserve">SM-0001 Issue C, Safety Management System standard. Requirements for safety risk management, hazard records, risk acceptance and safety assurance.</w:t>
      </w:r>
    </w:p>
    <w:p>
      <w:pPr>
        <w:pStyle w:val="ListParagraph"/>
        <w:numPr>
          <w:ilvl w:val="0"/>
          <w:numId w:val="3"/>
        </w:numPr>
        <w:spacing w:after="80" w:line="276"/>
      </w:pPr>
      <w:r>
        <w:rPr>
          <w:rFonts w:ascii="Calibri" w:cs="Calibri" w:eastAsia="Calibri" w:hAnsi="Calibri"/>
          <w:color w:val="1A2333"/>
          <w:sz w:val="21"/>
          <w:szCs w:val="21"/>
        </w:rPr>
        <w:t xml:space="preserve">EIA-649-1, Configuration Management Requirements for Defense Contracts. Supports identifier discipline and revision state for engineering documents.</w:t>
      </w:r>
    </w:p>
    <w:p>
      <w:pPr>
        <w:pStyle w:val="ListParagraph"/>
        <w:numPr>
          <w:ilvl w:val="0"/>
          <w:numId w:val="3"/>
        </w:numPr>
        <w:spacing w:after="80" w:line="276"/>
      </w:pPr>
      <w:r>
        <w:rPr>
          <w:rFonts w:ascii="Calibri" w:cs="Calibri" w:eastAsia="Calibri" w:hAnsi="Calibri"/>
          <w:color w:val="1A2333"/>
          <w:sz w:val="21"/>
          <w:szCs w:val="21"/>
        </w:rPr>
        <w:t xml:space="preserve">GEIA-HB-649, Configuration Management Handbook. Supporting guidance.</w:t>
      </w:r>
    </w:p>
    <w:p>
      <w:pPr>
        <w:pStyle w:val="ListParagraph"/>
        <w:numPr>
          <w:ilvl w:val="0"/>
          <w:numId w:val="3"/>
        </w:numPr>
        <w:spacing w:after="80" w:line="276"/>
      </w:pPr>
      <w:r>
        <w:rPr>
          <w:rFonts w:ascii="Calibri" w:cs="Calibri" w:eastAsia="Calibri" w:hAnsi="Calibri"/>
          <w:color w:val="1A2333"/>
          <w:sz w:val="21"/>
          <w:szCs w:val="21"/>
        </w:rPr>
        <w:t xml:space="preserve">Assumption Control Profile for Cameo / MSOSA. Draft specification, companion to this document.</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r>
      <w:rPr>
        <w:rFonts w:ascii="Calibri" w:cs="Calibri" w:eastAsia="Calibri" w:hAnsi="Calibri"/>
        <w:color w:val="4A5568"/>
        <w:sz w:val="16"/>
        <w:szCs w:val="16"/>
      </w:rPr>
      <w:t xml:space="preserve"> of </w:t>
    </w:r>
    <w:r>
      <w:rPr>
        <w:rFonts w:ascii="Calibri" w:cs="Calibri" w:eastAsia="Calibri" w:hAnsi="Calibri"/>
        <w:color w:val="4A55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EEF" w:sz="4" w:space="6"/>
      </w:pBdr>
      <w:spacing w:after="200"/>
    </w:pPr>
    <w:r>
      <w:rPr>
        <w:rFonts w:ascii="Calibri" w:cs="Calibri" w:eastAsia="Calibri" w:hAnsi="Calibri"/>
        <w:color w:val="4A5568"/>
        <w:sz w:val="16"/>
        <w:szCs w:val="16"/>
      </w:rPr>
      <w:t xml:space="preserve">Controlling Inherited Ground Rules and Assumptions   ·   Draft guidance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abstractNum w:abstractNumId="3" w15:restartNumberingAfterBreak="0">
    <w:multiLevelType w:val="hybridMultilevel"/>
    <w:lvl w:ilvl="0" w15:tentative="1">
      <w:start w:val="1"/>
      <w:numFmt w:val="decimal"/>
      <w:lvlText w:val="%1."/>
      <w:lvlJc w:val="left"/>
      <w:pPr>
        <w:ind w:left="504" w:hanging="431"/>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df2dd67e5c354e2a80f21efcaa2761d95b531e.png"/><Relationship Id="rId10" Type="http://schemas.openxmlformats.org/officeDocument/2006/relationships/image" Target="media/3435a3dfe09ab34f33bc3095e34a6da43b6ec97b.png"/><Relationship Id="rId11" Type="http://schemas.openxmlformats.org/officeDocument/2006/relationships/image" Target="media/220cb95b531d9aaf4d22e4dc369f9534c0470e45.png"/><Relationship Id="rId12" Type="http://schemas.openxmlformats.org/officeDocument/2006/relationships/image" Target="media/16c402ca155ecdbece9e73c73c89122833d9dbf2.png"/><Relationship Id="rId13" Type="http://schemas.openxmlformats.org/officeDocument/2006/relationships/image" Target="media/b500193fb0e2f500ada5f6b7eb86c30534b938d7.png"/><Relationship Id="rId14" Type="http://schemas.openxmlformats.org/officeDocument/2006/relationships/image" Target="media/903a91efce902dddd48bd63efe45b89193276b9e.png"/><Relationship Id="rId15" Type="http://schemas.openxmlformats.org/officeDocument/2006/relationships/image" Target="media/48914101cf113ddae1501944710ba24aa1b2c8f9.png"/><Relationship Id="rId16" Type="http://schemas.openxmlformats.org/officeDocument/2006/relationships/image" Target="media/99f1dd674acfafd63f79f22a1f03388c18526a63.png"/><Relationship Id="rId17" Type="http://schemas.openxmlformats.org/officeDocument/2006/relationships/image" Target="media/143a9d3cd1bd36fa8b9f7c92bad1fc5fcdfb0c2f.png"/><Relationship Id="rId18" Type="http://schemas.openxmlformats.org/officeDocument/2006/relationships/image" Target="media/fea70cc4704269347e43cefed8fd14bc982f7e8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Controlling Inherited Ground Rules and Assumptions</dc:title>
  <dc:creator>Draft guidance</dc:creator>
  <cp:lastModifiedBy>Un-named</cp:lastModifiedBy>
  <cp:revision>1</cp:revision>
  <dcterms:created xsi:type="dcterms:W3CDTF">2026-10-01T23:22:57.396Z</dcterms:created>
  <dcterms:modified xsi:type="dcterms:W3CDTF">2026-10-01T23:22:57.398Z</dcterms:modified>
</cp:coreProperties>
</file>

<file path=docProps/custom.xml><?xml version="1.0" encoding="utf-8"?>
<Properties xmlns="http://schemas.openxmlformats.org/officeDocument/2006/custom-properties" xmlns:vt="http://schemas.openxmlformats.org/officeDocument/2006/docPropsVTypes"/>
</file>