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5A5A5A"/>
          <w:spacing w:val="60"/>
          <w:sz w:val="22"/>
          <w:szCs w:val="22"/>
        </w:rPr>
        <w:t xml:space="preserve">[PROGRAM NAME]</w:t>
      </w:r>
    </w:p>
    <w:p>
      <w:pPr>
        <w:spacing w:after="80" w:before="180"/>
      </w:pPr>
      <w:r>
        <w:rPr>
          <w:rFonts w:ascii="Cambria" w:cs="Cambria" w:eastAsia="Cambria" w:hAnsi="Cambria"/>
          <w:b/>
          <w:bCs/>
          <w:color w:val="1F3864"/>
          <w:sz w:val="52"/>
          <w:szCs w:val="52"/>
        </w:rPr>
        <w:t xml:space="preserve">Configuration Audit Plan</w:t>
      </w:r>
    </w:p>
    <w:p>
      <w:pPr>
        <w:spacing w:after="500"/>
      </w:pPr>
      <w:r>
        <w:rPr>
          <w:rFonts w:ascii="Cambria" w:cs="Cambria" w:eastAsia="Cambria" w:hAnsi="Cambria"/>
          <w:color w:val="5A5A5A"/>
          <w:sz w:val="26"/>
          <w:szCs w:val="26"/>
        </w:rPr>
        <w:t xml:space="preserve">Functional and Physical Configuration Audits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3100"/>
        <w:gridCol w:w="6260"/>
      </w:tblGrid>
      <w:tr>
        <w:trPr>
          <w:tblHeader/>
        </w:trPr>
        <w:tc>
          <w:tcPr>
            <w:tcW w:type="dxa" w:w="31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Field</w:t>
            </w:r>
          </w:p>
        </w:tc>
        <w:tc>
          <w:tcPr>
            <w:tcW w:type="dxa" w:w="62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Entry</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Program / contract number</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Plan number and revision</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items covered</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[list, or see Section 2]</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type(s) planned</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 Physical / Combined / Delta]</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location(s)</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Planned audit date(s)</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audit co-chair</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[name, function]</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audit co-chair</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[name, organization]</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Prepared by</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[name, Configuration Management]</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Date prepared</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pPr>
        <w:spacing w:after="120"/>
      </w:pPr>
    </w:p>
    <w:p>
      <w:pPr>
        <w:keepNext/>
        <w:spacing w:after="120"/>
      </w:pPr>
      <w:r>
        <w:rPr>
          <w:rFonts w:ascii="Calibri" w:cs="Calibri" w:eastAsia="Calibri" w:hAnsi="Calibri"/>
          <w:b/>
          <w:bCs/>
          <w:color w:val="1A1A1A"/>
          <w:sz w:val="22"/>
          <w:szCs w:val="22"/>
        </w:rPr>
        <w:t xml:space="preserve">Approvals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400"/>
        <w:gridCol w:w="2600"/>
        <w:gridCol w:w="2760"/>
        <w:gridCol w:w="1600"/>
      </w:tblGrid>
      <w:tr>
        <w:trPr>
          <w:tblHeader/>
        </w:trPr>
        <w:tc>
          <w:tcPr>
            <w:tcW w:type="dxa" w:w="24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Role</w:t>
            </w:r>
          </w:p>
        </w:tc>
        <w:tc>
          <w:tcPr>
            <w:tcW w:type="dxa" w:w="2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Name</w:t>
            </w:r>
          </w:p>
        </w:tc>
        <w:tc>
          <w:tcPr>
            <w:tcW w:type="dxa" w:w="27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Signature</w:t>
            </w:r>
          </w:p>
        </w:tc>
        <w:tc>
          <w:tcPr>
            <w:tcW w:type="dxa" w:w="1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Date</w:t>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Management</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Program Manager</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audit co-chair</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Quality Assurance</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representative</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bl>
    <w:p>
      <w:pPr>
        <w:spacing w:after="120"/>
      </w:pPr>
    </w:p>
    <w:p>
      <w:pPr>
        <w:keepNext/>
        <w:spacing w:after="120"/>
      </w:pPr>
      <w:r>
        <w:rPr>
          <w:rFonts w:ascii="Calibri" w:cs="Calibri" w:eastAsia="Calibri" w:hAnsi="Calibri"/>
          <w:b/>
          <w:bCs/>
          <w:color w:val="1A1A1A"/>
          <w:sz w:val="22"/>
          <w:szCs w:val="22"/>
        </w:rPr>
        <w:t xml:space="preserve">Revision history</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800"/>
        <w:gridCol w:w="1400"/>
        <w:gridCol w:w="5160"/>
        <w:gridCol w:w="2000"/>
      </w:tblGrid>
      <w:tr>
        <w:trPr>
          <w:tblHeader/>
        </w:trPr>
        <w:tc>
          <w:tcPr>
            <w:tcW w:type="dxa" w:w="8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Rev</w:t>
            </w:r>
          </w:p>
        </w:tc>
        <w:tc>
          <w:tcPr>
            <w:tcW w:type="dxa" w:w="14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Date</w:t>
            </w:r>
          </w:p>
        </w:tc>
        <w:tc>
          <w:tcPr>
            <w:tcW w:type="dxa" w:w="51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Description of change</w:t>
            </w:r>
          </w:p>
        </w:tc>
        <w:tc>
          <w:tcPr>
            <w:tcW w:type="dxa" w:w="20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Approved by</w:t>
            </w:r>
          </w:p>
        </w:tc>
      </w:tr>
      <w:tr>
        <w:tc>
          <w:tcPr>
            <w:tcW w:type="dxa" w:w="800"/>
            <w:tcMar>
              <w:top w:type="dxa" w:w="70"/>
              <w:left w:type="dxa" w:w="110"/>
              <w:bottom w:type="dxa" w:w="70"/>
              <w:right w:type="dxa" w:w="110"/>
            </w:tcMar>
          </w:tcPr>
          <w:p>
            <w:pPr>
              <w:spacing w:after="0"/>
            </w:pPr>
          </w:p>
        </w:tc>
        <w:tc>
          <w:tcPr>
            <w:tcW w:type="dxa" w:w="1400"/>
            <w:tcMar>
              <w:top w:type="dxa" w:w="70"/>
              <w:left w:type="dxa" w:w="110"/>
              <w:bottom w:type="dxa" w:w="70"/>
              <w:right w:type="dxa" w:w="110"/>
            </w:tcMar>
          </w:tcPr>
          <w:p>
            <w:pPr>
              <w:spacing w:after="0"/>
            </w:pPr>
          </w:p>
        </w:tc>
        <w:tc>
          <w:tcPr>
            <w:tcW w:type="dxa" w:w="5160"/>
            <w:tcMar>
              <w:top w:type="dxa" w:w="70"/>
              <w:left w:type="dxa" w:w="110"/>
              <w:bottom w:type="dxa" w:w="70"/>
              <w:right w:type="dxa" w:w="110"/>
            </w:tcMar>
          </w:tcPr>
          <w:p>
            <w:pPr>
              <w:spacing w:after="0"/>
            </w:pPr>
          </w:p>
        </w:tc>
        <w:tc>
          <w:tcPr>
            <w:tcW w:type="dxa" w:w="2000"/>
            <w:tcMar>
              <w:top w:type="dxa" w:w="70"/>
              <w:left w:type="dxa" w:w="110"/>
              <w:bottom w:type="dxa" w:w="70"/>
              <w:right w:type="dxa" w:w="110"/>
            </w:tcMar>
          </w:tcPr>
          <w:p>
            <w:pPr>
              <w:spacing w:after="0"/>
            </w:pPr>
          </w:p>
        </w:tc>
      </w:tr>
      <w:tr>
        <w:tc>
          <w:tcPr>
            <w:tcW w:type="dxa" w:w="800"/>
            <w:tcMar>
              <w:top w:type="dxa" w:w="70"/>
              <w:left w:type="dxa" w:w="110"/>
              <w:bottom w:type="dxa" w:w="70"/>
              <w:right w:type="dxa" w:w="110"/>
            </w:tcMar>
          </w:tcPr>
          <w:p>
            <w:pPr>
              <w:spacing w:after="0"/>
            </w:pPr>
          </w:p>
        </w:tc>
        <w:tc>
          <w:tcPr>
            <w:tcW w:type="dxa" w:w="1400"/>
            <w:tcMar>
              <w:top w:type="dxa" w:w="70"/>
              <w:left w:type="dxa" w:w="110"/>
              <w:bottom w:type="dxa" w:w="70"/>
              <w:right w:type="dxa" w:w="110"/>
            </w:tcMar>
          </w:tcPr>
          <w:p>
            <w:pPr>
              <w:spacing w:after="0"/>
            </w:pPr>
          </w:p>
        </w:tc>
        <w:tc>
          <w:tcPr>
            <w:tcW w:type="dxa" w:w="5160"/>
            <w:tcMar>
              <w:top w:type="dxa" w:w="70"/>
              <w:left w:type="dxa" w:w="110"/>
              <w:bottom w:type="dxa" w:w="70"/>
              <w:right w:type="dxa" w:w="110"/>
            </w:tcMar>
          </w:tcPr>
          <w:p>
            <w:pPr>
              <w:spacing w:after="0"/>
            </w:pPr>
          </w:p>
        </w:tc>
        <w:tc>
          <w:tcPr>
            <w:tcW w:type="dxa" w:w="2000"/>
            <w:tcMar>
              <w:top w:type="dxa" w:w="70"/>
              <w:left w:type="dxa" w:w="110"/>
              <w:bottom w:type="dxa" w:w="70"/>
              <w:right w:type="dxa" w:w="110"/>
            </w:tcMar>
          </w:tcPr>
          <w:p>
            <w:pPr>
              <w:spacing w:after="0"/>
            </w:pPr>
          </w:p>
        </w:tc>
      </w:tr>
      <w:tr>
        <w:tc>
          <w:tcPr>
            <w:tcW w:type="dxa" w:w="800"/>
            <w:tcMar>
              <w:top w:type="dxa" w:w="70"/>
              <w:left w:type="dxa" w:w="110"/>
              <w:bottom w:type="dxa" w:w="70"/>
              <w:right w:type="dxa" w:w="110"/>
            </w:tcMar>
          </w:tcPr>
          <w:p>
            <w:pPr>
              <w:spacing w:after="0"/>
            </w:pPr>
          </w:p>
        </w:tc>
        <w:tc>
          <w:tcPr>
            <w:tcW w:type="dxa" w:w="1400"/>
            <w:tcMar>
              <w:top w:type="dxa" w:w="70"/>
              <w:left w:type="dxa" w:w="110"/>
              <w:bottom w:type="dxa" w:w="70"/>
              <w:right w:type="dxa" w:w="110"/>
            </w:tcMar>
          </w:tcPr>
          <w:p>
            <w:pPr>
              <w:spacing w:after="0"/>
            </w:pPr>
          </w:p>
        </w:tc>
        <w:tc>
          <w:tcPr>
            <w:tcW w:type="dxa" w:w="5160"/>
            <w:tcMar>
              <w:top w:type="dxa" w:w="70"/>
              <w:left w:type="dxa" w:w="110"/>
              <w:bottom w:type="dxa" w:w="70"/>
              <w:right w:type="dxa" w:w="110"/>
            </w:tcMar>
          </w:tcPr>
          <w:p>
            <w:pPr>
              <w:spacing w:after="0"/>
            </w:pPr>
          </w:p>
        </w:tc>
        <w:tc>
          <w:tcPr>
            <w:tcW w:type="dxa" w:w="2000"/>
            <w:tcMar>
              <w:top w:type="dxa" w:w="70"/>
              <w:left w:type="dxa" w:w="110"/>
              <w:bottom w:type="dxa" w:w="70"/>
              <w:right w:type="dxa" w:w="110"/>
            </w:tcMar>
          </w:tcPr>
          <w:p>
            <w:pPr>
              <w:spacing w:after="0"/>
            </w:pPr>
          </w:p>
        </w:tc>
      </w:tr>
    </w:tbl>
    <w:p>
      <w:pPr>
        <w:spacing w:after="120"/>
      </w:pP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This is a template. Text in square brackets is filled in for the program. Guidance boxes like this one explain what belongs in each section and are deleted before the plan is issued. Sections that do not apply are marked “not applicable” with a one-line reason. They are not deleted. A deleted section is indistinguishable from one nobody considered.</w:t>
      </w:r>
    </w:p>
    <w:p>
      <w:r>
        <w:br w:type="page"/>
      </w:r>
    </w:p>
    <w:p>
      <w:pPr>
        <w:pStyle w:val="Heading1"/>
        <w:spacing w:after="140" w:before="360"/>
      </w:pPr>
      <w:r>
        <w:rPr>
          <w:rFonts w:ascii="Cambria" w:cs="Cambria" w:eastAsia="Cambria" w:hAnsi="Cambria"/>
          <w:b/>
          <w:bCs/>
          <w:color w:val="1F3864"/>
          <w:sz w:val="30"/>
          <w:szCs w:val="30"/>
        </w:rPr>
        <w:t xml:space="preserve">1.  Purpose and Scope</w:t>
      </w:r>
    </w:p>
    <w:p>
      <w:pPr>
        <w:pStyle w:val="Heading2"/>
        <w:spacing w:after="100" w:before="240"/>
      </w:pPr>
      <w:r>
        <w:rPr>
          <w:rFonts w:ascii="Cambria" w:cs="Cambria" w:eastAsia="Cambria" w:hAnsi="Cambria"/>
          <w:b/>
          <w:bCs/>
          <w:color w:val="1F3864"/>
          <w:sz w:val="25"/>
          <w:szCs w:val="25"/>
        </w:rPr>
        <w:t xml:space="preserve">1.1  Purpose</w:t>
      </w:r>
    </w:p>
    <w:p>
      <w:pPr>
        <w:spacing w:after="120"/>
      </w:pPr>
      <w:r>
        <w:rPr>
          <w:rFonts w:ascii="Calibri" w:cs="Calibri" w:eastAsia="Calibri" w:hAnsi="Calibri"/>
          <w:color w:val="1A1A1A"/>
          <w:sz w:val="21"/>
          <w:szCs w:val="21"/>
        </w:rPr>
        <w:t xml:space="preserve">This plan governs the conduct of the functional and physical configuration audits identified in Section 2. The Acquirer agrees this plan before the audits convene. Once approved, it is the controlling document for how those audits are prepared, run, recorded and closed.</w:t>
      </w:r>
    </w:p>
    <w:p>
      <w:pPr>
        <w:spacing w:after="120"/>
      </w:pPr>
      <w:r>
        <w:rPr>
          <w:rFonts w:ascii="Calibri" w:cs="Calibri" w:eastAsia="Calibri" w:hAnsi="Calibri"/>
          <w:color w:val="1A1A1A"/>
          <w:sz w:val="21"/>
          <w:szCs w:val="21"/>
        </w:rPr>
        <w:t xml:space="preserve">Configuration verification runs continuously. It runs through the test program, through inspection and process control on every unit, and through the as-designed to as-built reconciliation performed at scale. These audits are discrete validations of that machinery. They confirm it works. They do not replace it, and they do not verify every change individually.</w:t>
      </w:r>
    </w:p>
    <w:p>
      <w:pPr>
        <w:pStyle w:val="Heading2"/>
        <w:spacing w:after="100" w:before="240"/>
      </w:pPr>
      <w:r>
        <w:rPr>
          <w:rFonts w:ascii="Cambria" w:cs="Cambria" w:eastAsia="Cambria" w:hAnsi="Cambria"/>
          <w:b/>
          <w:bCs/>
          <w:color w:val="1F3864"/>
          <w:sz w:val="25"/>
          <w:szCs w:val="25"/>
        </w:rPr>
        <w:t xml:space="preserve">1.2  Scope</w:t>
      </w:r>
    </w:p>
    <w:p>
      <w:pPr>
        <w:spacing w:after="60"/>
      </w:pPr>
      <w:r>
        <w:rPr>
          <w:rFonts w:ascii="Calibri" w:cs="Calibri" w:eastAsia="Calibri" w:hAnsi="Calibri"/>
          <w:color w:val="1A1A1A"/>
          <w:sz w:val="21"/>
          <w:szCs w:val="21"/>
        </w:rPr>
        <w:t xml:space="preserve">This plan covers the following.</w:t>
      </w:r>
    </w:p>
    <w:p>
      <w:pPr>
        <w:pStyle w:val="ListParagraph"/>
        <w:numPr>
          <w:ilvl w:val="0"/>
          <w:numId w:val="1"/>
        </w:numPr>
        <w:spacing w:after="70"/>
      </w:pPr>
      <w:r>
        <w:rPr>
          <w:rFonts w:ascii="Calibri" w:cs="Calibri" w:eastAsia="Calibri" w:hAnsi="Calibri"/>
          <w:color w:val="1A1A1A"/>
          <w:sz w:val="21"/>
          <w:szCs w:val="21"/>
        </w:rPr>
        <w:t xml:space="preserve">The configuration items to be audited, and the basis on which each was designated.</w:t>
      </w:r>
    </w:p>
    <w:p>
      <w:pPr>
        <w:pStyle w:val="ListParagraph"/>
        <w:numPr>
          <w:ilvl w:val="0"/>
          <w:numId w:val="1"/>
        </w:numPr>
        <w:spacing w:after="70"/>
      </w:pPr>
      <w:r>
        <w:rPr>
          <w:rFonts w:ascii="Calibri" w:cs="Calibri" w:eastAsia="Calibri" w:hAnsi="Calibri"/>
          <w:color w:val="1A1A1A"/>
          <w:sz w:val="21"/>
          <w:szCs w:val="21"/>
        </w:rPr>
        <w:t xml:space="preserve">The audit approach and sequence.</w:t>
      </w:r>
    </w:p>
    <w:p>
      <w:pPr>
        <w:pStyle w:val="ListParagraph"/>
        <w:numPr>
          <w:ilvl w:val="0"/>
          <w:numId w:val="1"/>
        </w:numPr>
        <w:spacing w:after="70"/>
      </w:pPr>
      <w:r>
        <w:rPr>
          <w:rFonts w:ascii="Calibri" w:cs="Calibri" w:eastAsia="Calibri" w:hAnsi="Calibri"/>
          <w:color w:val="1A1A1A"/>
          <w:sz w:val="21"/>
          <w:szCs w:val="21"/>
        </w:rPr>
        <w:t xml:space="preserve">The schedule.</w:t>
      </w:r>
    </w:p>
    <w:p>
      <w:pPr>
        <w:pStyle w:val="ListParagraph"/>
        <w:numPr>
          <w:ilvl w:val="0"/>
          <w:numId w:val="1"/>
        </w:numPr>
        <w:spacing w:after="70"/>
      </w:pPr>
      <w:r>
        <w:rPr>
          <w:rFonts w:ascii="Calibri" w:cs="Calibri" w:eastAsia="Calibri" w:hAnsi="Calibri"/>
          <w:color w:val="1A1A1A"/>
          <w:sz w:val="21"/>
          <w:szCs w:val="21"/>
        </w:rPr>
        <w:t xml:space="preserve">The audit team and its responsibilities.</w:t>
      </w:r>
    </w:p>
    <w:p>
      <w:pPr>
        <w:pStyle w:val="ListParagraph"/>
        <w:numPr>
          <w:ilvl w:val="0"/>
          <w:numId w:val="1"/>
        </w:numPr>
        <w:spacing w:after="70"/>
      </w:pPr>
      <w:r>
        <w:rPr>
          <w:rFonts w:ascii="Calibri" w:cs="Calibri" w:eastAsia="Calibri" w:hAnsi="Calibri"/>
          <w:color w:val="1A1A1A"/>
          <w:sz w:val="21"/>
          <w:szCs w:val="21"/>
        </w:rPr>
        <w:t xml:space="preserve">The documentation to be reviewed.</w:t>
      </w:r>
    </w:p>
    <w:p>
      <w:pPr>
        <w:pStyle w:val="ListParagraph"/>
        <w:numPr>
          <w:ilvl w:val="0"/>
          <w:numId w:val="1"/>
        </w:numPr>
        <w:spacing w:after="70"/>
      </w:pPr>
      <w:r>
        <w:rPr>
          <w:rFonts w:ascii="Calibri" w:cs="Calibri" w:eastAsia="Calibri" w:hAnsi="Calibri"/>
          <w:color w:val="1A1A1A"/>
          <w:sz w:val="21"/>
          <w:szCs w:val="21"/>
        </w:rPr>
        <w:t xml:space="preserve">Entry criteria and readiness.</w:t>
      </w:r>
    </w:p>
    <w:p>
      <w:pPr>
        <w:pStyle w:val="ListParagraph"/>
        <w:numPr>
          <w:ilvl w:val="0"/>
          <w:numId w:val="1"/>
        </w:numPr>
        <w:spacing w:after="70"/>
      </w:pPr>
      <w:r>
        <w:rPr>
          <w:rFonts w:ascii="Calibri" w:cs="Calibri" w:eastAsia="Calibri" w:hAnsi="Calibri"/>
          <w:color w:val="1A1A1A"/>
          <w:sz w:val="21"/>
          <w:szCs w:val="21"/>
        </w:rPr>
        <w:t xml:space="preserve">How each audit is conducted, including the sampling approach.</w:t>
      </w:r>
    </w:p>
    <w:p>
      <w:pPr>
        <w:pStyle w:val="ListParagraph"/>
        <w:numPr>
          <w:ilvl w:val="0"/>
          <w:numId w:val="1"/>
        </w:numPr>
        <w:spacing w:after="70"/>
      </w:pPr>
      <w:r>
        <w:rPr>
          <w:rFonts w:ascii="Calibri" w:cs="Calibri" w:eastAsia="Calibri" w:hAnsi="Calibri"/>
          <w:color w:val="1A1A1A"/>
          <w:sz w:val="21"/>
          <w:szCs w:val="21"/>
        </w:rPr>
        <w:t xml:space="preserve">How findings are classified and closed.</w:t>
      </w:r>
    </w:p>
    <w:p>
      <w:pPr>
        <w:pStyle w:val="ListParagraph"/>
        <w:numPr>
          <w:ilvl w:val="0"/>
          <w:numId w:val="1"/>
        </w:numPr>
        <w:spacing w:after="140"/>
      </w:pPr>
      <w:r>
        <w:rPr>
          <w:rFonts w:ascii="Calibri" w:cs="Calibri" w:eastAsia="Calibri" w:hAnsi="Calibri"/>
          <w:color w:val="1A1A1A"/>
          <w:sz w:val="21"/>
          <w:szCs w:val="21"/>
        </w:rPr>
        <w:t xml:space="preserve">The records the audits produce.</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State anything deliberately outside scope here. Configuration items covered by a separate plan are one example. Audits conducted at a sub-supplier facility under that supplier’s own plan are another. Name the plan that covers them.</w:t>
      </w:r>
    </w:p>
    <w:p>
      <w:pPr>
        <w:pStyle w:val="Heading2"/>
        <w:spacing w:after="100" w:before="240"/>
      </w:pPr>
      <w:r>
        <w:rPr>
          <w:rFonts w:ascii="Cambria" w:cs="Cambria" w:eastAsia="Cambria" w:hAnsi="Cambria"/>
          <w:b/>
          <w:bCs/>
          <w:color w:val="1F3864"/>
          <w:sz w:val="25"/>
          <w:szCs w:val="25"/>
        </w:rPr>
        <w:t xml:space="preserve">1.3  Governing requirements</w:t>
      </w:r>
    </w:p>
    <w:p>
      <w:pPr>
        <w:spacing w:after="120"/>
      </w:pPr>
      <w:r>
        <w:rPr>
          <w:rFonts w:ascii="Calibri" w:cs="Calibri" w:eastAsia="Calibri" w:hAnsi="Calibri"/>
          <w:color w:val="1A1A1A"/>
          <w:sz w:val="21"/>
          <w:szCs w:val="21"/>
        </w:rPr>
        <w:t xml:space="preserve">The audits are conducted in accordance with the documents below.</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3300"/>
        <w:gridCol w:w="2260"/>
        <w:gridCol w:w="3800"/>
      </w:tblGrid>
      <w:tr>
        <w:trPr>
          <w:tblHeader/>
        </w:trPr>
        <w:tc>
          <w:tcPr>
            <w:tcW w:type="dxa" w:w="33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Document</w:t>
            </w:r>
          </w:p>
        </w:tc>
        <w:tc>
          <w:tcPr>
            <w:tcW w:type="dxa" w:w="22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Number / revision</w:t>
            </w:r>
          </w:p>
        </w:tc>
        <w:tc>
          <w:tcPr>
            <w:tcW w:type="dxa" w:w="38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Relevance</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Audit Process (functional and physical audits)</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The process this plan implements</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EIA-649-1A</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§3.5</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verification and audits</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GEIA-HB-649A</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§10, Appendices N and P</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Implementation guidance and audit checklists</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ANSI/EIA-649</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National consensus standard for configuration management</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Contract / statement of work</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requirements, deliverables, and any tailoring</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Program configuration management plan</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Program CM requirements and any recorded deviations</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Applicable configuration item specifications</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verified at the functional audit</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SM-0001 Safety Management System standard</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Hazard log and safety-critical requirement identification</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Register of safety-mandatory CM requirements</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performed regardless of contract flow-down</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item identification process</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Defines the configuration items and baselines audited</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Sub-supplier CM flow-down process</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work type and audit role</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DI-SESS-81646</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[cited / not cited]</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audit plan</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DI-ADMN-81249</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[cited / not cited]</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Conference agenda</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DI-ADMN-81250</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[cited / not cited]</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Conference minutes</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DI-SESS-81022</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[cited / not cited]</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audit summary report</w:t>
            </w:r>
          </w:p>
        </w:tc>
      </w:tr>
      <w:tr>
        <w:tc>
          <w:tcPr>
            <w:tcW w:type="dxa" w:w="33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2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8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pPr>
        <w:spacing w:after="120"/>
      </w:pPr>
    </w:p>
    <w:p>
      <w:pPr>
        <w:spacing w:after="120"/>
      </w:pPr>
      <w:r>
        <w:rPr>
          <w:rFonts w:ascii="Calibri" w:cs="Calibri" w:eastAsia="Calibri" w:hAnsi="Calibri"/>
          <w:i/>
          <w:iCs/>
          <w:color w:val="5A5A5A"/>
          <w:sz w:val="19"/>
          <w:szCs w:val="19"/>
        </w:rPr>
        <w:t xml:space="preserve">Data item descriptions apply only where cited on contract through a contract data requirements list.</w:t>
      </w:r>
    </w:p>
    <w:p>
      <w:pPr>
        <w:spacing w:after="120"/>
      </w:pPr>
      <w:r>
        <w:rPr>
          <w:rFonts w:ascii="Calibri" w:cs="Calibri" w:eastAsia="Calibri" w:hAnsi="Calibri"/>
          <w:color w:val="1A1A1A"/>
          <w:sz w:val="21"/>
          <w:szCs w:val="21"/>
        </w:rPr>
        <w:t xml:space="preserve">Where the contract imposes requirements differing from those in this plan, the contract governs. The deviation is recorded here: [record deviations, or state “none”]</w:t>
      </w:r>
    </w:p>
    <w:p>
      <w:pPr>
        <w:pStyle w:val="Heading2"/>
        <w:spacing w:after="100" w:before="240"/>
      </w:pPr>
      <w:r>
        <w:rPr>
          <w:rFonts w:ascii="Cambria" w:cs="Cambria" w:eastAsia="Cambria" w:hAnsi="Cambria"/>
          <w:b/>
          <w:bCs/>
          <w:color w:val="1F3864"/>
          <w:sz w:val="25"/>
          <w:szCs w:val="25"/>
        </w:rPr>
        <w:t xml:space="preserve">1.4  Requirements mandatory for safety</w:t>
      </w:r>
    </w:p>
    <w:p>
      <w:pPr>
        <w:spacing w:after="120"/>
      </w:pPr>
      <w:r>
        <w:rPr>
          <w:rFonts w:ascii="Calibri" w:cs="Calibri" w:eastAsia="Calibri" w:hAnsi="Calibri"/>
          <w:color w:val="1A1A1A"/>
          <w:sz w:val="21"/>
          <w:szCs w:val="21"/>
        </w:rPr>
        <w:t xml:space="preserve">Some requirements in this plan arrive twice. They arrive through the contract. They also arrive through the safety management system, because they act as barriers to severe safety events. On safety-significant product lines these are performed regardless of what the contract flows down.</w:t>
      </w:r>
    </w:p>
    <w:p>
      <w:pPr>
        <w:spacing w:after="60"/>
      </w:pPr>
      <w:r>
        <w:rPr>
          <w:rFonts w:ascii="Calibri" w:cs="Calibri" w:eastAsia="Calibri" w:hAnsi="Calibri"/>
          <w:color w:val="1A1A1A"/>
          <w:sz w:val="21"/>
          <w:szCs w:val="21"/>
        </w:rPr>
        <w:t xml:space="preserve">The following are mandatory for safety.</w:t>
      </w:r>
    </w:p>
    <w:p>
      <w:pPr>
        <w:pStyle w:val="ListParagraph"/>
        <w:numPr>
          <w:ilvl w:val="0"/>
          <w:numId w:val="1"/>
        </w:numPr>
        <w:spacing w:after="70"/>
      </w:pPr>
      <w:r>
        <w:rPr>
          <w:rFonts w:ascii="Calibri" w:cs="Calibri" w:eastAsia="Calibri" w:hAnsi="Calibri"/>
          <w:color w:val="1A1A1A"/>
          <w:sz w:val="21"/>
          <w:szCs w:val="21"/>
        </w:rPr>
        <w:t xml:space="preserve">Conducting the functional audit to verify performance against the approved functional and allocated documentation.</w:t>
      </w:r>
    </w:p>
    <w:p>
      <w:pPr>
        <w:pStyle w:val="ListParagraph"/>
        <w:numPr>
          <w:ilvl w:val="0"/>
          <w:numId w:val="1"/>
        </w:numPr>
        <w:spacing w:after="70"/>
      </w:pPr>
      <w:r>
        <w:rPr>
          <w:rFonts w:ascii="Calibri" w:cs="Calibri" w:eastAsia="Calibri" w:hAnsi="Calibri"/>
          <w:color w:val="1A1A1A"/>
          <w:sz w:val="21"/>
          <w:szCs w:val="21"/>
        </w:rPr>
        <w:t xml:space="preserve">Providing the requirements allocation matrix.</w:t>
      </w:r>
    </w:p>
    <w:p>
      <w:pPr>
        <w:pStyle w:val="ListParagraph"/>
        <w:numPr>
          <w:ilvl w:val="0"/>
          <w:numId w:val="1"/>
        </w:numPr>
        <w:spacing w:after="70"/>
      </w:pPr>
      <w:r>
        <w:rPr>
          <w:rFonts w:ascii="Calibri" w:cs="Calibri" w:eastAsia="Calibri" w:hAnsi="Calibri"/>
          <w:color w:val="1A1A1A"/>
          <w:sz w:val="21"/>
          <w:szCs w:val="21"/>
        </w:rPr>
        <w:t xml:space="preserve">Providing the requirements-to-test traceability matrix.</w:t>
      </w:r>
    </w:p>
    <w:p>
      <w:pPr>
        <w:pStyle w:val="ListParagraph"/>
        <w:numPr>
          <w:ilvl w:val="0"/>
          <w:numId w:val="1"/>
        </w:numPr>
        <w:spacing w:after="70"/>
      </w:pPr>
      <w:r>
        <w:rPr>
          <w:rFonts w:ascii="Calibri" w:cs="Calibri" w:eastAsia="Calibri" w:hAnsi="Calibri"/>
          <w:color w:val="1A1A1A"/>
          <w:sz w:val="21"/>
          <w:szCs w:val="21"/>
        </w:rPr>
        <w:t xml:space="preserve">Documenting each functional audit non-compliance and providing it to the Acquirer.</w:t>
      </w:r>
    </w:p>
    <w:p>
      <w:pPr>
        <w:pStyle w:val="ListParagraph"/>
        <w:numPr>
          <w:ilvl w:val="0"/>
          <w:numId w:val="1"/>
        </w:numPr>
        <w:spacing w:after="70"/>
      </w:pPr>
      <w:r>
        <w:rPr>
          <w:rFonts w:ascii="Calibri" w:cs="Calibri" w:eastAsia="Calibri" w:hAnsi="Calibri"/>
          <w:color w:val="1A1A1A"/>
          <w:sz w:val="21"/>
          <w:szCs w:val="21"/>
        </w:rPr>
        <w:t xml:space="preserve">Conducting the physical audit to verify the product definition data is consistent with the validated item.</w:t>
      </w:r>
    </w:p>
    <w:p>
      <w:pPr>
        <w:pStyle w:val="ListParagraph"/>
        <w:numPr>
          <w:ilvl w:val="0"/>
          <w:numId w:val="1"/>
        </w:numPr>
        <w:spacing w:after="70"/>
      </w:pPr>
      <w:r>
        <w:rPr>
          <w:rFonts w:ascii="Calibri" w:cs="Calibri" w:eastAsia="Calibri" w:hAnsi="Calibri"/>
          <w:color w:val="1A1A1A"/>
          <w:sz w:val="21"/>
          <w:szCs w:val="21"/>
        </w:rPr>
        <w:t xml:space="preserve">Confirming the item against the approved parts selection list, and verifying proper parts are installed.</w:t>
      </w:r>
    </w:p>
    <w:p>
      <w:pPr>
        <w:pStyle w:val="ListParagraph"/>
        <w:numPr>
          <w:ilvl w:val="0"/>
          <w:numId w:val="1"/>
        </w:numPr>
        <w:spacing w:after="70"/>
      </w:pPr>
      <w:r>
        <w:rPr>
          <w:rFonts w:ascii="Calibri" w:cs="Calibri" w:eastAsia="Calibri" w:hAnsi="Calibri"/>
          <w:color w:val="1A1A1A"/>
          <w:sz w:val="21"/>
          <w:szCs w:val="21"/>
        </w:rPr>
        <w:t xml:space="preserve">Documenting each physical audit non-compliance and providing it to the Acquirer.</w:t>
      </w:r>
    </w:p>
    <w:p>
      <w:pPr>
        <w:pStyle w:val="ListParagraph"/>
        <w:numPr>
          <w:ilvl w:val="0"/>
          <w:numId w:val="1"/>
        </w:numPr>
        <w:spacing w:after="140"/>
      </w:pPr>
      <w:r>
        <w:rPr>
          <w:rFonts w:ascii="Calibri" w:cs="Calibri" w:eastAsia="Calibri" w:hAnsi="Calibri"/>
          <w:color w:val="1A1A1A"/>
          <w:sz w:val="21"/>
          <w:szCs w:val="21"/>
        </w:rPr>
        <w:t xml:space="preserve">Identifying the differences between the production unit and the unit or units used at the functional audit.</w:t>
      </w:r>
    </w:p>
    <w:p>
      <w:pPr>
        <w:spacing w:after="120"/>
      </w:pPr>
      <w:r>
        <w:rPr>
          <w:rFonts w:ascii="Calibri" w:cs="Calibri" w:eastAsia="Calibri" w:hAnsi="Calibri"/>
          <w:color w:val="1A1A1A"/>
          <w:sz w:val="21"/>
          <w:szCs w:val="21"/>
        </w:rPr>
        <w:t xml:space="preserve">A proposal not to perform one of these is not a tailoring decision this plan makes. It goes through the safety disposition gate defined in the CM planning and management process. The gate has three doors. Perform it. Replace it with a documented equivalent control validated by independent safety assurance. Or formally risk-accept it. The disposition is recorded in the program safety-requirement disposition record. It is never tailored out silently.</w:t>
      </w:r>
    </w:p>
    <w:p>
      <w:pPr>
        <w:spacing w:after="120"/>
      </w:pPr>
      <w:r>
        <w:rPr>
          <w:rFonts w:ascii="Calibri" w:cs="Calibri" w:eastAsia="Calibri" w:hAnsi="Calibri"/>
          <w:b/>
          <w:bCs/>
          <w:color w:val="1A1A1A"/>
          <w:sz w:val="21"/>
          <w:szCs w:val="21"/>
        </w:rPr>
        <w:t xml:space="preserve">Safety dispositions applied to this plan:  </w:t>
      </w:r>
      <w:r>
        <w:rPr>
          <w:rFonts w:ascii="Calibri" w:cs="Calibri" w:eastAsia="Calibri" w:hAnsi="Calibri"/>
          <w:color w:val="5A5A5A"/>
          <w:sz w:val="21"/>
          <w:szCs w:val="21"/>
        </w:rPr>
        <w:t xml:space="preserve">[list, or state “none”]</w:t>
      </w:r>
    </w:p>
    <w:p>
      <w:pPr>
        <w:pStyle w:val="Heading2"/>
        <w:spacing w:after="100" w:before="240"/>
      </w:pPr>
      <w:r>
        <w:rPr>
          <w:rFonts w:ascii="Cambria" w:cs="Cambria" w:eastAsia="Cambria" w:hAnsi="Cambria"/>
          <w:b/>
          <w:bCs/>
          <w:color w:val="1F3864"/>
          <w:sz w:val="25"/>
          <w:szCs w:val="25"/>
        </w:rPr>
        <w:t xml:space="preserve">1.5  Terms used in this plan</w:t>
      </w:r>
    </w:p>
    <w:p>
      <w:pPr>
        <w:spacing w:after="120"/>
      </w:pPr>
      <w:r>
        <w:rPr>
          <w:rFonts w:ascii="Calibri" w:cs="Calibri" w:eastAsia="Calibri" w:hAnsi="Calibri"/>
          <w:color w:val="1A1A1A"/>
          <w:sz w:val="21"/>
          <w:szCs w:val="21"/>
        </w:rPr>
        <w:t xml:space="preserve">This plan writes the words rather than the letters. The audit process, the preparation tracker and the data item descriptions use the letters. The mapping is given once here and is not repeated.</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4400"/>
        <w:gridCol w:w="4960"/>
      </w:tblGrid>
      <w:tr>
        <w:trPr>
          <w:tblHeader/>
        </w:trPr>
        <w:tc>
          <w:tcPr>
            <w:tcW w:type="dxa" w:w="44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Term used in this plan</w:t>
            </w:r>
          </w:p>
        </w:tc>
        <w:tc>
          <w:tcPr>
            <w:tcW w:type="dxa" w:w="49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Term used in the audit process</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item</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CI, CSCI, HWCI</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audit</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FCA</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 audit</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PCA</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Finding record</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RFA, request for action</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allocation matrix</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RAM</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traceability matrix</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RTM</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Verification cross-reference matrix</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VCRM</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Approved parts selection list</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PPSL</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Version description</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VDD, SVD</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Status accounting</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CSA</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allocated and product baselines</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FBL, ABL, PBL</w:t>
            </w:r>
          </w:p>
        </w:tc>
      </w:tr>
      <w:tr>
        <w:tc>
          <w:tcPr>
            <w:tcW w:type="dxa" w:w="4400"/>
            <w:tcMar>
              <w:top w:type="dxa" w:w="70"/>
              <w:left w:type="dxa" w:w="110"/>
              <w:bottom w:type="dxa" w:w="70"/>
              <w:right w:type="dxa" w:w="110"/>
            </w:tcMar>
          </w:tcPr>
          <w:p>
            <w:pPr>
              <w:spacing w:after="0"/>
            </w:pPr>
            <w:r>
              <w:rPr>
                <w:rFonts w:ascii="Calibri" w:cs="Calibri" w:eastAsia="Calibri" w:hAnsi="Calibri"/>
                <w:color w:val="1A1A1A"/>
                <w:sz w:val="19"/>
                <w:szCs w:val="19"/>
              </w:rPr>
              <w:t xml:space="preserve">Product definition data</w:t>
            </w:r>
          </w:p>
        </w:tc>
        <w:tc>
          <w:tcPr>
            <w:tcW w:type="dxa" w:w="4960"/>
            <w:tcMar>
              <w:top w:type="dxa" w:w="70"/>
              <w:left w:type="dxa" w:w="110"/>
              <w:bottom w:type="dxa" w:w="70"/>
              <w:right w:type="dxa" w:w="110"/>
            </w:tcMar>
          </w:tcPr>
          <w:p>
            <w:pPr>
              <w:spacing w:after="0"/>
            </w:pPr>
            <w:r>
              <w:rPr>
                <w:rFonts w:ascii="Calibri" w:cs="Calibri" w:eastAsia="Calibri" w:hAnsi="Calibri"/>
                <w:color w:val="1A1A1A"/>
                <w:sz w:val="19"/>
                <w:szCs w:val="19"/>
              </w:rPr>
              <w:t xml:space="preserve">PDD</w:t>
            </w:r>
          </w:p>
        </w:tc>
      </w:tr>
    </w:tbl>
    <w:p>
      <w:pPr>
        <w:pStyle w:val="Heading2"/>
        <w:spacing w:after="100" w:before="240"/>
      </w:pPr>
      <w:r>
        <w:rPr>
          <w:rFonts w:ascii="Cambria" w:cs="Cambria" w:eastAsia="Cambria" w:hAnsi="Cambria"/>
          <w:b/>
          <w:bCs/>
          <w:color w:val="1F3864"/>
          <w:sz w:val="25"/>
          <w:szCs w:val="25"/>
        </w:rPr>
        <w:t xml:space="preserve">1.6  Definitions</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These definitions are carried verbatim from the audit process. They are not paraphrased for this plan and are not shortened for it.</w:t>
      </w:r>
    </w:p>
    <w:p>
      <w:pPr>
        <w:spacing w:after="120"/>
      </w:pPr>
      <w:r>
        <w:rPr>
          <w:rFonts w:ascii="Calibri" w:cs="Calibri" w:eastAsia="Calibri" w:hAnsi="Calibri"/>
          <w:b/>
          <w:bCs/>
          <w:color w:val="1A1A1A"/>
          <w:sz w:val="21"/>
          <w:szCs w:val="21"/>
        </w:rPr>
        <w:t xml:space="preserve">Configuration Item.</w:t>
      </w:r>
      <w:r>
        <w:rPr>
          <w:rFonts w:ascii="Calibri" w:cs="Calibri" w:eastAsia="Calibri" w:hAnsi="Calibri"/>
          <w:color w:val="1A1A1A"/>
          <w:sz w:val="21"/>
          <w:szCs w:val="21"/>
        </w:rPr>
        <w:t xml:space="preserve"> An item, or aggregation of items, that satisfies a system end-use function and is designated for separate configuration management.</w:t>
      </w:r>
    </w:p>
    <w:p>
      <w:pPr>
        <w:spacing w:after="120"/>
      </w:pPr>
      <w:r>
        <w:rPr>
          <w:rFonts w:ascii="Calibri" w:cs="Calibri" w:eastAsia="Calibri" w:hAnsi="Calibri"/>
          <w:b/>
          <w:bCs/>
          <w:color w:val="1A1A1A"/>
          <w:sz w:val="21"/>
          <w:szCs w:val="21"/>
        </w:rPr>
        <w:t xml:space="preserve">Functional Configuration Audit.</w:t>
      </w:r>
      <w:r>
        <w:rPr>
          <w:rFonts w:ascii="Calibri" w:cs="Calibri" w:eastAsia="Calibri" w:hAnsi="Calibri"/>
          <w:color w:val="1A1A1A"/>
          <w:sz w:val="21"/>
          <w:szCs w:val="21"/>
        </w:rPr>
        <w:t xml:space="preserve"> The formal audit that verifies the CI’s and system’s tested performance against its approved functional and allocated configuration documentation; confirms specifications and interfaces are accurately and adequately defined; and confirms the Supplier’s change control system adequately controls processing and release of configuration documentation.</w:t>
      </w:r>
    </w:p>
    <w:p>
      <w:pPr>
        <w:spacing w:after="120"/>
      </w:pPr>
      <w:r>
        <w:rPr>
          <w:rFonts w:ascii="Calibri" w:cs="Calibri" w:eastAsia="Calibri" w:hAnsi="Calibri"/>
          <w:b/>
          <w:bCs/>
          <w:color w:val="1A1A1A"/>
          <w:sz w:val="21"/>
          <w:szCs w:val="21"/>
        </w:rPr>
        <w:t xml:space="preserve">Physical Configuration Audit.</w:t>
      </w:r>
      <w:r>
        <w:rPr>
          <w:rFonts w:ascii="Calibri" w:cs="Calibri" w:eastAsia="Calibri" w:hAnsi="Calibri"/>
          <w:color w:val="1A1A1A"/>
          <w:sz w:val="21"/>
          <w:szCs w:val="21"/>
        </w:rPr>
        <w:t xml:space="preserve"> The formal examination of the as-built (or as-coded) configuration of a validated CI against its product configuration documentation, verifying the documentation is a clear, complete, and accurate representation of the CI. Successful PCA completion is necessary to establish the product baseline (PBL); all subsequent changes are processed by formal engineering change action.</w:t>
      </w:r>
    </w:p>
    <w:p>
      <w:pPr>
        <w:spacing w:after="120"/>
      </w:pPr>
      <w:r>
        <w:rPr>
          <w:rFonts w:ascii="Calibri" w:cs="Calibri" w:eastAsia="Calibri" w:hAnsi="Calibri"/>
          <w:b/>
          <w:bCs/>
          <w:color w:val="1A1A1A"/>
          <w:sz w:val="21"/>
          <w:szCs w:val="21"/>
        </w:rPr>
        <w:t xml:space="preserve">Configuration Verification.</w:t>
      </w:r>
      <w:r>
        <w:rPr>
          <w:rFonts w:ascii="Calibri" w:cs="Calibri" w:eastAsia="Calibri" w:hAnsi="Calibri"/>
          <w:color w:val="1A1A1A"/>
          <w:sz w:val="21"/>
          <w:szCs w:val="21"/>
        </w:rPr>
        <w:t xml:space="preserve"> The ongoing process, spanning CM, systems engineering, design, test, manufacturing, and quality, by which the design solution is verified: functionally through analyses, inspections, tests, and demonstrations, and physically by inspection and/or process control confirming as-built conformance to as-designed.</w:t>
      </w:r>
    </w:p>
    <w:p>
      <w:pPr>
        <w:spacing w:after="120"/>
      </w:pPr>
      <w:r>
        <w:rPr>
          <w:rFonts w:ascii="Calibri" w:cs="Calibri" w:eastAsia="Calibri" w:hAnsi="Calibri"/>
          <w:b/>
          <w:bCs/>
          <w:color w:val="1A1A1A"/>
          <w:sz w:val="21"/>
          <w:szCs w:val="21"/>
        </w:rPr>
        <w:t xml:space="preserve">Action Item / Request for Action (RFA).</w:t>
      </w:r>
      <w:r>
        <w:rPr>
          <w:rFonts w:ascii="Calibri" w:cs="Calibri" w:eastAsia="Calibri" w:hAnsi="Calibri"/>
          <w:color w:val="1A1A1A"/>
          <w:sz w:val="21"/>
          <w:szCs w:val="21"/>
        </w:rPr>
        <w:t xml:space="preserve"> The documented record of a discrepancy found during audit proceedings, defining the issue, agreed closure plan, responsible person, and agreed suspense/closure date. RFA is the standard DoD format.</w:t>
      </w:r>
    </w:p>
    <w:p>
      <w:pPr>
        <w:spacing w:after="120"/>
      </w:pPr>
      <w:r>
        <w:rPr>
          <w:rFonts w:ascii="Calibri" w:cs="Calibri" w:eastAsia="Calibri" w:hAnsi="Calibri"/>
          <w:b/>
          <w:bCs/>
          <w:color w:val="1A1A1A"/>
          <w:sz w:val="21"/>
          <w:szCs w:val="21"/>
        </w:rPr>
        <w:t xml:space="preserve">Incremental (Capstone) Audit.</w:t>
      </w:r>
      <w:r>
        <w:rPr>
          <w:rFonts w:ascii="Calibri" w:cs="Calibri" w:eastAsia="Calibri" w:hAnsi="Calibri"/>
          <w:color w:val="1A1A1A"/>
          <w:sz w:val="21"/>
          <w:szCs w:val="21"/>
        </w:rPr>
        <w:t xml:space="preserve"> Audits conducted bottom-up on lower-level CIs, then subsystems, concluding with a final system-level audit confirming all FBL/ABL/PBL requirements are satisfied. Open action items from lower-level audits are carried into system-level minutes.</w:t>
      </w:r>
    </w:p>
    <w:p>
      <w:pPr>
        <w:spacing w:after="120"/>
      </w:pPr>
      <w:r>
        <w:rPr>
          <w:rFonts w:ascii="Calibri" w:cs="Calibri" w:eastAsia="Calibri" w:hAnsi="Calibri"/>
          <w:b/>
          <w:bCs/>
          <w:color w:val="1A1A1A"/>
          <w:sz w:val="21"/>
          <w:szCs w:val="21"/>
        </w:rPr>
        <w:t xml:space="preserve">Delta Audit.</w:t>
      </w:r>
      <w:r>
        <w:rPr>
          <w:rFonts w:ascii="Calibri" w:cs="Calibri" w:eastAsia="Calibri" w:hAnsi="Calibri"/>
          <w:color w:val="1A1A1A"/>
          <w:sz w:val="21"/>
          <w:szCs w:val="21"/>
        </w:rPr>
        <w:t xml:space="preserve"> A follow-on audit of the portion of configuration and verification data that was open (e.g., testing not complete) at the original audit. Delta audit results are added to or supersede the original audit minutes.</w:t>
      </w:r>
    </w:p>
    <w:p>
      <w:pPr>
        <w:pStyle w:val="Heading1"/>
        <w:spacing w:after="140" w:before="360"/>
      </w:pPr>
      <w:r>
        <w:rPr>
          <w:rFonts w:ascii="Cambria" w:cs="Cambria" w:eastAsia="Cambria" w:hAnsi="Cambria"/>
          <w:b/>
          <w:bCs/>
          <w:color w:val="1F3864"/>
          <w:sz w:val="30"/>
          <w:szCs w:val="30"/>
        </w:rPr>
        <w:t xml:space="preserve">2.  Configuration Items to be Audited</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One row per configuration item. Designation basis is either contractual (named in the contract, statement of work or program CM plan) or risk-based (from the designation assessment). Every item listed must have a current, signed designation assessment on file. Reference it in the last column. Items assessed and not designated do not appear here. Their assessments are retained separately.</w:t>
      </w:r>
    </w:p>
    <w:p>
      <w:pPr>
        <w:pBdr>
          <w:left w:val="single" w:color="B8C4DE" w:sz="12" w:space="10"/>
        </w:pBdr>
        <w:spacing w:after="160" w:before="0"/>
        <w:ind w:left="220"/>
      </w:pPr>
      <w:r>
        <w:rPr>
          <w:rFonts w:ascii="Calibri" w:cs="Calibri" w:eastAsia="Calibri" w:hAnsi="Calibri"/>
          <w:i/>
          <w:iCs/>
          <w:color w:val="5A5A5A"/>
          <w:sz w:val="19"/>
          <w:szCs w:val="19"/>
        </w:rPr>
        <w:t xml:space="preserve">Being a configuration item is not the same as being designated for audit. Item selection decides what is managed separately. Designation decides which of those items receives a formal audit. Most items are not designated. An undesignated item is not an unverified item. It keeps its baselines, its change control, its status accounting, and its coverage by the as-designed to as-built reconciliation performed at scale.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000"/>
        <w:gridCol w:w="1500"/>
        <w:gridCol w:w="1700"/>
        <w:gridCol w:w="900"/>
        <w:gridCol w:w="1700"/>
        <w:gridCol w:w="1560"/>
      </w:tblGrid>
      <w:tr>
        <w:trPr>
          <w:tblHeader/>
        </w:trPr>
        <w:tc>
          <w:tcPr>
            <w:tcW w:type="dxa" w:w="20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Configuration item</w:t>
            </w:r>
          </w:p>
        </w:tc>
        <w:tc>
          <w:tcPr>
            <w:tcW w:type="dxa" w:w="15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Item identifier</w:t>
            </w:r>
          </w:p>
        </w:tc>
        <w:tc>
          <w:tcPr>
            <w:tcW w:type="dxa" w:w="17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Specification no. / rev</w:t>
            </w:r>
          </w:p>
        </w:tc>
        <w:tc>
          <w:tcPr>
            <w:tcW w:type="dxa" w:w="9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Audit(s)</w:t>
            </w:r>
          </w:p>
        </w:tc>
        <w:tc>
          <w:tcPr>
            <w:tcW w:type="dxa" w:w="17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Designation basis</w:t>
            </w:r>
          </w:p>
        </w:tc>
        <w:tc>
          <w:tcPr>
            <w:tcW w:type="dxa" w:w="15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Assessment ref.</w:t>
            </w:r>
          </w:p>
        </w:tc>
      </w:tr>
      <w:tr>
        <w:tc>
          <w:tcPr>
            <w:tcW w:type="dxa" w:w="20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9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1560"/>
            <w:tcMar>
              <w:top w:type="dxa" w:w="70"/>
              <w:left w:type="dxa" w:w="110"/>
              <w:bottom w:type="dxa" w:w="70"/>
              <w:right w:type="dxa" w:w="110"/>
            </w:tcMar>
          </w:tcPr>
          <w:p>
            <w:pPr>
              <w:spacing w:after="0"/>
            </w:pPr>
          </w:p>
        </w:tc>
      </w:tr>
      <w:tr>
        <w:tc>
          <w:tcPr>
            <w:tcW w:type="dxa" w:w="20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9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1560"/>
            <w:tcMar>
              <w:top w:type="dxa" w:w="70"/>
              <w:left w:type="dxa" w:w="110"/>
              <w:bottom w:type="dxa" w:w="70"/>
              <w:right w:type="dxa" w:w="110"/>
            </w:tcMar>
          </w:tcPr>
          <w:p>
            <w:pPr>
              <w:spacing w:after="0"/>
            </w:pPr>
          </w:p>
        </w:tc>
      </w:tr>
      <w:tr>
        <w:tc>
          <w:tcPr>
            <w:tcW w:type="dxa" w:w="20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9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1560"/>
            <w:tcMar>
              <w:top w:type="dxa" w:w="70"/>
              <w:left w:type="dxa" w:w="110"/>
              <w:bottom w:type="dxa" w:w="70"/>
              <w:right w:type="dxa" w:w="110"/>
            </w:tcMar>
          </w:tcPr>
          <w:p>
            <w:pPr>
              <w:spacing w:after="0"/>
            </w:pPr>
          </w:p>
        </w:tc>
      </w:tr>
      <w:tr>
        <w:tc>
          <w:tcPr>
            <w:tcW w:type="dxa" w:w="20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9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1560"/>
            <w:tcMar>
              <w:top w:type="dxa" w:w="70"/>
              <w:left w:type="dxa" w:w="110"/>
              <w:bottom w:type="dxa" w:w="70"/>
              <w:right w:type="dxa" w:w="110"/>
            </w:tcMar>
          </w:tcPr>
          <w:p>
            <w:pPr>
              <w:spacing w:after="0"/>
            </w:pPr>
          </w:p>
        </w:tc>
      </w:tr>
      <w:tr>
        <w:tc>
          <w:tcPr>
            <w:tcW w:type="dxa" w:w="20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9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1560"/>
            <w:tcMar>
              <w:top w:type="dxa" w:w="70"/>
              <w:left w:type="dxa" w:w="110"/>
              <w:bottom w:type="dxa" w:w="70"/>
              <w:right w:type="dxa" w:w="110"/>
            </w:tcMar>
          </w:tcPr>
          <w:p>
            <w:pPr>
              <w:spacing w:after="0"/>
            </w:pPr>
          </w:p>
        </w:tc>
      </w:tr>
    </w:tbl>
    <w:p>
      <w:pPr>
        <w:spacing w:after="120"/>
      </w:pPr>
    </w:p>
    <w:p>
      <w:pPr>
        <w:spacing w:after="120"/>
      </w:pPr>
      <w:r>
        <w:rPr>
          <w:rFonts w:ascii="Calibri" w:cs="Calibri" w:eastAsia="Calibri" w:hAnsi="Calibri"/>
          <w:i/>
          <w:iCs/>
          <w:color w:val="5A5A5A"/>
          <w:sz w:val="19"/>
          <w:szCs w:val="19"/>
        </w:rPr>
        <w:t xml:space="preserve">Audit(s): F = functional, P = physical, C = combined, D = delta audit of open scope.</w:t>
      </w:r>
    </w:p>
    <w:p>
      <w:pPr>
        <w:pStyle w:val="Heading2"/>
        <w:spacing w:after="100" w:before="240"/>
      </w:pPr>
      <w:r>
        <w:rPr>
          <w:rFonts w:ascii="Cambria" w:cs="Cambria" w:eastAsia="Cambria" w:hAnsi="Cambria"/>
          <w:b/>
          <w:bCs/>
          <w:color w:val="1F3864"/>
          <w:sz w:val="25"/>
          <w:szCs w:val="25"/>
        </w:rPr>
        <w:t xml:space="preserve">2.1  Designation currency</w:t>
      </w:r>
    </w:p>
    <w:p>
      <w:pPr>
        <w:spacing w:after="60"/>
      </w:pPr>
      <w:r>
        <w:rPr>
          <w:rFonts w:ascii="Calibri" w:cs="Calibri" w:eastAsia="Calibri" w:hAnsi="Calibri"/>
          <w:color w:val="1A1A1A"/>
          <w:sz w:val="21"/>
          <w:szCs w:val="21"/>
        </w:rPr>
        <w:t xml:space="preserve">The designation assessment for each item above is confirmed current at audit entry. The assessment is re-run on any of the following.</w:t>
      </w:r>
    </w:p>
    <w:p>
      <w:pPr>
        <w:pStyle w:val="ListParagraph"/>
        <w:numPr>
          <w:ilvl w:val="0"/>
          <w:numId w:val="1"/>
        </w:numPr>
        <w:spacing w:after="70"/>
      </w:pPr>
      <w:r>
        <w:rPr>
          <w:rFonts w:ascii="Calibri" w:cs="Calibri" w:eastAsia="Calibri" w:hAnsi="Calibri"/>
          <w:color w:val="1A1A1A"/>
          <w:sz w:val="21"/>
          <w:szCs w:val="21"/>
        </w:rPr>
        <w:t xml:space="preserve">A substantive design, process, facility, tooling or supplier change.</w:t>
      </w:r>
    </w:p>
    <w:p>
      <w:pPr>
        <w:pStyle w:val="ListParagraph"/>
        <w:numPr>
          <w:ilvl w:val="0"/>
          <w:numId w:val="1"/>
        </w:numPr>
        <w:spacing w:after="70"/>
      </w:pPr>
      <w:r>
        <w:rPr>
          <w:rFonts w:ascii="Calibri" w:cs="Calibri" w:eastAsia="Calibri" w:hAnsi="Calibri"/>
          <w:color w:val="1A1A1A"/>
          <w:sz w:val="21"/>
          <w:szCs w:val="21"/>
        </w:rPr>
        <w:t xml:space="preserve">A quality escape or safety event traceable to the item.</w:t>
      </w:r>
    </w:p>
    <w:p>
      <w:pPr>
        <w:pStyle w:val="ListParagraph"/>
        <w:numPr>
          <w:ilvl w:val="0"/>
          <w:numId w:val="1"/>
        </w:numPr>
        <w:spacing w:after="70"/>
      </w:pPr>
      <w:r>
        <w:rPr>
          <w:rFonts w:ascii="Calibri" w:cs="Calibri" w:eastAsia="Calibri" w:hAnsi="Calibri"/>
          <w:color w:val="1A1A1A"/>
          <w:sz w:val="21"/>
          <w:szCs w:val="21"/>
        </w:rPr>
        <w:t xml:space="preserve">A reconciliation anomaly.</w:t>
      </w:r>
    </w:p>
    <w:p>
      <w:pPr>
        <w:pStyle w:val="ListParagraph"/>
        <w:numPr>
          <w:ilvl w:val="0"/>
          <w:numId w:val="1"/>
        </w:numPr>
        <w:spacing w:after="70"/>
      </w:pPr>
      <w:r>
        <w:rPr>
          <w:rFonts w:ascii="Calibri" w:cs="Calibri" w:eastAsia="Calibri" w:hAnsi="Calibri"/>
          <w:color w:val="1A1A1A"/>
          <w:sz w:val="21"/>
          <w:szCs w:val="21"/>
        </w:rPr>
        <w:t xml:space="preserve">A hazard log revision adding a risk control to the item.</w:t>
      </w:r>
    </w:p>
    <w:p>
      <w:pPr>
        <w:pStyle w:val="ListParagraph"/>
        <w:numPr>
          <w:ilvl w:val="0"/>
          <w:numId w:val="1"/>
        </w:numPr>
        <w:spacing w:after="140"/>
      </w:pPr>
      <w:r>
        <w:rPr>
          <w:rFonts w:ascii="Calibri" w:cs="Calibri" w:eastAsia="Calibri" w:hAnsi="Calibri"/>
          <w:color w:val="1A1A1A"/>
          <w:sz w:val="21"/>
          <w:szCs w:val="21"/>
        </w:rPr>
        <w:t xml:space="preserve">A revision of the program configuration management plan.</w:t>
      </w:r>
    </w:p>
    <w:p>
      <w:pPr>
        <w:spacing w:after="120"/>
      </w:pPr>
      <w:r>
        <w:rPr>
          <w:rFonts w:ascii="Calibri" w:cs="Calibri" w:eastAsia="Calibri" w:hAnsi="Calibri"/>
          <w:b/>
          <w:bCs/>
          <w:color w:val="1A1A1A"/>
          <w:sz w:val="21"/>
          <w:szCs w:val="21"/>
        </w:rPr>
        <w:t xml:space="preserve">Date designation last confirmed for all items in this plan:  </w:t>
      </w:r>
      <w:r>
        <w:rPr>
          <w:rFonts w:ascii="Calibri" w:cs="Calibri" w:eastAsia="Calibri" w:hAnsi="Calibri"/>
          <w:color w:val="5A5A5A"/>
          <w:sz w:val="21"/>
          <w:szCs w:val="21"/>
        </w:rPr>
        <w:t xml:space="preserve">[  ]</w:t>
      </w:r>
    </w:p>
    <w:p>
      <w:pPr>
        <w:pStyle w:val="Heading1"/>
        <w:spacing w:after="140" w:before="360"/>
      </w:pPr>
      <w:r>
        <w:rPr>
          <w:rFonts w:ascii="Cambria" w:cs="Cambria" w:eastAsia="Cambria" w:hAnsi="Cambria"/>
          <w:b/>
          <w:bCs/>
          <w:color w:val="1F3864"/>
          <w:sz w:val="30"/>
          <w:szCs w:val="30"/>
        </w:rPr>
        <w:t xml:space="preserve">3.  Audit Approach</w:t>
      </w:r>
    </w:p>
    <w:p>
      <w:pPr>
        <w:pStyle w:val="Heading2"/>
        <w:spacing w:after="100" w:before="240"/>
      </w:pPr>
      <w:r>
        <w:rPr>
          <w:rFonts w:ascii="Cambria" w:cs="Cambria" w:eastAsia="Cambria" w:hAnsi="Cambria"/>
          <w:b/>
          <w:bCs/>
          <w:color w:val="1F3864"/>
          <w:sz w:val="25"/>
          <w:szCs w:val="25"/>
        </w:rPr>
        <w:t xml:space="preserve">3.1  Sequence and prerequisites</w:t>
      </w:r>
    </w:p>
    <w:p>
      <w:pPr>
        <w:spacing w:after="120"/>
      </w:pPr>
      <w:r>
        <w:rPr>
          <w:rFonts w:ascii="Calibri" w:cs="Calibri" w:eastAsia="Calibri" w:hAnsi="Calibri"/>
          <w:color w:val="1A1A1A"/>
          <w:sz w:val="21"/>
          <w:szCs w:val="21"/>
        </w:rPr>
        <w:t xml:space="preserve">Audits proceed bottom-up. Lower-level items come first, then subsystems, then the system. The prerequisites below apply. The audit team confirms each one before the audit convenes.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300"/>
        <w:gridCol w:w="6360"/>
        <w:gridCol w:w="1700"/>
      </w:tblGrid>
      <w:tr>
        <w:trPr>
          <w:tblHeader/>
        </w:trPr>
        <w:tc>
          <w:tcPr>
            <w:tcW w:type="dxa" w:w="13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Audit</w:t>
            </w:r>
          </w:p>
        </w:tc>
        <w:tc>
          <w:tcPr>
            <w:tcW w:type="dxa" w:w="63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Prerequisite</w:t>
            </w:r>
          </w:p>
        </w:tc>
        <w:tc>
          <w:tcPr>
            <w:tcW w:type="dxa" w:w="17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Confirmed by</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w:t>
            </w:r>
          </w:p>
        </w:tc>
        <w:tc>
          <w:tcPr>
            <w:tcW w:type="dxa" w:w="636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approval of the functional and allocated documentation for the item or system</w:t>
            </w:r>
          </w:p>
        </w:tc>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w:t>
            </w:r>
          </w:p>
        </w:tc>
        <w:tc>
          <w:tcPr>
            <w:tcW w:type="dxa" w:w="636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Approved requirements allocation matrix available for the item. It establishes which requirements the item is accountable for and therefore sets the scope of the audit</w:t>
            </w:r>
          </w:p>
        </w:tc>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w:t>
            </w:r>
          </w:p>
        </w:tc>
        <w:tc>
          <w:tcPr>
            <w:tcW w:type="dxa" w:w="6360"/>
            <w:tcMar>
              <w:top w:type="dxa" w:w="70"/>
              <w:left w:type="dxa" w:w="110"/>
              <w:bottom w:type="dxa" w:w="70"/>
              <w:right w:type="dxa" w:w="110"/>
            </w:tcMar>
          </w:tcPr>
          <w:p>
            <w:pPr>
              <w:spacing w:after="0"/>
            </w:pPr>
            <w:r>
              <w:rPr>
                <w:rFonts w:ascii="Calibri" w:cs="Calibri" w:eastAsia="Calibri" w:hAnsi="Calibri"/>
                <w:color w:val="1A1A1A"/>
                <w:sz w:val="19"/>
                <w:szCs w:val="19"/>
              </w:rPr>
              <w:t xml:space="preserve">Test data drawn from verification of the configuration being formally accepted or released for production</w:t>
            </w:r>
          </w:p>
        </w:tc>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w:t>
            </w:r>
          </w:p>
        </w:tc>
        <w:tc>
          <w:tcPr>
            <w:tcW w:type="dxa" w:w="636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audit successfully completed, or conducted concurrently, with minutes available</w:t>
            </w:r>
          </w:p>
        </w:tc>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w:t>
            </w:r>
          </w:p>
        </w:tc>
        <w:tc>
          <w:tcPr>
            <w:tcW w:type="dxa" w:w="6360"/>
            <w:tcMar>
              <w:top w:type="dxa" w:w="70"/>
              <w:left w:type="dxa" w:w="110"/>
              <w:bottom w:type="dxa" w:w="70"/>
              <w:right w:type="dxa" w:w="110"/>
            </w:tcMar>
          </w:tcPr>
          <w:p>
            <w:pPr>
              <w:spacing w:after="0"/>
            </w:pPr>
            <w:r>
              <w:rPr>
                <w:rFonts w:ascii="Calibri" w:cs="Calibri" w:eastAsia="Calibri" w:hAnsi="Calibri"/>
                <w:color w:val="1A1A1A"/>
                <w:sz w:val="19"/>
                <w:szCs w:val="19"/>
              </w:rPr>
              <w:t xml:space="preserve">As-designed to as-built reconciliation report for the specific audit unit, including its non-conformance records and their dispositions. This is the primary input to the audit</w:t>
            </w:r>
          </w:p>
        </w:tc>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w:t>
            </w:r>
          </w:p>
        </w:tc>
        <w:tc>
          <w:tcPr>
            <w:tcW w:type="dxa" w:w="6360"/>
            <w:tcMar>
              <w:top w:type="dxa" w:w="70"/>
              <w:left w:type="dxa" w:w="110"/>
              <w:bottom w:type="dxa" w:w="70"/>
              <w:right w:type="dxa" w:w="110"/>
            </w:tcMar>
          </w:tcPr>
          <w:p>
            <w:pPr>
              <w:spacing w:after="0"/>
            </w:pPr>
            <w:r>
              <w:rPr>
                <w:rFonts w:ascii="Calibri" w:cs="Calibri" w:eastAsia="Calibri" w:hAnsi="Calibri"/>
                <w:color w:val="1A1A1A"/>
                <w:sz w:val="19"/>
                <w:szCs w:val="19"/>
              </w:rPr>
              <w:t xml:space="preserve">For the specific unit: no open work orders. Every work order against the unit is complete and closed</w:t>
            </w:r>
          </w:p>
        </w:tc>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w:t>
            </w:r>
          </w:p>
        </w:tc>
        <w:tc>
          <w:tcPr>
            <w:tcW w:type="dxa" w:w="6360"/>
            <w:tcMar>
              <w:top w:type="dxa" w:w="70"/>
              <w:left w:type="dxa" w:w="110"/>
              <w:bottom w:type="dxa" w:w="70"/>
              <w:right w:type="dxa" w:w="110"/>
            </w:tcMar>
          </w:tcPr>
          <w:p>
            <w:pPr>
              <w:spacing w:after="0"/>
            </w:pPr>
            <w:r>
              <w:rPr>
                <w:rFonts w:ascii="Calibri" w:cs="Calibri" w:eastAsia="Calibri" w:hAnsi="Calibri"/>
                <w:color w:val="1A1A1A"/>
                <w:sz w:val="19"/>
                <w:szCs w:val="19"/>
              </w:rPr>
              <w:t xml:space="preserve">For the specific unit: no open non-conformance records. Every record has been dispositioned by the required authority</w:t>
            </w:r>
          </w:p>
        </w:tc>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w:t>
            </w:r>
          </w:p>
        </w:tc>
        <w:tc>
          <w:tcPr>
            <w:tcW w:type="dxa" w:w="6360"/>
            <w:tcMar>
              <w:top w:type="dxa" w:w="70"/>
              <w:left w:type="dxa" w:w="110"/>
              <w:bottom w:type="dxa" w:w="70"/>
              <w:right w:type="dxa" w:w="110"/>
            </w:tcMar>
          </w:tcPr>
          <w:p>
            <w:pPr>
              <w:spacing w:after="0"/>
            </w:pPr>
            <w:r>
              <w:rPr>
                <w:rFonts w:ascii="Calibri" w:cs="Calibri" w:eastAsia="Calibri" w:hAnsi="Calibri"/>
                <w:color w:val="1A1A1A"/>
                <w:sz w:val="19"/>
                <w:szCs w:val="19"/>
              </w:rPr>
              <w:t xml:space="preserve">For the specific unit: no open dispositions. Every disposition has been carried out and verified</w:t>
            </w:r>
          </w:p>
        </w:tc>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pPr>
        <w:spacing w:after="120"/>
      </w:pPr>
    </w:p>
    <w:p>
      <w:pPr>
        <w:spacing w:after="120"/>
      </w:pPr>
      <w:r>
        <w:rPr>
          <w:rFonts w:ascii="Calibri" w:cs="Calibri" w:eastAsia="Calibri" w:hAnsi="Calibri"/>
          <w:i/>
          <w:iCs/>
          <w:color w:val="5A5A5A"/>
          <w:sz w:val="19"/>
          <w:szCs w:val="19"/>
        </w:rPr>
        <w:t xml:space="preserve">The physical audit examines the as-built configuration of a validated item, and validation is what the functional audit produces. The order is not a scheduling convention and is not reversed to protect a date.</w:t>
      </w:r>
    </w:p>
    <w:p>
      <w:pPr>
        <w:spacing w:after="120"/>
      </w:pPr>
      <w:r>
        <w:rPr>
          <w:rFonts w:ascii="Calibri" w:cs="Calibri" w:eastAsia="Calibri" w:hAnsi="Calibri"/>
          <w:i/>
          <w:iCs/>
          <w:color w:val="5A5A5A"/>
          <w:sz w:val="19"/>
          <w:szCs w:val="19"/>
        </w:rPr>
        <w:t xml:space="preserve">Any one of the three closeout conditions open is a stop condition. The audit is rescheduled rather than conducted with the item carried as an action. The third condition is the one people miss. A unit can show every non-conformance record dispositioned and still have rework in the queue.</w:t>
      </w:r>
    </w:p>
    <w:p>
      <w:pPr>
        <w:pStyle w:val="Heading2"/>
        <w:spacing w:after="100" w:before="240"/>
      </w:pPr>
      <w:r>
        <w:rPr>
          <w:rFonts w:ascii="Cambria" w:cs="Cambria" w:eastAsia="Cambria" w:hAnsi="Cambria"/>
          <w:b/>
          <w:bCs/>
          <w:color w:val="1F3864"/>
          <w:sz w:val="25"/>
          <w:szCs w:val="25"/>
        </w:rPr>
        <w:t xml:space="preserve">3.2  Combined, incremental and delta audits</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State which applies and why. A combined functional and physical event is used only where there is high confidence that the requirements of both can be satisfied in one timeline. The decision is made from evidence of readiness. It is not a way to recover schedule. Where verification depends on testing not yet performed, plan the delta audit now rather than treating the gap informally.</w:t>
      </w:r>
    </w:p>
    <w:p>
      <w:pPr>
        <w:spacing w:after="120"/>
      </w:pPr>
      <w:r>
        <w:rPr>
          <w:rFonts w:ascii="Calibri" w:cs="Calibri" w:eastAsia="Calibri" w:hAnsi="Calibri"/>
          <w:b/>
          <w:bCs/>
          <w:color w:val="1A1A1A"/>
          <w:sz w:val="21"/>
          <w:szCs w:val="21"/>
        </w:rPr>
        <w:t xml:space="preserve">Approach for this program:  </w:t>
      </w:r>
      <w:r>
        <w:rPr>
          <w:rFonts w:ascii="Calibri" w:cs="Calibri" w:eastAsia="Calibri" w:hAnsi="Calibri"/>
          <w:color w:val="5A5A5A"/>
          <w:sz w:val="21"/>
          <w:szCs w:val="21"/>
        </w:rPr>
        <w:t xml:space="preserve">[incremental / combined / delta]</w:t>
      </w:r>
    </w:p>
    <w:p>
      <w:pPr>
        <w:spacing w:after="120"/>
      </w:pPr>
      <w:r>
        <w:rPr>
          <w:rFonts w:ascii="Calibri" w:cs="Calibri" w:eastAsia="Calibri" w:hAnsi="Calibri"/>
          <w:b/>
          <w:bCs/>
          <w:color w:val="1A1A1A"/>
          <w:sz w:val="21"/>
          <w:szCs w:val="21"/>
        </w:rPr>
        <w:t xml:space="preserve">Reasoning:  </w:t>
      </w:r>
      <w:r>
        <w:rPr>
          <w:rFonts w:ascii="Calibri" w:cs="Calibri" w:eastAsia="Calibri" w:hAnsi="Calibri"/>
          <w:color w:val="5A5A5A"/>
          <w:sz w:val="21"/>
          <w:szCs w:val="21"/>
        </w:rPr>
        <w:t xml:space="preserve">[  ]</w:t>
      </w:r>
    </w:p>
    <w:p>
      <w:pPr>
        <w:pStyle w:val="Heading2"/>
        <w:spacing w:after="100" w:before="240"/>
      </w:pPr>
      <w:r>
        <w:rPr>
          <w:rFonts w:ascii="Cambria" w:cs="Cambria" w:eastAsia="Cambria" w:hAnsi="Cambria"/>
          <w:b/>
          <w:bCs/>
          <w:color w:val="1F3864"/>
          <w:sz w:val="25"/>
          <w:szCs w:val="25"/>
        </w:rPr>
        <w:t xml:space="preserve">3.3  Audit initiation</w:t>
      </w:r>
    </w:p>
    <w:p>
      <w:pPr>
        <w:spacing w:after="120"/>
      </w:pPr>
      <w:r>
        <w:rPr>
          <w:rFonts w:ascii="Calibri" w:cs="Calibri" w:eastAsia="Calibri" w:hAnsi="Calibri"/>
          <w:color w:val="1A1A1A"/>
          <w:sz w:val="21"/>
          <w:szCs w:val="21"/>
        </w:rPr>
        <w:t xml:space="preserve">Where an audit is initiated internally rather than chaired by the Acquirer, the ceremony may be simplified. An internal co-chair chairs the audit. Internal certification stands in lieu of Acquirer participation.</w:t>
      </w:r>
    </w:p>
    <w:p>
      <w:pPr>
        <w:spacing w:after="60"/>
      </w:pPr>
      <w:r>
        <w:rPr>
          <w:rFonts w:ascii="Calibri" w:cs="Calibri" w:eastAsia="Calibri" w:hAnsi="Calibri"/>
          <w:color w:val="1A1A1A"/>
          <w:sz w:val="21"/>
          <w:szCs w:val="21"/>
        </w:rPr>
        <w:t xml:space="preserve">The substance is performed in full. That means four things.</w:t>
      </w:r>
    </w:p>
    <w:p>
      <w:pPr>
        <w:pStyle w:val="ListParagraph"/>
        <w:numPr>
          <w:ilvl w:val="0"/>
          <w:numId w:val="1"/>
        </w:numPr>
        <w:spacing w:after="70"/>
      </w:pPr>
      <w:r>
        <w:rPr>
          <w:rFonts w:ascii="Calibri" w:cs="Calibri" w:eastAsia="Calibri" w:hAnsi="Calibri"/>
          <w:color w:val="1A1A1A"/>
          <w:sz w:val="21"/>
          <w:szCs w:val="21"/>
        </w:rPr>
        <w:t xml:space="preserve">The reconciliation of requirements to test, with its traceability matrix.</w:t>
      </w:r>
    </w:p>
    <w:p>
      <w:pPr>
        <w:pStyle w:val="ListParagraph"/>
        <w:numPr>
          <w:ilvl w:val="0"/>
          <w:numId w:val="1"/>
        </w:numPr>
        <w:spacing w:after="70"/>
      </w:pPr>
      <w:r>
        <w:rPr>
          <w:rFonts w:ascii="Calibri" w:cs="Calibri" w:eastAsia="Calibri" w:hAnsi="Calibri"/>
          <w:color w:val="1A1A1A"/>
          <w:sz w:val="21"/>
          <w:szCs w:val="21"/>
        </w:rPr>
        <w:t xml:space="preserve">The as-built examination, including verification that the proper parts are installed.</w:t>
      </w:r>
    </w:p>
    <w:p>
      <w:pPr>
        <w:pStyle w:val="ListParagraph"/>
        <w:numPr>
          <w:ilvl w:val="0"/>
          <w:numId w:val="1"/>
        </w:numPr>
        <w:spacing w:after="70"/>
      </w:pPr>
      <w:r>
        <w:rPr>
          <w:rFonts w:ascii="Calibri" w:cs="Calibri" w:eastAsia="Calibri" w:hAnsi="Calibri"/>
          <w:color w:val="1A1A1A"/>
          <w:sz w:val="21"/>
          <w:szCs w:val="21"/>
        </w:rPr>
        <w:t xml:space="preserve">The identification and certification of differences between the production unit and the unit used at the functional audit.</w:t>
      </w:r>
    </w:p>
    <w:p>
      <w:pPr>
        <w:pStyle w:val="ListParagraph"/>
        <w:numPr>
          <w:ilvl w:val="0"/>
          <w:numId w:val="1"/>
        </w:numPr>
        <w:spacing w:after="140"/>
      </w:pPr>
      <w:r>
        <w:rPr>
          <w:rFonts w:ascii="Calibri" w:cs="Calibri" w:eastAsia="Calibri" w:hAnsi="Calibri"/>
          <w:color w:val="1A1A1A"/>
          <w:sz w:val="21"/>
          <w:szCs w:val="21"/>
        </w:rPr>
        <w:t xml:space="preserve">The documentation of every non-compliance.</w:t>
      </w:r>
    </w:p>
    <w:p>
      <w:pPr>
        <w:spacing w:after="120"/>
      </w:pPr>
      <w:r>
        <w:rPr>
          <w:rFonts w:ascii="Calibri" w:cs="Calibri" w:eastAsia="Calibri" w:hAnsi="Calibri"/>
          <w:color w:val="1A1A1A"/>
          <w:sz w:val="21"/>
          <w:szCs w:val="21"/>
        </w:rPr>
        <w:t xml:space="preserve">Each element of that substance is mandatory for safety. Findings affecting hazard risk controls route per SM-0001.</w:t>
      </w:r>
    </w:p>
    <w:p>
      <w:pPr>
        <w:spacing w:after="120"/>
      </w:pPr>
      <w:r>
        <w:rPr>
          <w:rFonts w:ascii="Calibri" w:cs="Calibri" w:eastAsia="Calibri" w:hAnsi="Calibri"/>
          <w:b/>
          <w:bCs/>
          <w:color w:val="1A1A1A"/>
          <w:sz w:val="21"/>
          <w:szCs w:val="21"/>
        </w:rPr>
        <w:t xml:space="preserve">Initiation for the audits in this plan:  </w:t>
      </w:r>
      <w:r>
        <w:rPr>
          <w:rFonts w:ascii="Calibri" w:cs="Calibri" w:eastAsia="Calibri" w:hAnsi="Calibri"/>
          <w:color w:val="5A5A5A"/>
          <w:sz w:val="21"/>
          <w:szCs w:val="21"/>
        </w:rPr>
        <w:t xml:space="preserve">[Acquirer-chaired / internally initiated]</w:t>
      </w:r>
    </w:p>
    <w:p>
      <w:pPr>
        <w:pStyle w:val="Heading1"/>
        <w:spacing w:after="140" w:before="360"/>
      </w:pPr>
      <w:r>
        <w:rPr>
          <w:rFonts w:ascii="Cambria" w:cs="Cambria" w:eastAsia="Cambria" w:hAnsi="Cambria"/>
          <w:b/>
          <w:bCs/>
          <w:color w:val="1F3864"/>
          <w:sz w:val="30"/>
          <w:szCs w:val="30"/>
        </w:rPr>
        <w:t xml:space="preserve">4.  Schedule</w:t>
      </w:r>
    </w:p>
    <w:p>
      <w:pPr>
        <w:pStyle w:val="Heading2"/>
        <w:spacing w:after="100" w:before="240"/>
      </w:pPr>
      <w:r>
        <w:rPr>
          <w:rFonts w:ascii="Cambria" w:cs="Cambria" w:eastAsia="Cambria" w:hAnsi="Cambria"/>
          <w:b/>
          <w:bCs/>
          <w:color w:val="1F3864"/>
          <w:sz w:val="25"/>
          <w:szCs w:val="25"/>
        </w:rPr>
        <w:t xml:space="preserve">4.1  Key dates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5560"/>
        <w:gridCol w:w="2000"/>
        <w:gridCol w:w="1800"/>
      </w:tblGrid>
      <w:tr>
        <w:trPr>
          <w:tblHeader/>
        </w:trPr>
        <w:tc>
          <w:tcPr>
            <w:tcW w:type="dxa" w:w="55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Milestone</w:t>
            </w:r>
          </w:p>
        </w:tc>
        <w:tc>
          <w:tcPr>
            <w:tcW w:type="dxa" w:w="20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Planned date</w:t>
            </w:r>
          </w:p>
        </w:tc>
        <w:tc>
          <w:tcPr>
            <w:tcW w:type="dxa" w:w="18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Owner</w:t>
            </w: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planning conference (30 to 60 days before the audit)</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Designation sweep run (system-level audits only)</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Plan and agenda submitted to the Acquirer</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Plan and agenda approved</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Entry criteria complete</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Data package complete and provided</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convenes</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concludes</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 delivered (no later than 60 days after completion, or per contract)</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Action items closed</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Summary report issued</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verification of completed action items</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Detailed final report issued</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Delta audit convened (where planned)</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5560"/>
            <w:tcMar>
              <w:top w:type="dxa" w:w="70"/>
              <w:left w:type="dxa" w:w="110"/>
              <w:bottom w:type="dxa" w:w="70"/>
              <w:right w:type="dxa" w:w="110"/>
            </w:tcMar>
          </w:tcPr>
          <w:p>
            <w:pPr>
              <w:spacing w:after="0"/>
            </w:pPr>
            <w:r>
              <w:rPr>
                <w:rFonts w:ascii="Calibri" w:cs="Calibri" w:eastAsia="Calibri" w:hAnsi="Calibri"/>
                <w:color w:val="1A1A1A"/>
                <w:sz w:val="19"/>
                <w:szCs w:val="19"/>
              </w:rPr>
              <w:t xml:space="preserve">Certification and disposition</w:t>
            </w:r>
          </w:p>
        </w:tc>
        <w:tc>
          <w:tcPr>
            <w:tcW w:type="dxa" w:w="20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bl>
    <w:p>
      <w:pPr>
        <w:spacing w:after="120"/>
      </w:pP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Work backwards from the audit date using each item’s lead time. Entry criteria run 45 to 60 days out, data package items around 21 days out, and logistics inside the final two weeks. Confirm the audit date is compatible with the actual availability of the information and the contract articles before agreeing it. A date agreed without that confirmation will move.</w:t>
      </w:r>
    </w:p>
    <w:p>
      <w:pPr>
        <w:pStyle w:val="Heading2"/>
        <w:spacing w:after="100" w:before="240"/>
      </w:pPr>
      <w:r>
        <w:rPr>
          <w:rFonts w:ascii="Cambria" w:cs="Cambria" w:eastAsia="Cambria" w:hAnsi="Cambria"/>
          <w:b/>
          <w:bCs/>
          <w:color w:val="1F3864"/>
          <w:sz w:val="25"/>
          <w:szCs w:val="25"/>
        </w:rPr>
        <w:t xml:space="preserve">4.2  Chronological schedule of proceedings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500"/>
        <w:gridCol w:w="3860"/>
        <w:gridCol w:w="2200"/>
        <w:gridCol w:w="1800"/>
      </w:tblGrid>
      <w:tr>
        <w:trPr>
          <w:tblHeader/>
        </w:trPr>
        <w:tc>
          <w:tcPr>
            <w:tcW w:type="dxa" w:w="15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Day / time</w:t>
            </w:r>
          </w:p>
        </w:tc>
        <w:tc>
          <w:tcPr>
            <w:tcW w:type="dxa" w:w="38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Activity</w:t>
            </w:r>
          </w:p>
        </w:tc>
        <w:tc>
          <w:tcPr>
            <w:tcW w:type="dxa" w:w="22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Participants</w:t>
            </w:r>
          </w:p>
        </w:tc>
        <w:tc>
          <w:tcPr>
            <w:tcW w:type="dxa" w:w="18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Location</w:t>
            </w:r>
          </w:p>
        </w:tc>
      </w:tr>
      <w:tr>
        <w:tc>
          <w:tcPr>
            <w:tcW w:type="dxa" w:w="1500"/>
            <w:tcMar>
              <w:top w:type="dxa" w:w="70"/>
              <w:left w:type="dxa" w:w="110"/>
              <w:bottom w:type="dxa" w:w="70"/>
              <w:right w:type="dxa" w:w="110"/>
            </w:tcMar>
          </w:tcPr>
          <w:p>
            <w:pPr>
              <w:spacing w:after="0"/>
            </w:pPr>
          </w:p>
        </w:tc>
        <w:tc>
          <w:tcPr>
            <w:tcW w:type="dxa" w:w="3860"/>
            <w:tcMar>
              <w:top w:type="dxa" w:w="70"/>
              <w:left w:type="dxa" w:w="110"/>
              <w:bottom w:type="dxa" w:w="70"/>
              <w:right w:type="dxa" w:w="110"/>
            </w:tcMar>
          </w:tcPr>
          <w:p>
            <w:pPr>
              <w:spacing w:after="0"/>
            </w:pPr>
            <w:r>
              <w:rPr>
                <w:rFonts w:ascii="Calibri" w:cs="Calibri" w:eastAsia="Calibri" w:hAnsi="Calibri"/>
                <w:color w:val="1A1A1A"/>
                <w:sz w:val="19"/>
                <w:szCs w:val="19"/>
              </w:rPr>
              <w:t xml:space="preserve">Opening briefing and administrative brief</w:t>
            </w:r>
          </w:p>
        </w:tc>
        <w:tc>
          <w:tcPr>
            <w:tcW w:type="dxa" w:w="22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1500"/>
            <w:tcMar>
              <w:top w:type="dxa" w:w="70"/>
              <w:left w:type="dxa" w:w="110"/>
              <w:bottom w:type="dxa" w:w="70"/>
              <w:right w:type="dxa" w:w="110"/>
            </w:tcMar>
          </w:tcPr>
          <w:p>
            <w:pPr>
              <w:spacing w:after="0"/>
            </w:pPr>
          </w:p>
        </w:tc>
        <w:tc>
          <w:tcPr>
            <w:tcW w:type="dxa" w:w="386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Design-team briefing per item audited</w:t>
            </w:r>
          </w:p>
        </w:tc>
        <w:tc>
          <w:tcPr>
            <w:tcW w:type="dxa" w:w="22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1500"/>
            <w:tcMar>
              <w:top w:type="dxa" w:w="70"/>
              <w:left w:type="dxa" w:w="110"/>
              <w:bottom w:type="dxa" w:w="70"/>
              <w:right w:type="dxa" w:w="110"/>
            </w:tcMar>
          </w:tcPr>
          <w:p>
            <w:pPr>
              <w:spacing w:after="0"/>
            </w:pPr>
          </w:p>
        </w:tc>
        <w:tc>
          <w:tcPr>
            <w:tcW w:type="dxa" w:w="3860"/>
            <w:tcMar>
              <w:top w:type="dxa" w:w="70"/>
              <w:left w:type="dxa" w:w="110"/>
              <w:bottom w:type="dxa" w:w="70"/>
              <w:right w:type="dxa" w:w="110"/>
            </w:tcMar>
          </w:tcPr>
          <w:p>
            <w:pPr>
              <w:spacing w:after="0"/>
            </w:pPr>
          </w:p>
        </w:tc>
        <w:tc>
          <w:tcPr>
            <w:tcW w:type="dxa" w:w="22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1500"/>
            <w:tcMar>
              <w:top w:type="dxa" w:w="70"/>
              <w:left w:type="dxa" w:w="110"/>
              <w:bottom w:type="dxa" w:w="70"/>
              <w:right w:type="dxa" w:w="110"/>
            </w:tcMar>
          </w:tcPr>
          <w:p>
            <w:pPr>
              <w:spacing w:after="0"/>
            </w:pPr>
          </w:p>
        </w:tc>
        <w:tc>
          <w:tcPr>
            <w:tcW w:type="dxa" w:w="3860"/>
            <w:tcMar>
              <w:top w:type="dxa" w:w="70"/>
              <w:left w:type="dxa" w:w="110"/>
              <w:bottom w:type="dxa" w:w="70"/>
              <w:right w:type="dxa" w:w="110"/>
            </w:tcMar>
          </w:tcPr>
          <w:p>
            <w:pPr>
              <w:spacing w:after="0"/>
            </w:pPr>
          </w:p>
        </w:tc>
        <w:tc>
          <w:tcPr>
            <w:tcW w:type="dxa" w:w="22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1500"/>
            <w:tcMar>
              <w:top w:type="dxa" w:w="70"/>
              <w:left w:type="dxa" w:w="110"/>
              <w:bottom w:type="dxa" w:w="70"/>
              <w:right w:type="dxa" w:w="110"/>
            </w:tcMar>
          </w:tcPr>
          <w:p>
            <w:pPr>
              <w:spacing w:after="0"/>
            </w:pPr>
          </w:p>
        </w:tc>
        <w:tc>
          <w:tcPr>
            <w:tcW w:type="dxa" w:w="3860"/>
            <w:tcMar>
              <w:top w:type="dxa" w:w="70"/>
              <w:left w:type="dxa" w:w="110"/>
              <w:bottom w:type="dxa" w:w="70"/>
              <w:right w:type="dxa" w:w="110"/>
            </w:tcMar>
          </w:tcPr>
          <w:p>
            <w:pPr>
              <w:spacing w:after="0"/>
            </w:pPr>
            <w:r>
              <w:rPr>
                <w:rFonts w:ascii="Calibri" w:cs="Calibri" w:eastAsia="Calibri" w:hAnsi="Calibri"/>
                <w:color w:val="1A1A1A"/>
                <w:sz w:val="19"/>
                <w:szCs w:val="19"/>
              </w:rPr>
              <w:t xml:space="preserve">Daily minutes review</w:t>
            </w:r>
          </w:p>
        </w:tc>
        <w:tc>
          <w:tcPr>
            <w:tcW w:type="dxa" w:w="22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r>
        <w:tc>
          <w:tcPr>
            <w:tcW w:type="dxa" w:w="1500"/>
            <w:tcMar>
              <w:top w:type="dxa" w:w="70"/>
              <w:left w:type="dxa" w:w="110"/>
              <w:bottom w:type="dxa" w:w="70"/>
              <w:right w:type="dxa" w:w="110"/>
            </w:tcMar>
          </w:tcPr>
          <w:p>
            <w:pPr>
              <w:spacing w:after="0"/>
            </w:pPr>
          </w:p>
        </w:tc>
        <w:tc>
          <w:tcPr>
            <w:tcW w:type="dxa" w:w="3860"/>
            <w:tcMar>
              <w:top w:type="dxa" w:w="70"/>
              <w:left w:type="dxa" w:w="110"/>
              <w:bottom w:type="dxa" w:w="70"/>
              <w:right w:type="dxa" w:w="110"/>
            </w:tcMar>
          </w:tcPr>
          <w:p>
            <w:pPr>
              <w:spacing w:after="0"/>
            </w:pPr>
            <w:r>
              <w:rPr>
                <w:rFonts w:ascii="Calibri" w:cs="Calibri" w:eastAsia="Calibri" w:hAnsi="Calibri"/>
                <w:color w:val="1A1A1A"/>
                <w:sz w:val="19"/>
                <w:szCs w:val="19"/>
              </w:rPr>
              <w:t xml:space="preserve">Management out-brief</w:t>
            </w:r>
          </w:p>
        </w:tc>
        <w:tc>
          <w:tcPr>
            <w:tcW w:type="dxa" w:w="2200"/>
            <w:tcMar>
              <w:top w:type="dxa" w:w="70"/>
              <w:left w:type="dxa" w:w="110"/>
              <w:bottom w:type="dxa" w:w="70"/>
              <w:right w:type="dxa" w:w="110"/>
            </w:tcMar>
          </w:tcPr>
          <w:p>
            <w:pPr>
              <w:spacing w:after="0"/>
            </w:pPr>
          </w:p>
        </w:tc>
        <w:tc>
          <w:tcPr>
            <w:tcW w:type="dxa" w:w="1800"/>
            <w:tcMar>
              <w:top w:type="dxa" w:w="70"/>
              <w:left w:type="dxa" w:w="110"/>
              <w:bottom w:type="dxa" w:w="70"/>
              <w:right w:type="dxa" w:w="110"/>
            </w:tcMar>
          </w:tcPr>
          <w:p>
            <w:pPr>
              <w:spacing w:after="0"/>
            </w:pPr>
          </w:p>
        </w:tc>
      </w:tr>
    </w:tbl>
    <w:p>
      <w:pPr>
        <w:pStyle w:val="Heading1"/>
        <w:spacing w:after="140" w:before="360"/>
      </w:pPr>
      <w:r>
        <w:rPr>
          <w:rFonts w:ascii="Cambria" w:cs="Cambria" w:eastAsia="Cambria" w:hAnsi="Cambria"/>
          <w:b/>
          <w:bCs/>
          <w:color w:val="1F3864"/>
          <w:sz w:val="30"/>
          <w:szCs w:val="30"/>
        </w:rPr>
        <w:t xml:space="preserve">5.  Audit Team and Responsibilities</w:t>
      </w:r>
    </w:p>
    <w:p>
      <w:pPr>
        <w:pStyle w:val="Heading2"/>
        <w:spacing w:after="100" w:before="240"/>
      </w:pPr>
      <w:r>
        <w:rPr>
          <w:rFonts w:ascii="Cambria" w:cs="Cambria" w:eastAsia="Cambria" w:hAnsi="Cambria"/>
          <w:b/>
          <w:bCs/>
          <w:color w:val="1F3864"/>
          <w:sz w:val="25"/>
          <w:szCs w:val="25"/>
        </w:rPr>
        <w:t xml:space="preserve">5.1  Co-chairs</w:t>
      </w:r>
    </w:p>
    <w:p>
      <w:pPr>
        <w:spacing w:after="120"/>
      </w:pPr>
      <w:r>
        <w:rPr>
          <w:rFonts w:ascii="Calibri" w:cs="Calibri" w:eastAsia="Calibri" w:hAnsi="Calibri"/>
          <w:color w:val="1A1A1A"/>
          <w:sz w:val="21"/>
          <w:szCs w:val="21"/>
        </w:rPr>
        <w:t xml:space="preserve">A Supplier co-chair and an Acquirer co-chair run the audit jointly. The Supplier co-chair gives the opening briefing. The Supplier co-chair folds the conclusions of side meetings into the official record. The Supplier co-chair delivers the management out-brief.</w:t>
      </w:r>
    </w:p>
    <w:p>
      <w:pPr>
        <w:spacing w:after="90"/>
      </w:pPr>
      <w:r>
        <w:rPr>
          <w:rFonts w:ascii="Calibri" w:cs="Calibri" w:eastAsia="Calibri" w:hAnsi="Calibri"/>
          <w:b/>
          <w:bCs/>
          <w:color w:val="1A1A1A"/>
          <w:sz w:val="21"/>
          <w:szCs w:val="21"/>
        </w:rPr>
        <w:t xml:space="preserve">Supplier co-chair:  </w:t>
      </w:r>
      <w:r>
        <w:rPr>
          <w:rFonts w:ascii="Calibri" w:cs="Calibri" w:eastAsia="Calibri" w:hAnsi="Calibri"/>
          <w:color w:val="5A5A5A"/>
          <w:sz w:val="21"/>
          <w:szCs w:val="21"/>
        </w:rPr>
        <w:t xml:space="preserve">___________________________________________</w:t>
      </w:r>
    </w:p>
    <w:p>
      <w:pPr>
        <w:spacing w:after="120"/>
      </w:pPr>
      <w:r>
        <w:rPr>
          <w:rFonts w:ascii="Calibri" w:cs="Calibri" w:eastAsia="Calibri" w:hAnsi="Calibri"/>
          <w:b/>
          <w:bCs/>
          <w:color w:val="1A1A1A"/>
          <w:sz w:val="21"/>
          <w:szCs w:val="21"/>
        </w:rPr>
        <w:t xml:space="preserve">Acquirer co-chair:  </w:t>
      </w:r>
      <w:r>
        <w:rPr>
          <w:rFonts w:ascii="Calibri" w:cs="Calibri" w:eastAsia="Calibri" w:hAnsi="Calibri"/>
          <w:color w:val="5A5A5A"/>
          <w:sz w:val="21"/>
          <w:szCs w:val="21"/>
        </w:rPr>
        <w:t xml:space="preserve">___________________________________________</w:t>
      </w:r>
    </w:p>
    <w:p>
      <w:pPr>
        <w:pStyle w:val="Heading2"/>
        <w:spacing w:after="100" w:before="240"/>
      </w:pPr>
      <w:r>
        <w:rPr>
          <w:rFonts w:ascii="Cambria" w:cs="Cambria" w:eastAsia="Cambria" w:hAnsi="Cambria"/>
          <w:b/>
          <w:bCs/>
          <w:color w:val="1F3864"/>
          <w:sz w:val="25"/>
          <w:szCs w:val="25"/>
        </w:rPr>
        <w:t xml:space="preserve">5.2  Team composition</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List names with what each person is there to do. This is not a distribution list. Most audits that go badly fail on a handoff nobody owned rather than on a judgment.</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700"/>
        <w:gridCol w:w="2100"/>
        <w:gridCol w:w="4160"/>
        <w:gridCol w:w="1400"/>
      </w:tblGrid>
      <w:tr>
        <w:trPr>
          <w:tblHeader/>
        </w:trPr>
        <w:tc>
          <w:tcPr>
            <w:tcW w:type="dxa" w:w="17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Name</w:t>
            </w:r>
          </w:p>
        </w:tc>
        <w:tc>
          <w:tcPr>
            <w:tcW w:type="dxa" w:w="21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Organization / function</w:t>
            </w:r>
          </w:p>
        </w:tc>
        <w:tc>
          <w:tcPr>
            <w:tcW w:type="dxa" w:w="41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Role in the audit</w:t>
            </w:r>
          </w:p>
        </w:tc>
        <w:tc>
          <w:tcPr>
            <w:tcW w:type="dxa" w:w="14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Days required</w:t>
            </w: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Management</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Plan and agenda, data package control, minutes, findings, records</w:t>
            </w:r>
          </w:p>
        </w:tc>
        <w:tc>
          <w:tcPr>
            <w:tcW w:type="dxa" w:w="1400"/>
            <w:tcMar>
              <w:top w:type="dxa" w:w="70"/>
              <w:left w:type="dxa" w:w="110"/>
              <w:bottom w:type="dxa" w:w="70"/>
              <w:right w:type="dxa" w:w="110"/>
            </w:tcMar>
          </w:tcPr>
          <w:p>
            <w:pPr>
              <w:spacing w:after="0"/>
            </w:pP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Systems Engineering</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allocation matrix, traceability matrix, specifications, interface documentation, verification evidence</w:t>
            </w:r>
          </w:p>
        </w:tc>
        <w:tc>
          <w:tcPr>
            <w:tcW w:type="dxa" w:w="1400"/>
            <w:tcMar>
              <w:top w:type="dxa" w:w="70"/>
              <w:left w:type="dxa" w:w="110"/>
              <w:bottom w:type="dxa" w:w="70"/>
              <w:right w:type="dxa" w:w="110"/>
            </w:tcMar>
          </w:tcPr>
          <w:p>
            <w:pPr>
              <w:spacing w:after="0"/>
            </w:pP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 Engineering</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Released drawings and models, parts lists, change records, reconciliation support</w:t>
            </w:r>
          </w:p>
        </w:tc>
        <w:tc>
          <w:tcPr>
            <w:tcW w:type="dxa" w:w="1400"/>
            <w:tcMar>
              <w:top w:type="dxa" w:w="70"/>
              <w:left w:type="dxa" w:w="110"/>
              <w:bottom w:type="dxa" w:w="70"/>
              <w:right w:type="dxa" w:w="110"/>
            </w:tcMar>
          </w:tcPr>
          <w:p>
            <w:pPr>
              <w:spacing w:after="0"/>
            </w:pP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Test and Evaluation</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Test plans, procedures and reports; account of tests not yet performed</w:t>
            </w:r>
          </w:p>
        </w:tc>
        <w:tc>
          <w:tcPr>
            <w:tcW w:type="dxa" w:w="1400"/>
            <w:tcMar>
              <w:top w:type="dxa" w:w="70"/>
              <w:left w:type="dxa" w:w="110"/>
              <w:bottom w:type="dxa" w:w="70"/>
              <w:right w:type="dxa" w:w="110"/>
            </w:tcMar>
          </w:tcPr>
          <w:p>
            <w:pPr>
              <w:spacing w:after="0"/>
            </w:pP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Manufacturing</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Work instructions, process records, unit and detail part staging, facility access</w:t>
            </w:r>
          </w:p>
        </w:tc>
        <w:tc>
          <w:tcPr>
            <w:tcW w:type="dxa" w:w="1400"/>
            <w:tcMar>
              <w:top w:type="dxa" w:w="70"/>
              <w:left w:type="dxa" w:w="110"/>
              <w:bottom w:type="dxa" w:w="70"/>
              <w:right w:type="dxa" w:w="110"/>
            </w:tcMar>
          </w:tcPr>
          <w:p>
            <w:pPr>
              <w:spacing w:after="0"/>
            </w:pP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Quality Assurance</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Quality records, first article results, acceptance data, witness of software build</w:t>
            </w:r>
          </w:p>
        </w:tc>
        <w:tc>
          <w:tcPr>
            <w:tcW w:type="dxa" w:w="1400"/>
            <w:tcMar>
              <w:top w:type="dxa" w:w="70"/>
              <w:left w:type="dxa" w:w="110"/>
              <w:bottom w:type="dxa" w:w="70"/>
              <w:right w:type="dxa" w:w="110"/>
            </w:tcMar>
          </w:tcPr>
          <w:p>
            <w:pPr>
              <w:spacing w:after="0"/>
            </w:pP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Software</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Version descriptions, library listings, build environment and build</w:t>
            </w:r>
          </w:p>
        </w:tc>
        <w:tc>
          <w:tcPr>
            <w:tcW w:type="dxa" w:w="1400"/>
            <w:tcMar>
              <w:top w:type="dxa" w:w="70"/>
              <w:left w:type="dxa" w:w="110"/>
              <w:bottom w:type="dxa" w:w="70"/>
              <w:right w:type="dxa" w:w="110"/>
            </w:tcMar>
          </w:tcPr>
          <w:p>
            <w:pPr>
              <w:spacing w:after="0"/>
            </w:pP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System Safety</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Concurrence and findings affecting hazard risk controls</w:t>
            </w:r>
          </w:p>
        </w:tc>
        <w:tc>
          <w:tcPr>
            <w:tcW w:type="dxa" w:w="1400"/>
            <w:tcMar>
              <w:top w:type="dxa" w:w="70"/>
              <w:left w:type="dxa" w:w="110"/>
              <w:bottom w:type="dxa" w:w="70"/>
              <w:right w:type="dxa" w:w="110"/>
            </w:tcMar>
          </w:tcPr>
          <w:p>
            <w:pPr>
              <w:spacing w:after="0"/>
            </w:pPr>
          </w:p>
        </w:tc>
      </w:tr>
      <w:tr>
        <w:tc>
          <w:tcPr>
            <w:tcW w:type="dxa" w:w="1700"/>
            <w:tcMar>
              <w:top w:type="dxa" w:w="70"/>
              <w:left w:type="dxa" w:w="110"/>
              <w:bottom w:type="dxa" w:w="70"/>
              <w:right w:type="dxa" w:w="110"/>
            </w:tcMar>
          </w:tcPr>
          <w:p>
            <w:pPr>
              <w:spacing w:after="0"/>
            </w:pPr>
          </w:p>
        </w:tc>
        <w:tc>
          <w:tcPr>
            <w:tcW w:type="dxa" w:w="2100"/>
            <w:tcMar>
              <w:top w:type="dxa" w:w="70"/>
              <w:left w:type="dxa" w:w="110"/>
              <w:bottom w:type="dxa" w:w="70"/>
              <w:right w:type="dxa" w:w="110"/>
            </w:tcMar>
          </w:tcPr>
          <w:p>
            <w:pPr>
              <w:spacing w:after="0"/>
            </w:pPr>
          </w:p>
        </w:tc>
        <w:tc>
          <w:tcPr>
            <w:tcW w:type="dxa" w:w="4160"/>
            <w:tcMar>
              <w:top w:type="dxa" w:w="70"/>
              <w:left w:type="dxa" w:w="110"/>
              <w:bottom w:type="dxa" w:w="70"/>
              <w:right w:type="dxa" w:w="110"/>
            </w:tcMar>
          </w:tcPr>
          <w:p>
            <w:pPr>
              <w:spacing w:after="0"/>
            </w:pPr>
          </w:p>
        </w:tc>
        <w:tc>
          <w:tcPr>
            <w:tcW w:type="dxa" w:w="1400"/>
            <w:tcMar>
              <w:top w:type="dxa" w:w="70"/>
              <w:left w:type="dxa" w:w="110"/>
              <w:bottom w:type="dxa" w:w="70"/>
              <w:right w:type="dxa" w:w="110"/>
            </w:tcMar>
          </w:tcPr>
          <w:p>
            <w:pPr>
              <w:spacing w:after="0"/>
            </w:pPr>
          </w:p>
        </w:tc>
      </w:tr>
    </w:tbl>
    <w:p>
      <w:pPr>
        <w:pStyle w:val="Heading2"/>
        <w:spacing w:after="100" w:before="240"/>
      </w:pPr>
      <w:r>
        <w:rPr>
          <w:rFonts w:ascii="Cambria" w:cs="Cambria" w:eastAsia="Cambria" w:hAnsi="Cambria"/>
          <w:b/>
          <w:bCs/>
          <w:color w:val="1F3864"/>
          <w:sz w:val="25"/>
          <w:szCs w:val="25"/>
        </w:rPr>
        <w:t xml:space="preserve">5.3  Sub-supplier participation</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Work type decides what part a supplier plays if an audit happens. It never decides whether one happens. Designation decides that. A supplier whose work type carries a conduct role performs no audits where none of the items it builds is designated. A designated item creates no audit obligation at a supplier whose work type carries no audit role.</w:t>
      </w:r>
    </w:p>
    <w:p>
      <w:pPr>
        <w:pBdr>
          <w:left w:val="single" w:color="B8C4DE" w:sz="12" w:space="10"/>
        </w:pBdr>
        <w:spacing w:after="160" w:before="0"/>
        <w:ind w:left="220"/>
      </w:pPr>
      <w:r>
        <w:rPr>
          <w:rFonts w:ascii="Calibri" w:cs="Calibri" w:eastAsia="Calibri" w:hAnsi="Calibri"/>
          <w:i/>
          <w:iCs/>
          <w:color w:val="5A5A5A"/>
          <w:sz w:val="19"/>
          <w:szCs w:val="19"/>
        </w:rPr>
        <w:t xml:space="preserve">What a sub-supplier owes depends on the type of work it performs, not on its size or relationship. Suppliers who design and build under a source control drawing, or develop a full item to specification, conduct the item-level audits at their own facility. Build-to-print suppliers support the physical audit on their build. Design agents provide data package and traceability inputs, with no physical examination role. Software and firmware developers conduct the software functional audit and the witnessed build. Suppliers performing installation build of an end item from company-provisioned materiel hold no design authority and do not conduct. They host the end-item and system-level audits on their build. Hosting means providing the article, the facility, access including the installation zone, the zone closeout records, and the assembled evidence, while the company or the Acquirer conducts. Where a supplier holds more than one type of work, the most demanding obligation applies for each obligation rather than by dominant type. Work types are recorded in the sub-supplier CM flow-down matrix.</w:t>
      </w:r>
    </w:p>
    <w:p>
      <w:pPr>
        <w:pBdr>
          <w:left w:val="single" w:color="B8C4DE" w:sz="12" w:space="10"/>
        </w:pBdr>
        <w:spacing w:after="160" w:before="0"/>
        <w:ind w:left="220"/>
      </w:pPr>
      <w:r>
        <w:rPr>
          <w:rFonts w:ascii="Calibri" w:cs="Calibri" w:eastAsia="Calibri" w:hAnsi="Calibri"/>
          <w:i/>
          <w:iCs/>
          <w:color w:val="5A5A5A"/>
          <w:sz w:val="19"/>
          <w:szCs w:val="19"/>
        </w:rPr>
        <w:t xml:space="preserve">Where a sub-supplier obligation rests on a contract change rather than a standing conditional audit clause already in the statement of work, record it here and raise it now. A contract change negotiated after award is negotiated from the weakest position the program will hold.</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400"/>
        <w:gridCol w:w="1300"/>
        <w:gridCol w:w="1300"/>
        <w:gridCol w:w="1900"/>
        <w:gridCol w:w="2200"/>
        <w:gridCol w:w="1260"/>
      </w:tblGrid>
      <w:tr>
        <w:trPr>
          <w:tblHeader/>
        </w:trPr>
        <w:tc>
          <w:tcPr>
            <w:tcW w:type="dxa" w:w="14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Sub-supplier</w:t>
            </w:r>
          </w:p>
        </w:tc>
        <w:tc>
          <w:tcPr>
            <w:tcW w:type="dxa" w:w="13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Item(s)</w:t>
            </w:r>
          </w:p>
        </w:tc>
        <w:tc>
          <w:tcPr>
            <w:tcW w:type="dxa" w:w="13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Type of work</w:t>
            </w:r>
          </w:p>
        </w:tc>
        <w:tc>
          <w:tcPr>
            <w:tcW w:type="dxa" w:w="19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Audit role</w:t>
            </w:r>
          </w:p>
        </w:tc>
        <w:tc>
          <w:tcPr>
            <w:tcW w:type="dxa" w:w="22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Obligation source</w:t>
            </w:r>
          </w:p>
        </w:tc>
        <w:tc>
          <w:tcPr>
            <w:tcW w:type="dxa" w:w="12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Attending</w:t>
            </w:r>
          </w:p>
        </w:tc>
      </w:tr>
      <w:tr>
        <w:tc>
          <w:tcPr>
            <w:tcW w:type="dxa" w:w="1400"/>
            <w:tcMar>
              <w:top w:type="dxa" w:w="70"/>
              <w:left w:type="dxa" w:w="110"/>
              <w:bottom w:type="dxa" w:w="70"/>
              <w:right w:type="dxa" w:w="110"/>
            </w:tcMar>
          </w:tcPr>
          <w:p>
            <w:pPr>
              <w:spacing w:after="0"/>
            </w:pPr>
          </w:p>
        </w:tc>
        <w:tc>
          <w:tcPr>
            <w:tcW w:type="dxa" w:w="1300"/>
            <w:tcMar>
              <w:top w:type="dxa" w:w="70"/>
              <w:left w:type="dxa" w:w="110"/>
              <w:bottom w:type="dxa" w:w="70"/>
              <w:right w:type="dxa" w:w="110"/>
            </w:tcMar>
          </w:tcPr>
          <w:p>
            <w:pPr>
              <w:spacing w:after="0"/>
            </w:pPr>
          </w:p>
        </w:tc>
        <w:tc>
          <w:tcPr>
            <w:tcW w:type="dxa" w:w="130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Conduct / Host / Support / Data support / None</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Standing conditional audit clause / contract change required / not required</w:t>
            </w:r>
          </w:p>
        </w:tc>
        <w:tc>
          <w:tcPr>
            <w:tcW w:type="dxa" w:w="1260"/>
            <w:tcMar>
              <w:top w:type="dxa" w:w="70"/>
              <w:left w:type="dxa" w:w="110"/>
              <w:bottom w:type="dxa" w:w="70"/>
              <w:right w:type="dxa" w:w="110"/>
            </w:tcMar>
          </w:tcPr>
          <w:p>
            <w:pPr>
              <w:spacing w:after="0"/>
            </w:pPr>
          </w:p>
        </w:tc>
      </w:tr>
      <w:tr>
        <w:tc>
          <w:tcPr>
            <w:tcW w:type="dxa" w:w="1400"/>
            <w:tcMar>
              <w:top w:type="dxa" w:w="70"/>
              <w:left w:type="dxa" w:w="110"/>
              <w:bottom w:type="dxa" w:w="70"/>
              <w:right w:type="dxa" w:w="110"/>
            </w:tcMar>
          </w:tcPr>
          <w:p>
            <w:pPr>
              <w:spacing w:after="0"/>
            </w:pPr>
          </w:p>
        </w:tc>
        <w:tc>
          <w:tcPr>
            <w:tcW w:type="dxa" w:w="1300"/>
            <w:tcMar>
              <w:top w:type="dxa" w:w="70"/>
              <w:left w:type="dxa" w:w="110"/>
              <w:bottom w:type="dxa" w:w="70"/>
              <w:right w:type="dxa" w:w="110"/>
            </w:tcMar>
          </w:tcPr>
          <w:p>
            <w:pPr>
              <w:spacing w:after="0"/>
            </w:pPr>
          </w:p>
        </w:tc>
        <w:tc>
          <w:tcPr>
            <w:tcW w:type="dxa" w:w="130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p>
        </w:tc>
        <w:tc>
          <w:tcPr>
            <w:tcW w:type="dxa" w:w="2200"/>
            <w:tcMar>
              <w:top w:type="dxa" w:w="70"/>
              <w:left w:type="dxa" w:w="110"/>
              <w:bottom w:type="dxa" w:w="70"/>
              <w:right w:type="dxa" w:w="110"/>
            </w:tcMar>
          </w:tcPr>
          <w:p>
            <w:pPr>
              <w:spacing w:after="0"/>
            </w:pPr>
          </w:p>
        </w:tc>
        <w:tc>
          <w:tcPr>
            <w:tcW w:type="dxa" w:w="1260"/>
            <w:tcMar>
              <w:top w:type="dxa" w:w="70"/>
              <w:left w:type="dxa" w:w="110"/>
              <w:bottom w:type="dxa" w:w="70"/>
              <w:right w:type="dxa" w:w="110"/>
            </w:tcMar>
          </w:tcPr>
          <w:p>
            <w:pPr>
              <w:spacing w:after="0"/>
            </w:pPr>
          </w:p>
        </w:tc>
      </w:tr>
      <w:tr>
        <w:tc>
          <w:tcPr>
            <w:tcW w:type="dxa" w:w="1400"/>
            <w:tcMar>
              <w:top w:type="dxa" w:w="70"/>
              <w:left w:type="dxa" w:w="110"/>
              <w:bottom w:type="dxa" w:w="70"/>
              <w:right w:type="dxa" w:w="110"/>
            </w:tcMar>
          </w:tcPr>
          <w:p>
            <w:pPr>
              <w:spacing w:after="0"/>
            </w:pPr>
          </w:p>
        </w:tc>
        <w:tc>
          <w:tcPr>
            <w:tcW w:type="dxa" w:w="1300"/>
            <w:tcMar>
              <w:top w:type="dxa" w:w="70"/>
              <w:left w:type="dxa" w:w="110"/>
              <w:bottom w:type="dxa" w:w="70"/>
              <w:right w:type="dxa" w:w="110"/>
            </w:tcMar>
          </w:tcPr>
          <w:p>
            <w:pPr>
              <w:spacing w:after="0"/>
            </w:pPr>
          </w:p>
        </w:tc>
        <w:tc>
          <w:tcPr>
            <w:tcW w:type="dxa" w:w="130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p>
        </w:tc>
        <w:tc>
          <w:tcPr>
            <w:tcW w:type="dxa" w:w="2200"/>
            <w:tcMar>
              <w:top w:type="dxa" w:w="70"/>
              <w:left w:type="dxa" w:w="110"/>
              <w:bottom w:type="dxa" w:w="70"/>
              <w:right w:type="dxa" w:w="110"/>
            </w:tcMar>
          </w:tcPr>
          <w:p>
            <w:pPr>
              <w:spacing w:after="0"/>
            </w:pPr>
          </w:p>
        </w:tc>
        <w:tc>
          <w:tcPr>
            <w:tcW w:type="dxa" w:w="1260"/>
            <w:tcMar>
              <w:top w:type="dxa" w:w="70"/>
              <w:left w:type="dxa" w:w="110"/>
              <w:bottom w:type="dxa" w:w="70"/>
              <w:right w:type="dxa" w:w="110"/>
            </w:tcMar>
          </w:tcPr>
          <w:p>
            <w:pPr>
              <w:spacing w:after="0"/>
            </w:pPr>
          </w:p>
        </w:tc>
      </w:tr>
    </w:tbl>
    <w:p>
      <w:pPr>
        <w:spacing w:after="120"/>
      </w:pPr>
    </w:p>
    <w:p>
      <w:pPr>
        <w:spacing w:after="120"/>
      </w:pPr>
      <w:r>
        <w:rPr>
          <w:rFonts w:ascii="Calibri" w:cs="Calibri" w:eastAsia="Calibri" w:hAnsi="Calibri"/>
          <w:color w:val="1A1A1A"/>
          <w:sz w:val="21"/>
          <w:szCs w:val="21"/>
        </w:rPr>
        <w:t xml:space="preserve">Sub-suppliers whose items are audited participate in planning as well as conduct. They prepare audit plans identifying their own requirements and responsibilities. They submit those plans for company agreement rather than issuing them for information. The preparation tracker is worked jointly from that point. They field personnel able to discuss the technical detail of what is presented.</w:t>
      </w:r>
    </w:p>
    <w:p>
      <w:pPr>
        <w:pStyle w:val="Heading1"/>
        <w:spacing w:after="140" w:before="360"/>
      </w:pPr>
      <w:r>
        <w:rPr>
          <w:rFonts w:ascii="Cambria" w:cs="Cambria" w:eastAsia="Cambria" w:hAnsi="Cambria"/>
          <w:b/>
          <w:bCs/>
          <w:color w:val="1F3864"/>
          <w:sz w:val="30"/>
          <w:szCs w:val="30"/>
        </w:rPr>
        <w:t xml:space="preserve">6.  Documentation to be Reviewed</w:t>
      </w:r>
    </w:p>
    <w:p>
      <w:pPr>
        <w:pStyle w:val="Heading2"/>
        <w:spacing w:after="100" w:before="240"/>
      </w:pPr>
      <w:r>
        <w:rPr>
          <w:rFonts w:ascii="Cambria" w:cs="Cambria" w:eastAsia="Cambria" w:hAnsi="Cambria"/>
          <w:b/>
          <w:bCs/>
          <w:color w:val="1F3864"/>
          <w:sz w:val="25"/>
          <w:szCs w:val="25"/>
        </w:rPr>
        <w:t xml:space="preserve">6.1  Functional audit data package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600"/>
        <w:gridCol w:w="8760"/>
      </w:tblGrid>
      <w:tr>
        <w:trPr>
          <w:tblHeader/>
        </w:trPr>
        <w:tc>
          <w:tcPr>
            <w:tcW w:type="dxa" w:w="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w:t>
            </w:r>
          </w:p>
        </w:tc>
        <w:tc>
          <w:tcPr>
            <w:tcW w:type="dxa" w:w="87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Item</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Approved requirements allocation matrix for the item, establishing which system and functional requirements are allocated to it and therefore the scope of the audit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Specifications: requirements, development, performance and interface</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traceability matrix cross-referencing every requirement to test plan, procedure, test program and report, or to the analysis, inspection or demonstration record standing in place of a test. Each known deficiency is identified by deficiency report number. The matrix is reconciled against the requirements allocation matrix, with every allocated requirement accounted for, including any allocated requirement that does not appear in the item specification</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Verification cross-reference matrix aligned to the traceability matrix</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Test plans, procedures, and reports or results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List of tests accomplished; list of tests accomplished without recorded detail data; list of tests not yet performed, each with the plan to accomplish it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Analyses or simulations standing in place of requirements not fully verifiable by test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Current listing of every variance, change proposal, specification change notice and revision notice against the item, both requested and approved</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Account of change proposals incorporated, tested and proposed</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 review minutes with action item closure status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 of previous lower-level audits with their open items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and sub-supplier statement of work and purchase order, where the item is supplier-built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Applicable quality assurance records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Status accounting records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For software: database characteristics, storage allocation, timing and sequencing data; software product documents; developmental configuration change records; library listing of every version held; internal configuration management and software quality audit findings</w:t>
            </w:r>
          </w:p>
        </w:tc>
      </w:tr>
    </w:tbl>
    <w:p>
      <w:pPr>
        <w:pStyle w:val="Heading2"/>
        <w:spacing w:after="100" w:before="240"/>
      </w:pPr>
      <w:r>
        <w:rPr>
          <w:rFonts w:ascii="Cambria" w:cs="Cambria" w:eastAsia="Cambria" w:hAnsi="Cambria"/>
          <w:b/>
          <w:bCs/>
          <w:color w:val="1F3864"/>
          <w:sz w:val="25"/>
          <w:szCs w:val="25"/>
        </w:rPr>
        <w:t xml:space="preserve">6.2  Physical audit data package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600"/>
        <w:gridCol w:w="8760"/>
      </w:tblGrid>
      <w:tr>
        <w:trPr>
          <w:tblHeader/>
        </w:trPr>
        <w:tc>
          <w:tcPr>
            <w:tcW w:type="dxa" w:w="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w:t>
            </w:r>
          </w:p>
        </w:tc>
        <w:tc>
          <w:tcPr>
            <w:tcW w:type="dxa" w:w="87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Item</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Product definition data: drawings and model data, parts lists and associated lists, and the drawing index with revision letters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Manufacturing instruction sheets, work instructions, installation procedures and machine data for the parts identified</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Approved parts selection list, approved nomenclature and nameplates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Approval, clearance and qualification records for the part types installed</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Material and process certifications traceable to the heat and lot numbers in the unit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Life-limited and shelf-life records: designations, assigned limits, life consumed at delivery, cure and expiry evidence</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Production acceptance test procedures and the associated test data for the audit unit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As-designed to as-built reconciliation report for the audit unit, with change-incorporation reports and the closure status of the unit’s work orders and non-conformance records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Part traceability records: serial and lot records, date codes where a shelf-life or cure-date limit applies, heat numbers where material traceability applies, safety-critical and special-handling designations, and traceability to the next higher assembly</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Approved and outstanding changes; changes made during test; required changes not completed; shortage lists; review of undocumented design changes; variances applicable to this unit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Identification of the differences between this unit and the unit(s) used at the functional audit, with the certification that those differences do not degrade functional characteristics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Quality program findings and status, first article results, and operation and support manuals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Zone closeout records where the item is embodied</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Release records for spares and repair parts provisioned before the audit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Confirmation that inspection and test of sub-supplier end items was completed at point of manufacture</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Status accounting records; minutes of prior sub-system audits; supplier statement of work and purchase order where the item is supplier-built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For software: source listings with the released configuration documentation; version description including compiler, version and settings; interface documentation; the build environment staged so a build can be produced during the audit; commercial software documentation matching the delivered media, with identification and marking of all deliverable media per contract or best commercial practice</w:t>
            </w:r>
          </w:p>
        </w:tc>
      </w:tr>
    </w:tbl>
    <w:p>
      <w:pPr>
        <w:pStyle w:val="Heading1"/>
        <w:spacing w:after="140" w:before="360"/>
      </w:pPr>
      <w:r>
        <w:rPr>
          <w:rFonts w:ascii="Cambria" w:cs="Cambria" w:eastAsia="Cambria" w:hAnsi="Cambria"/>
          <w:b/>
          <w:bCs/>
          <w:color w:val="1F3864"/>
          <w:sz w:val="30"/>
          <w:szCs w:val="30"/>
        </w:rPr>
        <w:t xml:space="preserve">7.  Entry Criteria and Readiness</w:t>
      </w:r>
    </w:p>
    <w:p>
      <w:pPr>
        <w:pStyle w:val="Heading2"/>
        <w:spacing w:after="100" w:before="240"/>
      </w:pPr>
      <w:r>
        <w:rPr>
          <w:rFonts w:ascii="Cambria" w:cs="Cambria" w:eastAsia="Cambria" w:hAnsi="Cambria"/>
          <w:b/>
          <w:bCs/>
          <w:color w:val="1F3864"/>
          <w:sz w:val="25"/>
          <w:szCs w:val="25"/>
        </w:rPr>
        <w:t xml:space="preserve">7.1  Entry criteria</w:t>
      </w:r>
    </w:p>
    <w:p>
      <w:pPr>
        <w:spacing w:after="120"/>
      </w:pPr>
      <w:r>
        <w:rPr>
          <w:rFonts w:ascii="Calibri" w:cs="Calibri" w:eastAsia="Calibri" w:hAnsi="Calibri"/>
          <w:color w:val="1A1A1A"/>
          <w:sz w:val="21"/>
          <w:szCs w:val="21"/>
        </w:rPr>
        <w:t xml:space="preserve">All entry criteria are complete before the audit convenes. A data package item arriving late is a problem to manage. An entry criterion open on the audit date means a precondition of the audit is not satisfied. The response is a schedule conversation rather than a note in the minutes.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500"/>
        <w:gridCol w:w="5460"/>
        <w:gridCol w:w="1100"/>
        <w:gridCol w:w="1200"/>
        <w:gridCol w:w="1100"/>
      </w:tblGrid>
      <w:tr>
        <w:trPr>
          <w:tblHeader/>
        </w:trPr>
        <w:tc>
          <w:tcPr>
            <w:tcW w:type="dxa" w:w="5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w:t>
            </w:r>
          </w:p>
        </w:tc>
        <w:tc>
          <w:tcPr>
            <w:tcW w:type="dxa" w:w="54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Criterion</w:t>
            </w:r>
          </w:p>
        </w:tc>
        <w:tc>
          <w:tcPr>
            <w:tcW w:type="dxa" w:w="11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Applies to</w:t>
            </w:r>
          </w:p>
        </w:tc>
        <w:tc>
          <w:tcPr>
            <w:tcW w:type="dxa" w:w="12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Owner</w:t>
            </w:r>
          </w:p>
        </w:tc>
        <w:tc>
          <w:tcPr>
            <w:tcW w:type="dxa" w:w="11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Due</w:t>
            </w: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and allocated documentation approved by the Acquirer</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F</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Approved requirements allocation matrix available; traceability matrix reconciled against it, with every allocated requirement accounted for</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F</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Designation assessment current and referenced</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F, 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Plan and agenda approved; audit team and facilities confirmed</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F, 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Pre-audit submittals delivered: list of items and documents to be audited, list of tasks to be accomplished, and the requirements traceability matrix</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F</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Final draft product specification provided to the Acquirer</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F</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Test data from the configuration being accepted or released</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F</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audit complete or concurrent, with minutes available</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As-designed to as-built reconciliation report available for the audit unit, with its non-conformance records and their dispositions</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unit jointly selected with the Acquirer; early production-representative; serial numbers identified</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Unit and detail parts available for examination, either isolated or accessible in situ where the item is embodied</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For the specific unit: no open work orders</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For the specific unit: no open non-conformance records, every record dispositioned by the required authority</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For the specific unit: no open dispositions, every disposition carried out and verified</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Unencumbered access to inspection, fabrication, production, assembly and test areas and, where the item is embodied, to its zone; tools, inspection equipment and test software available</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Final draft detail specification available</w:t>
            </w:r>
          </w:p>
        </w:tc>
        <w:tc>
          <w:tcPr>
            <w:tcW w:type="dxa" w:w="11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200"/>
            <w:tcMar>
              <w:top w:type="dxa" w:w="70"/>
              <w:left w:type="dxa" w:w="110"/>
              <w:bottom w:type="dxa" w:w="70"/>
              <w:right w:type="dxa" w:w="110"/>
            </w:tcMar>
          </w:tcPr>
          <w:p>
            <w:pPr>
              <w:spacing w:after="0"/>
            </w:pPr>
          </w:p>
        </w:tc>
        <w:tc>
          <w:tcPr>
            <w:tcW w:type="dxa" w:w="1100"/>
            <w:tcMar>
              <w:top w:type="dxa" w:w="70"/>
              <w:left w:type="dxa" w:w="110"/>
              <w:bottom w:type="dxa" w:w="70"/>
              <w:right w:type="dxa" w:w="110"/>
            </w:tcMar>
          </w:tcPr>
          <w:p>
            <w:pPr>
              <w:spacing w:after="0"/>
            </w:pPr>
          </w:p>
        </w:tc>
      </w:tr>
    </w:tbl>
    <w:p>
      <w:pPr>
        <w:pStyle w:val="Heading2"/>
        <w:spacing w:after="100" w:before="240"/>
      </w:pPr>
      <w:r>
        <w:rPr>
          <w:rFonts w:ascii="Cambria" w:cs="Cambria" w:eastAsia="Cambria" w:hAnsi="Cambria"/>
          <w:b/>
          <w:bCs/>
          <w:color w:val="1F3864"/>
          <w:sz w:val="25"/>
          <w:szCs w:val="25"/>
        </w:rPr>
        <w:t xml:space="preserve">7.2  Preparation tracking</w:t>
      </w:r>
    </w:p>
    <w:p>
      <w:pPr>
        <w:spacing w:after="120"/>
      </w:pPr>
      <w:r>
        <w:rPr>
          <w:rFonts w:ascii="Calibri" w:cs="Calibri" w:eastAsia="Calibri" w:hAnsi="Calibri"/>
          <w:color w:val="1A1A1A"/>
          <w:sz w:val="21"/>
          <w:szCs w:val="21"/>
        </w:rPr>
        <w:t xml:space="preserve">Configuration Management tracks preparation on a working document. Each row is one required input. Each row carries a named provider, a lead time, a due date derived by working backwards from the audit date, a status, and a location reference. The location reference lets the audit team find the item rather than ask for it again. Readiness is computed from status rather than declared.</w:t>
      </w:r>
    </w:p>
    <w:p>
      <w:pPr>
        <w:spacing w:after="120"/>
      </w:pPr>
      <w:r>
        <w:rPr>
          <w:rFonts w:ascii="Calibri" w:cs="Calibri" w:eastAsia="Calibri" w:hAnsi="Calibri"/>
          <w:color w:val="1A1A1A"/>
          <w:sz w:val="21"/>
          <w:szCs w:val="21"/>
        </w:rPr>
        <w:t xml:space="preserve">Rows that do not apply to this audit are marked not applicable and retained. A deleted row is indistinguishable from a row nobody thought of.</w:t>
      </w:r>
    </w:p>
    <w:p>
      <w:pPr>
        <w:spacing w:after="120"/>
      </w:pPr>
      <w:r>
        <w:rPr>
          <w:rFonts w:ascii="Calibri" w:cs="Calibri" w:eastAsia="Calibri" w:hAnsi="Calibri"/>
          <w:b/>
          <w:bCs/>
          <w:color w:val="1A1A1A"/>
          <w:sz w:val="21"/>
          <w:szCs w:val="21"/>
        </w:rPr>
        <w:t xml:space="preserve">Location of the preparation tracker:  </w:t>
      </w:r>
      <w:r>
        <w:rPr>
          <w:rFonts w:ascii="Calibri" w:cs="Calibri" w:eastAsia="Calibri" w:hAnsi="Calibri"/>
          <w:color w:val="5A5A5A"/>
          <w:sz w:val="21"/>
          <w:szCs w:val="21"/>
        </w:rPr>
        <w:t xml:space="preserve">[  ]</w:t>
      </w:r>
    </w:p>
    <w:p>
      <w:pPr>
        <w:spacing w:after="90"/>
      </w:pPr>
      <w:r>
        <w:rPr>
          <w:rFonts w:ascii="Calibri" w:cs="Calibri" w:eastAsia="Calibri" w:hAnsi="Calibri"/>
          <w:b/>
          <w:bCs/>
          <w:color w:val="1A1A1A"/>
          <w:sz w:val="21"/>
          <w:szCs w:val="21"/>
        </w:rPr>
        <w:t xml:space="preserve">Shared with sub-suppliers as the joint punch list:  </w:t>
      </w:r>
      <w:r>
        <w:rPr>
          <w:rFonts w:ascii="Calibri" w:cs="Calibri" w:eastAsia="Calibri" w:hAnsi="Calibri"/>
          <w:color w:val="5A5A5A"/>
          <w:sz w:val="21"/>
          <w:szCs w:val="21"/>
        </w:rPr>
        <w:t xml:space="preserve">[yes / no]</w:t>
      </w:r>
    </w:p>
    <w:p>
      <w:pPr>
        <w:spacing w:after="120"/>
      </w:pPr>
      <w:r>
        <w:rPr>
          <w:rFonts w:ascii="Calibri" w:cs="Calibri" w:eastAsia="Calibri" w:hAnsi="Calibri"/>
          <w:b/>
          <w:bCs/>
          <w:color w:val="1A1A1A"/>
          <w:sz w:val="21"/>
          <w:szCs w:val="21"/>
        </w:rPr>
        <w:t xml:space="preserve">With whom:  </w:t>
      </w:r>
      <w:r>
        <w:rPr>
          <w:rFonts w:ascii="Calibri" w:cs="Calibri" w:eastAsia="Calibri" w:hAnsi="Calibri"/>
          <w:color w:val="5A5A5A"/>
          <w:sz w:val="21"/>
          <w:szCs w:val="21"/>
        </w:rPr>
        <w:t xml:space="preserve">[  ]</w:t>
      </w:r>
    </w:p>
    <w:p>
      <w:pPr>
        <w:pStyle w:val="Heading1"/>
        <w:spacing w:after="140" w:before="360"/>
      </w:pPr>
      <w:r>
        <w:rPr>
          <w:rFonts w:ascii="Cambria" w:cs="Cambria" w:eastAsia="Cambria" w:hAnsi="Cambria"/>
          <w:b/>
          <w:bCs/>
          <w:color w:val="1F3864"/>
          <w:sz w:val="30"/>
          <w:szCs w:val="30"/>
        </w:rPr>
        <w:t xml:space="preserve">8.  Conduct: Functional Audit</w:t>
      </w:r>
    </w:p>
    <w:p>
      <w:pPr>
        <w:spacing w:after="60"/>
      </w:pPr>
      <w:r>
        <w:rPr>
          <w:rFonts w:ascii="Calibri" w:cs="Calibri" w:eastAsia="Calibri" w:hAnsi="Calibri"/>
          <w:color w:val="1A1A1A"/>
          <w:sz w:val="21"/>
          <w:szCs w:val="21"/>
        </w:rPr>
        <w:t xml:space="preserve">Each audited item opens with a design-team briefing. The briefing covers five things.</w:t>
      </w:r>
    </w:p>
    <w:p>
      <w:pPr>
        <w:pStyle w:val="ListParagraph"/>
        <w:numPr>
          <w:ilvl w:val="0"/>
          <w:numId w:val="1"/>
        </w:numPr>
        <w:spacing w:after="70"/>
      </w:pPr>
      <w:r>
        <w:rPr>
          <w:rFonts w:ascii="Calibri" w:cs="Calibri" w:eastAsia="Calibri" w:hAnsi="Calibri"/>
          <w:color w:val="1A1A1A"/>
          <w:sz w:val="21"/>
          <w:szCs w:val="21"/>
        </w:rPr>
        <w:t xml:space="preserve">An overview of the item.</w:t>
      </w:r>
    </w:p>
    <w:p>
      <w:pPr>
        <w:pStyle w:val="ListParagraph"/>
        <w:numPr>
          <w:ilvl w:val="0"/>
          <w:numId w:val="1"/>
        </w:numPr>
        <w:spacing w:after="70"/>
      </w:pPr>
      <w:r>
        <w:rPr>
          <w:rFonts w:ascii="Calibri" w:cs="Calibri" w:eastAsia="Calibri" w:hAnsi="Calibri"/>
          <w:color w:val="1A1A1A"/>
          <w:sz w:val="21"/>
          <w:szCs w:val="21"/>
        </w:rPr>
        <w:t xml:space="preserve">Test results and findings.</w:t>
      </w:r>
    </w:p>
    <w:p>
      <w:pPr>
        <w:pStyle w:val="ListParagraph"/>
        <w:numPr>
          <w:ilvl w:val="0"/>
          <w:numId w:val="1"/>
        </w:numPr>
        <w:spacing w:after="70"/>
      </w:pPr>
      <w:r>
        <w:rPr>
          <w:rFonts w:ascii="Calibri" w:cs="Calibri" w:eastAsia="Calibri" w:hAnsi="Calibri"/>
          <w:color w:val="1A1A1A"/>
          <w:sz w:val="21"/>
          <w:szCs w:val="21"/>
        </w:rPr>
        <w:t xml:space="preserve">Requirements not met, with proposed remedies.</w:t>
      </w:r>
    </w:p>
    <w:p>
      <w:pPr>
        <w:pStyle w:val="ListParagraph"/>
        <w:numPr>
          <w:ilvl w:val="0"/>
          <w:numId w:val="1"/>
        </w:numPr>
        <w:spacing w:after="70"/>
      </w:pPr>
      <w:r>
        <w:rPr>
          <w:rFonts w:ascii="Calibri" w:cs="Calibri" w:eastAsia="Calibri" w:hAnsi="Calibri"/>
          <w:color w:val="1A1A1A"/>
          <w:sz w:val="21"/>
          <w:szCs w:val="21"/>
        </w:rPr>
        <w:t xml:space="preserve">Change proposals incorporated, tested and proposed.</w:t>
      </w:r>
    </w:p>
    <w:p>
      <w:pPr>
        <w:pStyle w:val="ListParagraph"/>
        <w:numPr>
          <w:ilvl w:val="0"/>
          <w:numId w:val="1"/>
        </w:numPr>
        <w:spacing w:after="140"/>
      </w:pPr>
      <w:r>
        <w:rPr>
          <w:rFonts w:ascii="Calibri" w:cs="Calibri" w:eastAsia="Calibri" w:hAnsi="Calibri"/>
          <w:color w:val="1A1A1A"/>
          <w:sz w:val="21"/>
          <w:szCs w:val="21"/>
        </w:rPr>
        <w:t xml:space="preserve">The overall test effort, including its problem areas.</w:t>
      </w:r>
    </w:p>
    <w:p>
      <w:pPr>
        <w:spacing w:after="120"/>
      </w:pPr>
      <w:r>
        <w:rPr>
          <w:rFonts w:ascii="Calibri" w:cs="Calibri" w:eastAsia="Calibri" w:hAnsi="Calibri"/>
          <w:color w:val="1A1A1A"/>
          <w:sz w:val="21"/>
          <w:szCs w:val="21"/>
        </w:rPr>
        <w:t xml:space="preserve">The allocation matrix answers what this item is accountable for. The traceability matrix answers how each of those requirements was verified and with what result. Both are required. The traceability matrix is checked for completeness against the allocation matrix rather than against itself. A requirement allocated to the item but never carried into its specification is invisible without that check.</w:t>
      </w:r>
    </w:p>
    <w:p>
      <w:pPr>
        <w:spacing w:after="120"/>
      </w:pPr>
      <w:r>
        <w:rPr>
          <w:rFonts w:ascii="Calibri" w:cs="Calibri" w:eastAsia="Calibri" w:hAnsi="Calibri"/>
          <w:color w:val="1A1A1A"/>
          <w:sz w:val="21"/>
          <w:szCs w:val="21"/>
        </w:rPr>
        <w:t xml:space="preserve">For each requirement, or for the agreed sample, the audit verifies the documentation flow. The flow runs from the baseline requirement, to the test plan, to the test procedure, to the test report. Where a test does not apply, the flow runs to the analysis, inspection or demonstration record standing in its place. Interface requirements are verified within that same flow.</w:t>
      </w:r>
    </w:p>
    <w:p>
      <w:pPr>
        <w:pStyle w:val="Heading2"/>
        <w:spacing w:after="100" w:before="240"/>
      </w:pPr>
      <w:r>
        <w:rPr>
          <w:rFonts w:ascii="Cambria" w:cs="Cambria" w:eastAsia="Cambria" w:hAnsi="Cambria"/>
          <w:b/>
          <w:bCs/>
          <w:color w:val="1F3864"/>
          <w:sz w:val="25"/>
          <w:szCs w:val="25"/>
        </w:rPr>
        <w:t xml:space="preserve">8.1  Sampling</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3600"/>
        <w:gridCol w:w="5760"/>
      </w:tblGrid>
      <w:tr>
        <w:trPr>
          <w:tblHeader/>
        </w:trPr>
        <w:tc>
          <w:tcPr>
            <w:tcW w:type="dxa" w:w="3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Aspect</w:t>
            </w:r>
          </w:p>
        </w:tc>
        <w:tc>
          <w:tcPr>
            <w:tcW w:type="dxa" w:w="57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Approach for this audit</w:t>
            </w:r>
          </w:p>
        </w:tc>
      </w:tr>
      <w:tr>
        <w:tc>
          <w:tcPr>
            <w:tcW w:type="dxa" w:w="36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walked in full or sampled</w:t>
            </w:r>
          </w:p>
        </w:tc>
        <w:tc>
          <w:tcPr>
            <w:tcW w:type="dxa" w:w="57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600"/>
            <w:tcMar>
              <w:top w:type="dxa" w:w="70"/>
              <w:left w:type="dxa" w:w="110"/>
              <w:bottom w:type="dxa" w:w="70"/>
              <w:right w:type="dxa" w:w="110"/>
            </w:tcMar>
          </w:tcPr>
          <w:p>
            <w:pPr>
              <w:spacing w:after="0"/>
            </w:pPr>
            <w:r>
              <w:rPr>
                <w:rFonts w:ascii="Calibri" w:cs="Calibri" w:eastAsia="Calibri" w:hAnsi="Calibri"/>
                <w:color w:val="1A1A1A"/>
                <w:sz w:val="19"/>
                <w:szCs w:val="19"/>
              </w:rPr>
              <w:t xml:space="preserve">Sample size and selection method</w:t>
            </w:r>
          </w:p>
        </w:tc>
        <w:tc>
          <w:tcPr>
            <w:tcW w:type="dxa" w:w="57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6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verifying hazard risk controls and other safety-critical requirements</w:t>
            </w:r>
          </w:p>
        </w:tc>
        <w:tc>
          <w:tcPr>
            <w:tcW w:type="dxa" w:w="5760"/>
            <w:tcMar>
              <w:top w:type="dxa" w:w="70"/>
              <w:left w:type="dxa" w:w="110"/>
              <w:bottom w:type="dxa" w:w="70"/>
              <w:right w:type="dxa" w:w="110"/>
            </w:tcMar>
          </w:tcPr>
          <w:p>
            <w:pPr>
              <w:spacing w:after="0"/>
            </w:pPr>
            <w:r>
              <w:rPr>
                <w:rFonts w:ascii="Calibri" w:cs="Calibri" w:eastAsia="Calibri" w:hAnsi="Calibri"/>
                <w:color w:val="1A1A1A"/>
                <w:sz w:val="19"/>
                <w:szCs w:val="19"/>
              </w:rPr>
              <w:t xml:space="preserve">Included in the sample in all cases. Not sampled out.</w:t>
            </w:r>
          </w:p>
        </w:tc>
      </w:tr>
      <w:tr>
        <w:tc>
          <w:tcPr>
            <w:tcW w:type="dxa" w:w="3600"/>
            <w:tcMar>
              <w:top w:type="dxa" w:w="70"/>
              <w:left w:type="dxa" w:w="110"/>
              <w:bottom w:type="dxa" w:w="70"/>
              <w:right w:type="dxa" w:w="110"/>
            </w:tcMar>
          </w:tcPr>
          <w:p>
            <w:pPr>
              <w:spacing w:after="0"/>
            </w:pPr>
            <w:r>
              <w:rPr>
                <w:rFonts w:ascii="Calibri" w:cs="Calibri" w:eastAsia="Calibri" w:hAnsi="Calibri"/>
                <w:color w:val="1A1A1A"/>
                <w:sz w:val="19"/>
                <w:szCs w:val="19"/>
              </w:rPr>
              <w:t xml:space="preserve">Agreed with the Acquirer on</w:t>
            </w:r>
          </w:p>
        </w:tc>
        <w:tc>
          <w:tcPr>
            <w:tcW w:type="dxa" w:w="5760"/>
            <w:tcMar>
              <w:top w:type="dxa" w:w="70"/>
              <w:left w:type="dxa" w:w="110"/>
              <w:bottom w:type="dxa" w:w="70"/>
              <w:right w:type="dxa" w:w="110"/>
            </w:tcMar>
          </w:tcPr>
          <w:p>
            <w:pPr>
              <w:spacing w:after="0"/>
            </w:pPr>
            <w:r>
              <w:rPr>
                <w:rFonts w:ascii="Calibri" w:cs="Calibri" w:eastAsia="Calibri" w:hAnsi="Calibri"/>
                <w:color w:val="1A1A1A"/>
                <w:sz w:val="19"/>
                <w:szCs w:val="19"/>
              </w:rPr>
              <w:t xml:space="preserve">[date]</w:t>
            </w:r>
          </w:p>
        </w:tc>
      </w:tr>
    </w:tbl>
    <w:p>
      <w:pPr>
        <w:pStyle w:val="Heading2"/>
        <w:spacing w:after="100" w:before="240"/>
      </w:pPr>
      <w:r>
        <w:rPr>
          <w:rFonts w:ascii="Cambria" w:cs="Cambria" w:eastAsia="Cambria" w:hAnsi="Cambria"/>
          <w:b/>
          <w:bCs/>
          <w:color w:val="1F3864"/>
          <w:sz w:val="25"/>
          <w:szCs w:val="25"/>
        </w:rPr>
        <w:t xml:space="preserve">8.2  Open verification</w:t>
      </w:r>
    </w:p>
    <w:p>
      <w:pPr>
        <w:spacing w:after="120"/>
      </w:pPr>
      <w:r>
        <w:rPr>
          <w:rFonts w:ascii="Calibri" w:cs="Calibri" w:eastAsia="Calibri" w:hAnsi="Calibri"/>
          <w:color w:val="1A1A1A"/>
          <w:sz w:val="21"/>
          <w:szCs w:val="21"/>
        </w:rPr>
        <w:t xml:space="preserve">Some verification depends on integrated testing not yet performed. The audit acknowledges partial completion. The audit team records the open requirements as action items. A delta audit closes them once the outstanding testing passes. The owning function analyzes items failing quality requirements for cause and corrects them before re-verification.</w:t>
      </w:r>
    </w:p>
    <w:p>
      <w:pPr>
        <w:pStyle w:val="Heading2"/>
        <w:spacing w:after="100" w:before="240"/>
      </w:pPr>
      <w:r>
        <w:rPr>
          <w:rFonts w:ascii="Cambria" w:cs="Cambria" w:eastAsia="Cambria" w:hAnsi="Cambria"/>
          <w:b/>
          <w:bCs/>
          <w:color w:val="1F3864"/>
          <w:sz w:val="25"/>
          <w:szCs w:val="25"/>
        </w:rPr>
        <w:t xml:space="preserve">8.3  Software items</w:t>
      </w:r>
    </w:p>
    <w:p>
      <w:pPr>
        <w:spacing w:after="60"/>
      </w:pPr>
      <w:r>
        <w:rPr>
          <w:rFonts w:ascii="Calibri" w:cs="Calibri" w:eastAsia="Calibri" w:hAnsi="Calibri"/>
          <w:color w:val="1A1A1A"/>
          <w:sz w:val="21"/>
          <w:szCs w:val="21"/>
        </w:rPr>
        <w:t xml:space="preserve">For software items the audit additionally examines the following.</w:t>
      </w:r>
    </w:p>
    <w:p>
      <w:pPr>
        <w:pStyle w:val="ListParagraph"/>
        <w:numPr>
          <w:ilvl w:val="0"/>
          <w:numId w:val="1"/>
        </w:numPr>
        <w:spacing w:after="70"/>
      </w:pPr>
      <w:r>
        <w:rPr>
          <w:rFonts w:ascii="Calibri" w:cs="Calibri" w:eastAsia="Calibri" w:hAnsi="Calibri"/>
          <w:color w:val="1A1A1A"/>
          <w:sz w:val="21"/>
          <w:szCs w:val="21"/>
        </w:rPr>
        <w:t xml:space="preserve">Database characteristics, storage allocation, timing and sequencing against the requirements.</w:t>
      </w:r>
    </w:p>
    <w:p>
      <w:pPr>
        <w:pStyle w:val="ListParagraph"/>
        <w:numPr>
          <w:ilvl w:val="0"/>
          <w:numId w:val="1"/>
        </w:numPr>
        <w:spacing w:after="70"/>
      </w:pPr>
      <w:r>
        <w:rPr>
          <w:rFonts w:ascii="Calibri" w:cs="Calibri" w:eastAsia="Calibri" w:hAnsi="Calibri"/>
          <w:color w:val="1A1A1A"/>
          <w:sz w:val="21"/>
          <w:szCs w:val="21"/>
        </w:rPr>
        <w:t xml:space="preserve">The software product documents, for format and completeness.</w:t>
      </w:r>
    </w:p>
    <w:p>
      <w:pPr>
        <w:pStyle w:val="ListParagraph"/>
        <w:numPr>
          <w:ilvl w:val="0"/>
          <w:numId w:val="1"/>
        </w:numPr>
        <w:spacing w:after="70"/>
      </w:pPr>
      <w:r>
        <w:rPr>
          <w:rFonts w:ascii="Calibri" w:cs="Calibri" w:eastAsia="Calibri" w:hAnsi="Calibri"/>
          <w:color w:val="1A1A1A"/>
          <w:sz w:val="21"/>
          <w:szCs w:val="21"/>
        </w:rPr>
        <w:t xml:space="preserve">Developmental configuration change records.</w:t>
      </w:r>
    </w:p>
    <w:p>
      <w:pPr>
        <w:pStyle w:val="ListParagraph"/>
        <w:numPr>
          <w:ilvl w:val="0"/>
          <w:numId w:val="1"/>
        </w:numPr>
        <w:spacing w:after="70"/>
      </w:pPr>
      <w:r>
        <w:rPr>
          <w:rFonts w:ascii="Calibri" w:cs="Calibri" w:eastAsia="Calibri" w:hAnsi="Calibri"/>
          <w:color w:val="1A1A1A"/>
          <w:sz w:val="21"/>
          <w:szCs w:val="21"/>
        </w:rPr>
        <w:t xml:space="preserve">The library listing of every version held, developmental and non-developmental.</w:t>
      </w:r>
    </w:p>
    <w:p>
      <w:pPr>
        <w:pStyle w:val="ListParagraph"/>
        <w:numPr>
          <w:ilvl w:val="0"/>
          <w:numId w:val="1"/>
        </w:numPr>
        <w:spacing w:after="140"/>
      </w:pPr>
      <w:r>
        <w:rPr>
          <w:rFonts w:ascii="Calibri" w:cs="Calibri" w:eastAsia="Calibri" w:hAnsi="Calibri"/>
          <w:color w:val="1A1A1A"/>
          <w:sz w:val="21"/>
          <w:szCs w:val="21"/>
        </w:rPr>
        <w:t xml:space="preserve">The findings of internal configuration management and software quality audits.</w:t>
      </w:r>
    </w:p>
    <w:p>
      <w:pPr>
        <w:spacing w:after="120"/>
      </w:pPr>
      <w:r>
        <w:rPr>
          <w:rFonts w:ascii="Calibri" w:cs="Calibri" w:eastAsia="Calibri" w:hAnsi="Calibri"/>
          <w:color w:val="1A1A1A"/>
          <w:sz w:val="21"/>
          <w:szCs w:val="21"/>
        </w:rPr>
        <w:t xml:space="preserve">The standard applied is that every requirement has a related test step and that test passes.</w:t>
      </w:r>
    </w:p>
    <w:p>
      <w:pPr>
        <w:pStyle w:val="Heading1"/>
        <w:spacing w:after="140" w:before="360"/>
      </w:pPr>
      <w:r>
        <w:rPr>
          <w:rFonts w:ascii="Cambria" w:cs="Cambria" w:eastAsia="Cambria" w:hAnsi="Cambria"/>
          <w:b/>
          <w:bCs/>
          <w:color w:val="1F3864"/>
          <w:sz w:val="30"/>
          <w:szCs w:val="30"/>
        </w:rPr>
        <w:t xml:space="preserve">9.  Conduct: Physical Audit</w:t>
      </w:r>
    </w:p>
    <w:p>
      <w:pPr>
        <w:spacing w:after="120"/>
      </w:pPr>
      <w:r>
        <w:rPr>
          <w:rFonts w:ascii="Calibri" w:cs="Calibri" w:eastAsia="Calibri" w:hAnsi="Calibri"/>
          <w:color w:val="1A1A1A"/>
          <w:sz w:val="21"/>
          <w:szCs w:val="21"/>
        </w:rPr>
        <w:t xml:space="preserve">The physical audit verifies three things. It verifies that the product definition data is a clear, complete and accurate representation of the unit examined. It verifies that anything redesigned after the functional audit still meets the performance specification. It verifies that the acceptance testing requirements in the documentation are adequate to accept production units.</w:t>
      </w:r>
    </w:p>
    <w:p>
      <w:pPr>
        <w:spacing w:after="120"/>
      </w:pPr>
      <w:r>
        <w:rPr>
          <w:rFonts w:ascii="Calibri" w:cs="Calibri" w:eastAsia="Calibri" w:hAnsi="Calibri"/>
          <w:color w:val="1A1A1A"/>
          <w:sz w:val="21"/>
          <w:szCs w:val="21"/>
        </w:rPr>
        <w:t xml:space="preserve">The reconciliation report is the claim the audit checks. It is not evidence the audit accepts. The reconciliation already ran at scale through the status accounting system. The audit asks whether that machinery produced the right answer for this unit. A delta the audit finds that the report missed is a finding against the reconciliation process, not only against the unit.</w:t>
      </w:r>
    </w:p>
    <w:p>
      <w:pPr>
        <w:spacing w:after="120"/>
      </w:pPr>
      <w:r>
        <w:rPr>
          <w:rFonts w:ascii="Calibri" w:cs="Calibri" w:eastAsia="Calibri" w:hAnsi="Calibri"/>
          <w:color w:val="1A1A1A"/>
          <w:sz w:val="21"/>
          <w:szCs w:val="21"/>
        </w:rPr>
        <w:t xml:space="preserve">The audit team performs the check set at Appendix B for each item audited. Each check is recorded as pass, finding, or not applicable. A check that does not apply is recorded as not applicable, never omitted.</w:t>
      </w:r>
    </w:p>
    <w:p>
      <w:pPr>
        <w:spacing w:after="120"/>
      </w:pPr>
      <w:r>
        <w:rPr>
          <w:rFonts w:ascii="Calibri" w:cs="Calibri" w:eastAsia="Calibri" w:hAnsi="Calibri"/>
          <w:color w:val="1A1A1A"/>
          <w:sz w:val="21"/>
          <w:szCs w:val="21"/>
        </w:rPr>
        <w:t xml:space="preserve">Where the item’s interface control document has been revised since a counterpart item was audited, the audit verifies both sides of the interface against that document at a common effectivity.</w:t>
      </w:r>
    </w:p>
    <w:p>
      <w:pPr>
        <w:pStyle w:val="Heading2"/>
        <w:spacing w:after="100" w:before="240"/>
      </w:pPr>
      <w:r>
        <w:rPr>
          <w:rFonts w:ascii="Cambria" w:cs="Cambria" w:eastAsia="Cambria" w:hAnsi="Cambria"/>
          <w:b/>
          <w:bCs/>
          <w:color w:val="1F3864"/>
          <w:sz w:val="25"/>
          <w:szCs w:val="25"/>
        </w:rPr>
        <w:t xml:space="preserve">9.1  Sampling</w:t>
      </w:r>
    </w:p>
    <w:p>
      <w:pPr>
        <w:spacing w:after="120"/>
      </w:pPr>
      <w:r>
        <w:rPr>
          <w:rFonts w:ascii="Calibri" w:cs="Calibri" w:eastAsia="Calibri" w:hAnsi="Calibri"/>
          <w:color w:val="1A1A1A"/>
          <w:sz w:val="21"/>
          <w:szCs w:val="21"/>
        </w:rPr>
        <w:t xml:space="preserve">Sampling levels are set per check at Appendix B. The levels marked one hundred percent are set by the audit process and are not tailorable in this plan. Features implementing or protecting hazard risk controls, and safety-critical characteristics, are included in every sample and are not sampled out.</w:t>
      </w:r>
    </w:p>
    <w:p>
      <w:pPr>
        <w:spacing w:after="120"/>
      </w:pPr>
      <w:r>
        <w:rPr>
          <w:rFonts w:ascii="Calibri" w:cs="Calibri" w:eastAsia="Calibri" w:hAnsi="Calibri"/>
          <w:color w:val="1A1A1A"/>
          <w:sz w:val="21"/>
          <w:szCs w:val="21"/>
        </w:rPr>
        <w:t xml:space="preserve">The physical audit samples in order to judge whether inspection and process control functioned. It is not a re-inspection of the article. It cannot verify material, certification or process conformance by inspection. It verifies an evidence chain. Its findings are breaks in that chain.</w:t>
      </w:r>
    </w:p>
    <w:p>
      <w:pPr>
        <w:pStyle w:val="Heading2"/>
        <w:spacing w:after="100" w:before="240"/>
      </w:pPr>
      <w:r>
        <w:rPr>
          <w:rFonts w:ascii="Cambria" w:cs="Cambria" w:eastAsia="Cambria" w:hAnsi="Cambria"/>
          <w:b/>
          <w:bCs/>
          <w:color w:val="1F3864"/>
          <w:sz w:val="25"/>
          <w:szCs w:val="25"/>
        </w:rPr>
        <w:t xml:space="preserve">9.2  Software items</w:t>
      </w:r>
    </w:p>
    <w:p>
      <w:pPr>
        <w:spacing w:after="60"/>
      </w:pPr>
      <w:r>
        <w:rPr>
          <w:rFonts w:ascii="Calibri" w:cs="Calibri" w:eastAsia="Calibri" w:hAnsi="Calibri"/>
          <w:color w:val="1A1A1A"/>
          <w:sz w:val="21"/>
          <w:szCs w:val="21"/>
        </w:rPr>
        <w:t xml:space="preserve">For software items the audit performs the following.</w:t>
      </w:r>
    </w:p>
    <w:p>
      <w:pPr>
        <w:pStyle w:val="ListParagraph"/>
        <w:numPr>
          <w:ilvl w:val="0"/>
          <w:numId w:val="1"/>
        </w:numPr>
        <w:spacing w:after="70"/>
      </w:pPr>
      <w:r>
        <w:rPr>
          <w:rFonts w:ascii="Calibri" w:cs="Calibri" w:eastAsia="Calibri" w:hAnsi="Calibri"/>
          <w:color w:val="1A1A1A"/>
          <w:sz w:val="21"/>
          <w:szCs w:val="21"/>
        </w:rPr>
        <w:t xml:space="preserve">Compares source listings against the released configuration documentation.</w:t>
      </w:r>
    </w:p>
    <w:p>
      <w:pPr>
        <w:pStyle w:val="ListParagraph"/>
        <w:numPr>
          <w:ilvl w:val="0"/>
          <w:numId w:val="1"/>
        </w:numPr>
        <w:spacing w:after="70"/>
      </w:pPr>
      <w:r>
        <w:rPr>
          <w:rFonts w:ascii="Calibri" w:cs="Calibri" w:eastAsia="Calibri" w:hAnsi="Calibri"/>
          <w:color w:val="1A1A1A"/>
          <w:sz w:val="21"/>
          <w:szCs w:val="21"/>
        </w:rPr>
        <w:t xml:space="preserve">Verifies the version description, including compiler, compiler version and settings.</w:t>
      </w:r>
    </w:p>
    <w:p>
      <w:pPr>
        <w:pStyle w:val="ListParagraph"/>
        <w:numPr>
          <w:ilvl w:val="0"/>
          <w:numId w:val="1"/>
        </w:numPr>
        <w:spacing w:after="70"/>
      </w:pPr>
      <w:r>
        <w:rPr>
          <w:rFonts w:ascii="Calibri" w:cs="Calibri" w:eastAsia="Calibri" w:hAnsi="Calibri"/>
          <w:color w:val="1A1A1A"/>
          <w:sz w:val="21"/>
          <w:szCs w:val="21"/>
        </w:rPr>
        <w:t xml:space="preserve">Produces the build during the audit, installs it on the target device, and verifies it against the version description. Quality Assurance witnesses all three, or the entity the Acquirer designates.</w:t>
      </w:r>
    </w:p>
    <w:p>
      <w:pPr>
        <w:pStyle w:val="ListParagraph"/>
        <w:numPr>
          <w:ilvl w:val="0"/>
          <w:numId w:val="1"/>
        </w:numPr>
        <w:spacing w:after="70"/>
      </w:pPr>
      <w:r>
        <w:rPr>
          <w:rFonts w:ascii="Calibri" w:cs="Calibri" w:eastAsia="Calibri" w:hAnsi="Calibri"/>
          <w:color w:val="1A1A1A"/>
          <w:sz w:val="21"/>
          <w:szCs w:val="21"/>
        </w:rPr>
        <w:t xml:space="preserve">Confirms every update listed on the build’s problem reports is applied.</w:t>
      </w:r>
    </w:p>
    <w:p>
      <w:pPr>
        <w:pStyle w:val="ListParagraph"/>
        <w:numPr>
          <w:ilvl w:val="0"/>
          <w:numId w:val="1"/>
        </w:numPr>
        <w:spacing w:after="140"/>
      </w:pPr>
      <w:r>
        <w:rPr>
          <w:rFonts w:ascii="Calibri" w:cs="Calibri" w:eastAsia="Calibri" w:hAnsi="Calibri"/>
          <w:color w:val="1A1A1A"/>
          <w:sz w:val="21"/>
          <w:szCs w:val="21"/>
        </w:rPr>
        <w:t xml:space="preserve">Verifies the load, version, part number and checksum actually installed in each programmable device against that version description.</w:t>
      </w:r>
    </w:p>
    <w:p>
      <w:pPr>
        <w:pStyle w:val="Heading1"/>
        <w:spacing w:after="140" w:before="360"/>
      </w:pPr>
      <w:r>
        <w:rPr>
          <w:rFonts w:ascii="Cambria" w:cs="Cambria" w:eastAsia="Cambria" w:hAnsi="Cambria"/>
          <w:b/>
          <w:bCs/>
          <w:color w:val="1F3864"/>
          <w:sz w:val="30"/>
          <w:szCs w:val="30"/>
        </w:rPr>
        <w:t xml:space="preserve">10.  System-Level Audit Scope</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Complete this section only where the physical audits under this plan are conducted in increments. Where they are not, state “not applicable: audits are not incremental on this program” and leave the section in place.</w:t>
      </w:r>
    </w:p>
    <w:p>
      <w:pPr>
        <w:spacing w:after="120"/>
      </w:pPr>
      <w:r>
        <w:rPr>
          <w:rFonts w:ascii="Calibri" w:cs="Calibri" w:eastAsia="Calibri" w:hAnsi="Calibri"/>
          <w:color w:val="1A1A1A"/>
          <w:sz w:val="21"/>
          <w:szCs w:val="21"/>
        </w:rPr>
        <w:t xml:space="preserve">A final system-level audit confirms the system product baseline is correct. It applies where audits are conducted in increments. The system is itself a configuration item. It is normally the top one. The system-level audit is scoped to two populations.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100"/>
        <w:gridCol w:w="5460"/>
        <w:gridCol w:w="1800"/>
      </w:tblGrid>
      <w:tr>
        <w:trPr>
          <w:tblHeader/>
        </w:trPr>
        <w:tc>
          <w:tcPr>
            <w:tcW w:type="dxa" w:w="21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Population</w:t>
            </w:r>
          </w:p>
        </w:tc>
        <w:tc>
          <w:tcPr>
            <w:tcW w:type="dxa" w:w="54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What is audited</w:t>
            </w:r>
          </w:p>
        </w:tc>
        <w:tc>
          <w:tcPr>
            <w:tcW w:type="dxa" w:w="18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Entries for this program</w:t>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Child items not yet audited</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Swept against the designation criteria. Items that now designate are audited as items, with their own entry criteria, data package and lead time.</w:t>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Interfaces between items</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Verified against their interface control documents at a common effectivity, with the as-built of both sides compared to the interface definition. Prioritized where both sides are designated items, where the interface carries a hazard risk control, or where the interface document has been revised since either side was audited.</w:t>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pPr>
        <w:spacing w:after="120"/>
      </w:pPr>
    </w:p>
    <w:p>
      <w:pPr>
        <w:spacing w:after="120"/>
      </w:pPr>
      <w:r>
        <w:rPr>
          <w:rFonts w:ascii="Calibri" w:cs="Calibri" w:eastAsia="Calibri" w:hAnsi="Calibri"/>
          <w:color w:val="1A1A1A"/>
          <w:sz w:val="21"/>
          <w:szCs w:val="21"/>
        </w:rPr>
        <w:t xml:space="preserve">The audit additionally confirms baseline coherence. Open action items and deltas from earlier increments are closed. Effectivity is consistent across items audited months or years apart.</w:t>
      </w:r>
    </w:p>
    <w:p>
      <w:pPr>
        <w:spacing w:after="120"/>
      </w:pPr>
      <w:r>
        <w:rPr>
          <w:rFonts w:ascii="Calibri" w:cs="Calibri" w:eastAsia="Calibri" w:hAnsi="Calibri"/>
          <w:b/>
          <w:bCs/>
          <w:color w:val="1A1A1A"/>
          <w:sz w:val="21"/>
          <w:szCs w:val="21"/>
        </w:rPr>
        <w:t xml:space="preserve">The installation drawing set is not the audit population.</w:t>
      </w:r>
      <w:r>
        <w:rPr>
          <w:rFonts w:ascii="Calibri" w:cs="Calibri" w:eastAsia="Calibri" w:hAnsi="Calibri"/>
          <w:color w:val="1A1A1A"/>
          <w:sz w:val="21"/>
          <w:szCs w:val="21"/>
        </w:rPr>
        <w:t xml:space="preserve"> It is the means of locating what to examine. A sample drawn from drawings rather than from configuration items and interfaces is mis-scoped regardless of the percentage sampled.</w:t>
      </w:r>
    </w:p>
    <w:p>
      <w:pPr>
        <w:spacing w:after="120"/>
      </w:pPr>
      <w:r>
        <w:rPr>
          <w:rFonts w:ascii="Calibri" w:cs="Calibri" w:eastAsia="Calibri" w:hAnsi="Calibri"/>
          <w:b/>
          <w:bCs/>
          <w:color w:val="1A1A1A"/>
          <w:sz w:val="21"/>
          <w:szCs w:val="21"/>
        </w:rPr>
        <w:t xml:space="preserve">Where the system-level audit convenes:  </w:t>
      </w:r>
      <w:r>
        <w:rPr>
          <w:rFonts w:ascii="Calibri" w:cs="Calibri" w:eastAsia="Calibri" w:hAnsi="Calibri"/>
          <w:color w:val="5A5A5A"/>
          <w:sz w:val="21"/>
          <w:szCs w:val="21"/>
        </w:rPr>
        <w:t xml:space="preserve">[  ]</w:t>
      </w:r>
    </w:p>
    <w:p>
      <w:pPr>
        <w:spacing w:after="120"/>
      </w:pPr>
      <w:r>
        <w:rPr>
          <w:rFonts w:ascii="Calibri" w:cs="Calibri" w:eastAsia="Calibri" w:hAnsi="Calibri"/>
          <w:color w:val="1A1A1A"/>
          <w:sz w:val="21"/>
          <w:szCs w:val="21"/>
        </w:rPr>
        <w:t xml:space="preserve">The system-level audit is conducted where the end item is assembled. Where that is a supplier facility, the supplier hosts and the company or the Acquirer conducts. The host provides the article, the facility, access including the installation zone, the zone closeout records, and the assembled evidence. The host meets the physical audit entry criteria in Section 7.1 for the audited unit. Those obligations are bought in the subcontract through the standing conditional audit clause, or they are requests.</w:t>
      </w:r>
    </w:p>
    <w:p>
      <w:pPr>
        <w:pStyle w:val="Heading2"/>
        <w:spacing w:after="100" w:before="240"/>
      </w:pPr>
      <w:r>
        <w:rPr>
          <w:rFonts w:ascii="Cambria" w:cs="Cambria" w:eastAsia="Cambria" w:hAnsi="Cambria"/>
          <w:b/>
          <w:bCs/>
          <w:color w:val="1F3864"/>
          <w:sz w:val="25"/>
          <w:szCs w:val="25"/>
        </w:rPr>
        <w:t xml:space="preserve">10.1  Designation sweep timing</w:t>
      </w:r>
    </w:p>
    <w:p>
      <w:pPr>
        <w:spacing w:after="120"/>
      </w:pPr>
      <w:r>
        <w:rPr>
          <w:rFonts w:ascii="Calibri" w:cs="Calibri" w:eastAsia="Calibri" w:hAnsi="Calibri"/>
          <w:color w:val="1A1A1A"/>
          <w:sz w:val="21"/>
          <w:szCs w:val="21"/>
        </w:rPr>
        <w:t xml:space="preserve">Configuration Management runs the sweep at the program configuration management plan revision preceding the system-level audit, not at its door. An item that newly designates requires its own entry criteria, data package and lead time before the system-level audit can complete. The sweep is confirmed again at entry. An item newly designating at that point is itself a finding on how designation was maintained.</w:t>
      </w:r>
    </w:p>
    <w:p>
      <w:pPr>
        <w:spacing w:after="90"/>
      </w:pPr>
      <w:r>
        <w:rPr>
          <w:rFonts w:ascii="Calibri" w:cs="Calibri" w:eastAsia="Calibri" w:hAnsi="Calibri"/>
          <w:b/>
          <w:bCs/>
          <w:color w:val="1A1A1A"/>
          <w:sz w:val="21"/>
          <w:szCs w:val="21"/>
        </w:rPr>
        <w:t xml:space="preserve">Sweep planned for:  </w:t>
      </w:r>
      <w:r>
        <w:rPr>
          <w:rFonts w:ascii="Calibri" w:cs="Calibri" w:eastAsia="Calibri" w:hAnsi="Calibri"/>
          <w:color w:val="5A5A5A"/>
          <w:sz w:val="21"/>
          <w:szCs w:val="21"/>
        </w:rPr>
        <w:t xml:space="preserve">___________________________________________</w:t>
      </w:r>
    </w:p>
    <w:p>
      <w:pPr>
        <w:spacing w:after="120"/>
      </w:pPr>
      <w:r>
        <w:rPr>
          <w:rFonts w:ascii="Calibri" w:cs="Calibri" w:eastAsia="Calibri" w:hAnsi="Calibri"/>
          <w:b/>
          <w:bCs/>
          <w:color w:val="1A1A1A"/>
          <w:sz w:val="21"/>
          <w:szCs w:val="21"/>
        </w:rPr>
        <w:t xml:space="preserve">Sweep confirmation at entry planned for:  </w:t>
      </w:r>
      <w:r>
        <w:rPr>
          <w:rFonts w:ascii="Calibri" w:cs="Calibri" w:eastAsia="Calibri" w:hAnsi="Calibri"/>
          <w:color w:val="5A5A5A"/>
          <w:sz w:val="21"/>
          <w:szCs w:val="21"/>
        </w:rPr>
        <w:t xml:space="preserve">___________________________________________</w:t>
      </w:r>
    </w:p>
    <w:p>
      <w:pPr>
        <w:pStyle w:val="Heading1"/>
        <w:spacing w:after="140" w:before="360"/>
      </w:pPr>
      <w:r>
        <w:rPr>
          <w:rFonts w:ascii="Cambria" w:cs="Cambria" w:eastAsia="Cambria" w:hAnsi="Cambria"/>
          <w:b/>
          <w:bCs/>
          <w:color w:val="1F3864"/>
          <w:sz w:val="30"/>
          <w:szCs w:val="30"/>
        </w:rPr>
        <w:t xml:space="preserve">11.  Findings, Classification and Closure</w:t>
      </w:r>
    </w:p>
    <w:p>
      <w:pPr>
        <w:spacing w:after="120"/>
      </w:pPr>
      <w:r>
        <w:rPr>
          <w:rFonts w:ascii="Calibri" w:cs="Calibri" w:eastAsia="Calibri" w:hAnsi="Calibri"/>
          <w:color w:val="1A1A1A"/>
          <w:sz w:val="21"/>
          <w:szCs w:val="21"/>
        </w:rPr>
        <w:t xml:space="preserve">A discrepancy found during the audit is recorded as a finding. A finding that is a non-compliance is documented and provided to the Acquirer. Every finding carries an action item.</w:t>
      </w:r>
    </w:p>
    <w:p>
      <w:pPr>
        <w:spacing w:after="60"/>
      </w:pPr>
      <w:r>
        <w:rPr>
          <w:rFonts w:ascii="Calibri" w:cs="Calibri" w:eastAsia="Calibri" w:hAnsi="Calibri"/>
          <w:color w:val="1A1A1A"/>
          <w:sz w:val="21"/>
          <w:szCs w:val="21"/>
        </w:rPr>
        <w:t xml:space="preserve">Every discrepancy found during the audit is recorded. The record carries four elements.</w:t>
      </w:r>
    </w:p>
    <w:p>
      <w:pPr>
        <w:pStyle w:val="ListParagraph"/>
        <w:numPr>
          <w:ilvl w:val="0"/>
          <w:numId w:val="1"/>
        </w:numPr>
        <w:spacing w:after="70"/>
      </w:pPr>
      <w:r>
        <w:rPr>
          <w:rFonts w:ascii="Calibri" w:cs="Calibri" w:eastAsia="Calibri" w:hAnsi="Calibri"/>
          <w:color w:val="1A1A1A"/>
          <w:sz w:val="21"/>
          <w:szCs w:val="21"/>
        </w:rPr>
        <w:t xml:space="preserve">The issue, stated so that someone who was not present can understand it.</w:t>
      </w:r>
    </w:p>
    <w:p>
      <w:pPr>
        <w:pStyle w:val="ListParagraph"/>
        <w:numPr>
          <w:ilvl w:val="0"/>
          <w:numId w:val="1"/>
        </w:numPr>
        <w:spacing w:after="70"/>
      </w:pPr>
      <w:r>
        <w:rPr>
          <w:rFonts w:ascii="Calibri" w:cs="Calibri" w:eastAsia="Calibri" w:hAnsi="Calibri"/>
          <w:color w:val="1A1A1A"/>
          <w:sz w:val="21"/>
          <w:szCs w:val="21"/>
        </w:rPr>
        <w:t xml:space="preserve">The agreed closure plan.</w:t>
      </w:r>
    </w:p>
    <w:p>
      <w:pPr>
        <w:pStyle w:val="ListParagraph"/>
        <w:numPr>
          <w:ilvl w:val="0"/>
          <w:numId w:val="1"/>
        </w:numPr>
        <w:spacing w:after="70"/>
      </w:pPr>
      <w:r>
        <w:rPr>
          <w:rFonts w:ascii="Calibri" w:cs="Calibri" w:eastAsia="Calibri" w:hAnsi="Calibri"/>
          <w:color w:val="1A1A1A"/>
          <w:sz w:val="21"/>
          <w:szCs w:val="21"/>
        </w:rPr>
        <w:t xml:space="preserve">The responsible individual, named rather than a department.</w:t>
      </w:r>
    </w:p>
    <w:p>
      <w:pPr>
        <w:pStyle w:val="ListParagraph"/>
        <w:numPr>
          <w:ilvl w:val="0"/>
          <w:numId w:val="1"/>
        </w:numPr>
        <w:spacing w:after="140"/>
      </w:pPr>
      <w:r>
        <w:rPr>
          <w:rFonts w:ascii="Calibri" w:cs="Calibri" w:eastAsia="Calibri" w:hAnsi="Calibri"/>
          <w:color w:val="1A1A1A"/>
          <w:sz w:val="21"/>
          <w:szCs w:val="21"/>
        </w:rPr>
        <w:t xml:space="preserve">The agreed suspense date.</w:t>
      </w:r>
    </w:p>
    <w:p>
      <w:pPr>
        <w:spacing w:after="120"/>
      </w:pPr>
      <w:r>
        <w:rPr>
          <w:rFonts w:ascii="Calibri" w:cs="Calibri" w:eastAsia="Calibri" w:hAnsi="Calibri"/>
          <w:color w:val="1A1A1A"/>
          <w:sz w:val="21"/>
          <w:szCs w:val="21"/>
        </w:rPr>
        <w:t xml:space="preserve">There is no verbal finding.</w:t>
      </w:r>
    </w:p>
    <w:p>
      <w:pPr>
        <w:pStyle w:val="Heading2"/>
        <w:spacing w:after="100" w:before="240"/>
      </w:pPr>
      <w:r>
        <w:rPr>
          <w:rFonts w:ascii="Cambria" w:cs="Cambria" w:eastAsia="Cambria" w:hAnsi="Cambria"/>
          <w:b/>
          <w:bCs/>
          <w:color w:val="1F3864"/>
          <w:sz w:val="25"/>
          <w:szCs w:val="25"/>
        </w:rPr>
        <w:t xml:space="preserve">11.1  Classification</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800"/>
        <w:gridCol w:w="7560"/>
      </w:tblGrid>
      <w:tr>
        <w:trPr>
          <w:tblHeader/>
        </w:trPr>
        <w:tc>
          <w:tcPr>
            <w:tcW w:type="dxa" w:w="18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Classification</w:t>
            </w:r>
          </w:p>
        </w:tc>
        <w:tc>
          <w:tcPr>
            <w:tcW w:type="dxa" w:w="75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Criteria</w:t>
            </w:r>
          </w:p>
        </w:tc>
      </w:tr>
      <w:tr>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Major</w:t>
            </w:r>
          </w:p>
        </w:tc>
        <w:tc>
          <w:tcPr>
            <w:tcW w:type="dxa" w:w="7560"/>
            <w:tcMar>
              <w:top w:type="dxa" w:w="70"/>
              <w:left w:type="dxa" w:w="110"/>
              <w:bottom w:type="dxa" w:w="70"/>
              <w:right w:type="dxa" w:w="110"/>
            </w:tcMar>
          </w:tcPr>
          <w:p>
            <w:pPr>
              <w:spacing w:after="0"/>
            </w:pPr>
            <w:r>
              <w:rPr>
                <w:rFonts w:ascii="Calibri" w:cs="Calibri" w:eastAsia="Calibri" w:hAnsi="Calibri"/>
                <w:color w:val="1A1A1A"/>
                <w:sz w:val="19"/>
                <w:szCs w:val="19"/>
              </w:rPr>
              <w:t xml:space="preserve">Production definition documentation or design data incorrect or incomplete; systematic breakdown of process control; clear non-adherence to workmanship standards; hardware or software not included in the build process; non-adherence to specification, interface or statement-of-work requirements; first article data missing or incomplete</w:t>
            </w:r>
          </w:p>
        </w:tc>
      </w:tr>
      <w:tr>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Minor</w:t>
            </w:r>
          </w:p>
        </w:tc>
        <w:tc>
          <w:tcPr>
            <w:tcW w:type="dxa" w:w="7560"/>
            <w:tcMar>
              <w:top w:type="dxa" w:w="70"/>
              <w:left w:type="dxa" w:w="110"/>
              <w:bottom w:type="dxa" w:w="70"/>
              <w:right w:type="dxa" w:w="110"/>
            </w:tcMar>
          </w:tcPr>
          <w:p>
            <w:pPr>
              <w:spacing w:after="0"/>
            </w:pPr>
            <w:r>
              <w:rPr>
                <w:rFonts w:ascii="Calibri" w:cs="Calibri" w:eastAsia="Calibri" w:hAnsi="Calibri"/>
                <w:color w:val="1A1A1A"/>
                <w:sz w:val="19"/>
                <w:szCs w:val="19"/>
              </w:rPr>
              <w:t xml:space="preserve">Non-systematic errors. Typographical errors in production definition documentation, process control records, or workmanship standards documentation are the common case</w:t>
            </w:r>
          </w:p>
        </w:tc>
      </w:tr>
    </w:tbl>
    <w:p>
      <w:pPr>
        <w:spacing w:after="120"/>
      </w:pPr>
    </w:p>
    <w:p>
      <w:pPr>
        <w:spacing w:after="120"/>
      </w:pPr>
      <w:r>
        <w:rPr>
          <w:rFonts w:ascii="Calibri" w:cs="Calibri" w:eastAsia="Calibri" w:hAnsi="Calibri"/>
          <w:color w:val="1A1A1A"/>
          <w:sz w:val="21"/>
          <w:szCs w:val="21"/>
        </w:rPr>
        <w:t xml:space="preserve">Classification follows the mechanism rather than the instance count. A single instance produced by a systematic breakdown is major. Repeated non-systematic errors remain minor.</w:t>
      </w:r>
    </w:p>
    <w:p>
      <w:pPr>
        <w:spacing w:after="120"/>
      </w:pPr>
      <w:r>
        <w:rPr>
          <w:rFonts w:ascii="Calibri" w:cs="Calibri" w:eastAsia="Calibri" w:hAnsi="Calibri"/>
          <w:color w:val="1A1A1A"/>
          <w:sz w:val="21"/>
          <w:szCs w:val="21"/>
        </w:rPr>
        <w:t xml:space="preserve">A systematic finding is a measurement of how the process performs on that line. It should change how the process runs. Repeat findings across audit cycles are the signal that it did not.</w:t>
      </w:r>
    </w:p>
    <w:p>
      <w:pPr>
        <w:pStyle w:val="Heading2"/>
        <w:spacing w:after="100" w:before="240"/>
      </w:pPr>
      <w:r>
        <w:rPr>
          <w:rFonts w:ascii="Cambria" w:cs="Cambria" w:eastAsia="Cambria" w:hAnsi="Cambria"/>
          <w:b/>
          <w:bCs/>
          <w:color w:val="1F3864"/>
          <w:sz w:val="25"/>
          <w:szCs w:val="25"/>
        </w:rPr>
        <w:t xml:space="preserve">11.2  Recording and closure</w:t>
      </w:r>
    </w:p>
    <w:p>
      <w:pPr>
        <w:pStyle w:val="ListParagraph"/>
        <w:numPr>
          <w:ilvl w:val="0"/>
          <w:numId w:val="1"/>
        </w:numPr>
        <w:spacing w:after="70"/>
      </w:pPr>
      <w:r>
        <w:rPr>
          <w:rFonts w:ascii="Calibri" w:cs="Calibri" w:eastAsia="Calibri" w:hAnsi="Calibri"/>
          <w:color w:val="1A1A1A"/>
          <w:sz w:val="21"/>
          <w:szCs w:val="21"/>
        </w:rPr>
        <w:t xml:space="preserve">Configuration Management assigns a scribe before the audit begins and has finding records ready.</w:t>
      </w:r>
    </w:p>
    <w:p>
      <w:pPr>
        <w:pStyle w:val="ListParagraph"/>
        <w:numPr>
          <w:ilvl w:val="0"/>
          <w:numId w:val="1"/>
        </w:numPr>
        <w:spacing w:after="70"/>
      </w:pPr>
      <w:r>
        <w:rPr>
          <w:rFonts w:ascii="Calibri" w:cs="Calibri" w:eastAsia="Calibri" w:hAnsi="Calibri"/>
          <w:color w:val="1A1A1A"/>
          <w:sz w:val="21"/>
          <w:szCs w:val="21"/>
        </w:rPr>
        <w:t xml:space="preserve">Configuration Management makes daily minutes available for joint review at the start of the next session. The overall minutes are available to the Acquirer before the audit team departs.</w:t>
      </w:r>
    </w:p>
    <w:p>
      <w:pPr>
        <w:pStyle w:val="ListParagraph"/>
        <w:numPr>
          <w:ilvl w:val="0"/>
          <w:numId w:val="1"/>
        </w:numPr>
        <w:spacing w:after="70"/>
      </w:pPr>
      <w:r>
        <w:rPr>
          <w:rFonts w:ascii="Calibri" w:cs="Calibri" w:eastAsia="Calibri" w:hAnsi="Calibri"/>
          <w:color w:val="1A1A1A"/>
          <w:sz w:val="21"/>
          <w:szCs w:val="21"/>
        </w:rPr>
        <w:t xml:space="preserve">The co-chair folds side-meeting conclusions into the official record.</w:t>
      </w:r>
    </w:p>
    <w:p>
      <w:pPr>
        <w:pStyle w:val="ListParagraph"/>
        <w:numPr>
          <w:ilvl w:val="0"/>
          <w:numId w:val="1"/>
        </w:numPr>
        <w:spacing w:after="70"/>
      </w:pPr>
      <w:r>
        <w:rPr>
          <w:rFonts w:ascii="Calibri" w:cs="Calibri" w:eastAsia="Calibri" w:hAnsi="Calibri"/>
          <w:color w:val="1A1A1A"/>
          <w:sz w:val="21"/>
          <w:szCs w:val="21"/>
        </w:rPr>
        <w:t xml:space="preserve">Configuration Management documents every non-compliance and provides it to the Acquirer for action.</w:t>
      </w:r>
    </w:p>
    <w:p>
      <w:pPr>
        <w:pStyle w:val="ListParagraph"/>
        <w:numPr>
          <w:ilvl w:val="0"/>
          <w:numId w:val="1"/>
        </w:numPr>
        <w:spacing w:after="70"/>
      </w:pPr>
      <w:r>
        <w:rPr>
          <w:rFonts w:ascii="Calibri" w:cs="Calibri" w:eastAsia="Calibri" w:hAnsi="Calibri"/>
          <w:color w:val="1A1A1A"/>
          <w:sz w:val="21"/>
          <w:szCs w:val="21"/>
        </w:rPr>
        <w:t xml:space="preserve">Configuration Management tracks action items to closure and delivers corrective action documentation to the Acquirer for verification.</w:t>
      </w:r>
    </w:p>
    <w:p>
      <w:pPr>
        <w:pStyle w:val="ListParagraph"/>
        <w:numPr>
          <w:ilvl w:val="0"/>
          <w:numId w:val="1"/>
        </w:numPr>
        <w:spacing w:after="70"/>
      </w:pPr>
      <w:r>
        <w:rPr>
          <w:rFonts w:ascii="Calibri" w:cs="Calibri" w:eastAsia="Calibri" w:hAnsi="Calibri"/>
          <w:color w:val="1A1A1A"/>
          <w:sz w:val="21"/>
          <w:szCs w:val="21"/>
        </w:rPr>
        <w:t xml:space="preserve">The owning function performs the corrective action and the extent check. The extent check asks how many other units carry the same condition.</w:t>
      </w:r>
    </w:p>
    <w:p>
      <w:pPr>
        <w:pStyle w:val="ListParagraph"/>
        <w:numPr>
          <w:ilvl w:val="0"/>
          <w:numId w:val="1"/>
        </w:numPr>
        <w:spacing w:after="70"/>
      </w:pPr>
      <w:r>
        <w:rPr>
          <w:rFonts w:ascii="Calibri" w:cs="Calibri" w:eastAsia="Calibri" w:hAnsi="Calibri"/>
          <w:color w:val="1A1A1A"/>
          <w:sz w:val="21"/>
          <w:szCs w:val="21"/>
        </w:rPr>
        <w:t xml:space="preserve">System Safety dispositions findings with a safety consequence.</w:t>
      </w:r>
    </w:p>
    <w:p>
      <w:pPr>
        <w:pStyle w:val="ListParagraph"/>
        <w:numPr>
          <w:ilvl w:val="0"/>
          <w:numId w:val="1"/>
        </w:numPr>
        <w:spacing w:after="70"/>
      </w:pPr>
      <w:r>
        <w:rPr>
          <w:rFonts w:ascii="Calibri" w:cs="Calibri" w:eastAsia="Calibri" w:hAnsi="Calibri"/>
          <w:color w:val="1A1A1A"/>
          <w:sz w:val="21"/>
          <w:szCs w:val="21"/>
        </w:rPr>
        <w:t xml:space="preserve">Supplier Management routes findings raised against a supplier through the supplier corrective action process.</w:t>
      </w:r>
    </w:p>
    <w:p>
      <w:pPr>
        <w:pStyle w:val="ListParagraph"/>
        <w:numPr>
          <w:ilvl w:val="0"/>
          <w:numId w:val="1"/>
        </w:numPr>
        <w:spacing w:after="140"/>
      </w:pPr>
      <w:r>
        <w:rPr>
          <w:rFonts w:ascii="Calibri" w:cs="Calibri" w:eastAsia="Calibri" w:hAnsi="Calibri"/>
          <w:color w:val="1A1A1A"/>
          <w:sz w:val="21"/>
          <w:szCs w:val="21"/>
        </w:rPr>
        <w:t xml:space="preserve">A finding is closed by evidence. It is not closed by assertion.</w:t>
      </w:r>
    </w:p>
    <w:p>
      <w:pPr>
        <w:spacing w:after="120"/>
      </w:pPr>
      <w:r>
        <w:rPr>
          <w:rFonts w:ascii="Calibri" w:cs="Calibri" w:eastAsia="Calibri" w:hAnsi="Calibri"/>
          <w:b/>
          <w:bCs/>
          <w:color w:val="1A1A1A"/>
          <w:sz w:val="21"/>
          <w:szCs w:val="21"/>
        </w:rPr>
        <w:t xml:space="preserve">Finding record format for this audit:  </w:t>
      </w:r>
      <w:r>
        <w:rPr>
          <w:rFonts w:ascii="Calibri" w:cs="Calibri" w:eastAsia="Calibri" w:hAnsi="Calibri"/>
          <w:color w:val="5A5A5A"/>
          <w:sz w:val="21"/>
          <w:szCs w:val="21"/>
        </w:rPr>
        <w:t xml:space="preserve">[separate finding records / recorded in the body of the minutes, per contract]</w:t>
      </w:r>
    </w:p>
    <w:p>
      <w:pPr>
        <w:pStyle w:val="Heading2"/>
        <w:spacing w:after="100" w:before="240"/>
      </w:pPr>
      <w:r>
        <w:rPr>
          <w:rFonts w:ascii="Cambria" w:cs="Cambria" w:eastAsia="Cambria" w:hAnsi="Cambria"/>
          <w:b/>
          <w:bCs/>
          <w:color w:val="1F3864"/>
          <w:sz w:val="25"/>
          <w:szCs w:val="25"/>
        </w:rPr>
        <w:t xml:space="preserve">11.3  Exit criteria</w:t>
      </w:r>
    </w:p>
    <w:p>
      <w:pPr>
        <w:spacing w:after="120"/>
      </w:pPr>
      <w:r>
        <w:rPr>
          <w:rFonts w:ascii="Calibri" w:cs="Calibri" w:eastAsia="Calibri" w:hAnsi="Calibri"/>
          <w:color w:val="1A1A1A"/>
          <w:sz w:val="21"/>
          <w:szCs w:val="21"/>
        </w:rPr>
        <w:t xml:space="preserve">An audit is not closed until the criteria below are satisfied.</w:t>
      </w:r>
    </w:p>
    <w:p>
      <w:pPr>
        <w:keepNext/>
        <w:spacing w:after="80"/>
      </w:pPr>
      <w:r>
        <w:rPr>
          <w:rFonts w:ascii="Calibri" w:cs="Calibri" w:eastAsia="Calibri" w:hAnsi="Calibri"/>
          <w:b/>
          <w:bCs/>
          <w:color w:val="1A1A1A"/>
          <w:sz w:val="21"/>
          <w:szCs w:val="21"/>
        </w:rPr>
        <w:t xml:space="preserve">Functional audit</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600"/>
        <w:gridCol w:w="8760"/>
      </w:tblGrid>
      <w:tr>
        <w:trPr>
          <w:tblHeader/>
        </w:trPr>
        <w:tc>
          <w:tcPr>
            <w:tcW w:type="dxa" w:w="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w:t>
            </w:r>
          </w:p>
        </w:tc>
        <w:tc>
          <w:tcPr>
            <w:tcW w:type="dxa" w:w="87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Criterion</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Each requirement, or the agreed sample with safety-critical requirements included, reconciled from specification to test plan to procedure to report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Every allocated requirement accounted for against the requirements allocation matrix</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All discrepancies documented as action items with closure plans, owners and suspense dates</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 complete, including the traceability and test matrix</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Management out-brief conducted</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Open verification contingent on system-level test documented, with the delta audit planned where required</w:t>
            </w:r>
          </w:p>
        </w:tc>
      </w:tr>
    </w:tbl>
    <w:p>
      <w:pPr>
        <w:spacing w:after="120"/>
      </w:pPr>
    </w:p>
    <w:p>
      <w:pPr>
        <w:keepNext/>
        <w:spacing w:after="80"/>
      </w:pPr>
      <w:r>
        <w:rPr>
          <w:rFonts w:ascii="Calibri" w:cs="Calibri" w:eastAsia="Calibri" w:hAnsi="Calibri"/>
          <w:b/>
          <w:bCs/>
          <w:color w:val="1A1A1A"/>
          <w:sz w:val="21"/>
          <w:szCs w:val="21"/>
        </w:rPr>
        <w:t xml:space="preserve">Physical audit</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600"/>
        <w:gridCol w:w="8760"/>
      </w:tblGrid>
      <w:tr>
        <w:trPr>
          <w:tblHeader/>
        </w:trPr>
        <w:tc>
          <w:tcPr>
            <w:tcW w:type="dxa" w:w="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w:t>
            </w:r>
          </w:p>
        </w:tc>
        <w:tc>
          <w:tcPr>
            <w:tcW w:type="dxa" w:w="87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Criterion</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Item reconciled to its documentation: item to drawings, to associated lists, to parts list, with effectivity and next assembly</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Representative drawing and manufacturing instruction sample reviewed per this plan, with authorized changes reflected</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Parts installed match the approved parts selection list; no unapproved changes in the documentation; approved changes incorporated in the product</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Software build produced, installed, and verified against the version description, witnessed by Quality Assurance</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Differences between the physical audit unit and the functional audit unit or units identified and certified as non-degrading</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Acceptance testing requirements confirmed adequate for production-unit acceptance</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Appendix B check set completed, each check recorded as pass, finding, or not applicable</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All discrepancies documented as action items; minutes complete; out-brief conducted</w:t>
            </w:r>
          </w:p>
        </w:tc>
      </w:tr>
      <w:tr>
        <w:tc>
          <w:tcPr>
            <w:tcW w:type="dxa" w:w="600"/>
            <w:tcMar>
              <w:top w:type="dxa" w:w="70"/>
              <w:left w:type="dxa" w:w="110"/>
              <w:bottom w:type="dxa" w:w="70"/>
              <w:right w:type="dxa" w:w="110"/>
            </w:tcMar>
          </w:tcPr>
          <w:p>
            <w:pPr>
              <w:spacing w:after="0"/>
            </w:pPr>
            <w:r>
              <w:rPr>
                <w:rFonts w:ascii="Calibri" w:cs="Calibri" w:eastAsia="Calibri" w:hAnsi="Calibri"/>
                <w:color w:val="1A1A1A"/>
                <w:sz w:val="19"/>
                <w:szCs w:val="19"/>
              </w:rPr>
              <w:t xml:space="preserve">☐</w:t>
            </w:r>
          </w:p>
        </w:tc>
        <w:tc>
          <w:tcPr>
            <w:tcW w:type="dxa" w:w="8760"/>
            <w:tcMar>
              <w:top w:type="dxa" w:w="70"/>
              <w:left w:type="dxa" w:w="110"/>
              <w:bottom w:type="dxa" w:w="70"/>
              <w:right w:type="dxa" w:w="110"/>
            </w:tcMar>
          </w:tcPr>
          <w:p>
            <w:pPr>
              <w:spacing w:after="0"/>
            </w:pPr>
            <w:r>
              <w:rPr>
                <w:rFonts w:ascii="Calibri" w:cs="Calibri" w:eastAsia="Calibri" w:hAnsi="Calibri"/>
                <w:color w:val="1A1A1A"/>
                <w:sz w:val="19"/>
                <w:szCs w:val="19"/>
              </w:rPr>
              <w:t xml:space="preserve">Certification package prepared; product baseline establishment recorded in status accounting on Acquirer approval</w:t>
            </w:r>
          </w:p>
        </w:tc>
      </w:tr>
    </w:tbl>
    <w:p>
      <w:pPr>
        <w:pStyle w:val="Heading1"/>
        <w:spacing w:after="140" w:before="360"/>
      </w:pPr>
      <w:r>
        <w:rPr>
          <w:rFonts w:ascii="Cambria" w:cs="Cambria" w:eastAsia="Cambria" w:hAnsi="Cambria"/>
          <w:b/>
          <w:bCs/>
          <w:color w:val="1F3864"/>
          <w:sz w:val="30"/>
          <w:szCs w:val="30"/>
        </w:rPr>
        <w:t xml:space="preserve">12.  Records and Outputs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900"/>
        <w:gridCol w:w="5060"/>
        <w:gridCol w:w="1200"/>
        <w:gridCol w:w="1200"/>
      </w:tblGrid>
      <w:tr>
        <w:trPr>
          <w:tblHeader/>
        </w:trPr>
        <w:tc>
          <w:tcPr>
            <w:tcW w:type="dxa" w:w="19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Output</w:t>
            </w:r>
          </w:p>
        </w:tc>
        <w:tc>
          <w:tcPr>
            <w:tcW w:type="dxa" w:w="50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Content</w:t>
            </w:r>
          </w:p>
        </w:tc>
        <w:tc>
          <w:tcPr>
            <w:tcW w:type="dxa" w:w="12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Owner</w:t>
            </w:r>
          </w:p>
        </w:tc>
        <w:tc>
          <w:tcPr>
            <w:tcW w:type="dxa" w:w="12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Due</w:t>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Designation assessment records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The completed assessment for every item evaluated, designated or not, with rationale and signatures. Retained for the life of the program</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Data package index</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An inventory of every artifact assembled under Sections 6.1 and 6.2, with document number and the revision it carried at the time of the audit</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Findings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Every non-compliance, documented and provided to the Acquirer, and evaluated for the action it requires</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Action items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Issue, agreed closure plan, responsible individual, agreed suspense date</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The audited item.</w:t>
            </w:r>
          </w:p>
          <w:p>
            <w:pPr>
              <w:spacing w:after="0"/>
            </w:pPr>
            <w:r>
              <w:rPr>
                <w:rFonts w:ascii="Calibri" w:cs="Calibri" w:eastAsia="Calibri" w:hAnsi="Calibri"/>
                <w:color w:val="1A1A1A"/>
                <w:sz w:val="19"/>
                <w:szCs w:val="19"/>
              </w:rPr>
              <w:t xml:space="preserve">Decisions and proceedings.</w:t>
            </w:r>
          </w:p>
          <w:p>
            <w:pPr>
              <w:spacing w:after="0"/>
            </w:pPr>
            <w:r>
              <w:rPr>
                <w:rFonts w:ascii="Calibri" w:cs="Calibri" w:eastAsia="Calibri" w:hAnsi="Calibri"/>
                <w:color w:val="1A1A1A"/>
                <w:sz w:val="19"/>
                <w:szCs w:val="19"/>
              </w:rPr>
              <w:t xml:space="preserve">Attendees.</w:t>
            </w:r>
          </w:p>
          <w:p>
            <w:pPr>
              <w:spacing w:after="0"/>
            </w:pPr>
            <w:r>
              <w:rPr>
                <w:rFonts w:ascii="Calibri" w:cs="Calibri" w:eastAsia="Calibri" w:hAnsi="Calibri"/>
                <w:color w:val="1A1A1A"/>
                <w:sz w:val="19"/>
                <w:szCs w:val="19"/>
              </w:rPr>
              <w:t xml:space="preserve">Action items.</w:t>
            </w:r>
          </w:p>
          <w:p>
            <w:pPr>
              <w:spacing w:after="0"/>
            </w:pPr>
            <w:r>
              <w:rPr>
                <w:rFonts w:ascii="Calibri" w:cs="Calibri" w:eastAsia="Calibri" w:hAnsi="Calibri"/>
                <w:color w:val="1A1A1A"/>
                <w:sz w:val="19"/>
                <w:szCs w:val="19"/>
              </w:rPr>
              <w:t xml:space="preserve">The complete list of documents, with the revision level each carried at the time of the audit.</w:t>
            </w:r>
          </w:p>
          <w:p>
            <w:pPr>
              <w:spacing w:after="0"/>
            </w:pPr>
            <w:r>
              <w:rPr>
                <w:rFonts w:ascii="Calibri" w:cs="Calibri" w:eastAsia="Calibri" w:hAnsi="Calibri"/>
                <w:color w:val="1A1A1A"/>
                <w:sz w:val="19"/>
                <w:szCs w:val="19"/>
              </w:rPr>
              <w:t xml:space="preserve">The complete list of specification requirements audited.</w:t>
            </w:r>
          </w:p>
          <w:p>
            <w:pPr>
              <w:spacing w:after="0"/>
            </w:pPr>
            <w:r>
              <w:rPr>
                <w:rFonts w:ascii="Calibri" w:cs="Calibri" w:eastAsia="Calibri" w:hAnsi="Calibri"/>
                <w:color w:val="1A1A1A"/>
                <w:sz w:val="19"/>
                <w:szCs w:val="19"/>
              </w:rPr>
              <w:t xml:space="preserve">Identification of everything examined by name, specification number, product identifiers, serial numbers, drawing and part numbers, and enterprise code.</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 physical audit supporting data</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Provided within the minutes:</w:t>
            </w:r>
          </w:p>
          <w:p>
            <w:pPr>
              <w:spacing w:after="0"/>
            </w:pPr>
            <w:r>
              <w:rPr>
                <w:rFonts w:ascii="Calibri" w:cs="Calibri" w:eastAsia="Calibri" w:hAnsi="Calibri"/>
                <w:color w:val="1A1A1A"/>
                <w:sz w:val="19"/>
                <w:szCs w:val="19"/>
              </w:rPr>
              <w:t xml:space="preserve">The product drawings and associated lists package, with its manufacturing instruction sheets.</w:t>
            </w:r>
          </w:p>
          <w:p>
            <w:pPr>
              <w:spacing w:after="0"/>
            </w:pPr>
            <w:r>
              <w:rPr>
                <w:rFonts w:ascii="Calibri" w:cs="Calibri" w:eastAsia="Calibri" w:hAnsi="Calibri"/>
                <w:color w:val="1A1A1A"/>
                <w:sz w:val="19"/>
                <w:szCs w:val="19"/>
              </w:rPr>
              <w:t xml:space="preserve">Completed inspection reports for the selected drawings and their associated instructions.</w:t>
            </w:r>
          </w:p>
          <w:p>
            <w:pPr>
              <w:spacing w:after="0"/>
            </w:pPr>
            <w:r>
              <w:rPr>
                <w:rFonts w:ascii="Calibri" w:cs="Calibri" w:eastAsia="Calibri" w:hAnsi="Calibri"/>
                <w:color w:val="1A1A1A"/>
                <w:sz w:val="19"/>
                <w:szCs w:val="19"/>
              </w:rPr>
              <w:t xml:space="preserve">Records of the configuration baselines for comparison against change control and the release system, including interim releases of spares provisioned before the audit.</w:t>
            </w:r>
          </w:p>
          <w:p>
            <w:pPr>
              <w:spacing w:after="0"/>
            </w:pPr>
            <w:r>
              <w:rPr>
                <w:rFonts w:ascii="Calibri" w:cs="Calibri" w:eastAsia="Calibri" w:hAnsi="Calibri"/>
                <w:color w:val="1A1A1A"/>
                <w:sz w:val="19"/>
                <w:szCs w:val="19"/>
              </w:rPr>
              <w:t xml:space="preserve">Confirmation of sub-supplier end item inspection and test at point of manufacture.</w:t>
            </w:r>
          </w:p>
          <w:p>
            <w:pPr>
              <w:spacing w:after="0"/>
            </w:pPr>
            <w:r>
              <w:rPr>
                <w:rFonts w:ascii="Calibri" w:cs="Calibri" w:eastAsia="Calibri" w:hAnsi="Calibri"/>
                <w:color w:val="1A1A1A"/>
                <w:sz w:val="19"/>
                <w:szCs w:val="19"/>
              </w:rPr>
              <w:t xml:space="preserve">The parts selection list supporting the installed-parts examination.</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Rectification records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Evidence that findings and action items have been closed</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Summary report</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Applicable action items and the discrepancy information derived from the completed check set</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Detailed summary report</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Prepared only after successful verification that the completed action items are complete, then provided</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Witness invitation</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Invitation to the Acquirer, or a designated representative, to witness any inspection, test or audit re-accomplished</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Completed check set</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Appendix B, completed per item audited, with each check recorded and findings cross-referenced</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Certification forms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Joint certification for each audit, and the baseline certifications: functional baseline for the functional audit, product baseline for the physical audit</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Status accounting entries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Scheduled and actual audit dates, accomplishments and results per item, and the product baseline establishment entry</w:t>
            </w:r>
          </w:p>
        </w:tc>
        <w:tc>
          <w:tcPr>
            <w:tcW w:type="dxa" w:w="120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bl>
    <w:p>
      <w:pPr>
        <w:spacing w:after="120"/>
      </w:pPr>
    </w:p>
    <w:p>
      <w:pPr>
        <w:spacing w:after="120"/>
      </w:pPr>
      <w:r>
        <w:rPr>
          <w:rFonts w:ascii="Calibri" w:cs="Calibri" w:eastAsia="Calibri" w:hAnsi="Calibri"/>
          <w:i/>
          <w:iCs/>
          <w:color w:val="5A5A5A"/>
          <w:sz w:val="19"/>
          <w:szCs w:val="19"/>
        </w:rPr>
        <w:t xml:space="preserve">Audit records are retained per the program records schedule. Designation assessments are retained for the life of the program.</w:t>
      </w:r>
    </w:p>
    <w:p>
      <w:pPr>
        <w:pStyle w:val="Heading1"/>
        <w:spacing w:after="140" w:before="360"/>
      </w:pPr>
      <w:r>
        <w:rPr>
          <w:rFonts w:ascii="Cambria" w:cs="Cambria" w:eastAsia="Cambria" w:hAnsi="Cambria"/>
          <w:b/>
          <w:bCs/>
          <w:color w:val="1F3864"/>
          <w:sz w:val="30"/>
          <w:szCs w:val="30"/>
        </w:rPr>
        <w:t xml:space="preserve">13.  Certification and Product Baseline</w:t>
      </w:r>
    </w:p>
    <w:p>
      <w:pPr>
        <w:spacing w:after="120"/>
      </w:pPr>
      <w:r>
        <w:rPr>
          <w:rFonts w:ascii="Calibri" w:cs="Calibri" w:eastAsia="Calibri" w:hAnsi="Calibri"/>
          <w:color w:val="1A1A1A"/>
          <w:sz w:val="21"/>
          <w:szCs w:val="21"/>
        </w:rPr>
        <w:t xml:space="preserve">The Supplier audit lead, the program manager and the Acquirer’s representatives certify the audit results jointly. They record the audit as complete and successful where nothing is open, or conditional where the resolutions are agreed but tasks remain.</w:t>
      </w:r>
    </w:p>
    <w:p>
      <w:pPr>
        <w:spacing w:after="120"/>
      </w:pPr>
      <w:r>
        <w:rPr>
          <w:rFonts w:ascii="Calibri" w:cs="Calibri" w:eastAsia="Calibri" w:hAnsi="Calibri"/>
          <w:color w:val="1A1A1A"/>
          <w:sz w:val="21"/>
          <w:szCs w:val="21"/>
        </w:rPr>
        <w:t xml:space="preserve">The Acquirer dispositions the audit. Approval means all findings are satisfactorily completed. Contingent approval is pending completion of action items. Disapproval means the audit was seriously inadequate.</w:t>
      </w:r>
    </w:p>
    <w:p>
      <w:pPr>
        <w:spacing w:after="120"/>
      </w:pPr>
      <w:r>
        <w:rPr>
          <w:rFonts w:ascii="Calibri" w:cs="Calibri" w:eastAsia="Calibri" w:hAnsi="Calibri"/>
          <w:color w:val="1A1A1A"/>
          <w:sz w:val="21"/>
          <w:szCs w:val="21"/>
        </w:rPr>
        <w:t xml:space="preserve">On successful completion of the physical audit and approval of the product specification, the Acquirer establishes the product baseline for the item. No other event establishes it. Every subsequent change is processed as formal engineering change action against that baseline.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100"/>
        <w:gridCol w:w="2400"/>
        <w:gridCol w:w="1300"/>
        <w:gridCol w:w="2360"/>
        <w:gridCol w:w="1200"/>
      </w:tblGrid>
      <w:tr>
        <w:trPr>
          <w:tblHeader/>
        </w:trPr>
        <w:tc>
          <w:tcPr>
            <w:tcW w:type="dxa" w:w="21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Item</w:t>
            </w:r>
          </w:p>
        </w:tc>
        <w:tc>
          <w:tcPr>
            <w:tcW w:type="dxa" w:w="24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Certification</w:t>
            </w:r>
          </w:p>
        </w:tc>
        <w:tc>
          <w:tcPr>
            <w:tcW w:type="dxa" w:w="13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Date</w:t>
            </w:r>
          </w:p>
        </w:tc>
        <w:tc>
          <w:tcPr>
            <w:tcW w:type="dxa" w:w="23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Acquirer disposition</w:t>
            </w:r>
          </w:p>
        </w:tc>
        <w:tc>
          <w:tcPr>
            <w:tcW w:type="dxa" w:w="12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Date</w:t>
            </w:r>
          </w:p>
        </w:tc>
      </w:tr>
      <w:tr>
        <w:tc>
          <w:tcPr>
            <w:tcW w:type="dxa" w:w="2100"/>
            <w:tcMar>
              <w:top w:type="dxa" w:w="70"/>
              <w:left w:type="dxa" w:w="110"/>
              <w:bottom w:type="dxa" w:w="70"/>
              <w:right w:type="dxa" w:w="110"/>
            </w:tcMar>
          </w:tcPr>
          <w:p>
            <w:pPr>
              <w:spacing w:after="0"/>
            </w:pP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Complete and successful / Conditional</w:t>
            </w:r>
          </w:p>
        </w:tc>
        <w:tc>
          <w:tcPr>
            <w:tcW w:type="dxa" w:w="1300"/>
            <w:tcMar>
              <w:top w:type="dxa" w:w="70"/>
              <w:left w:type="dxa" w:w="110"/>
              <w:bottom w:type="dxa" w:w="70"/>
              <w:right w:type="dxa" w:w="110"/>
            </w:tcMar>
          </w:tcPr>
          <w:p>
            <w:pPr>
              <w:spacing w:after="0"/>
            </w:pPr>
          </w:p>
        </w:tc>
        <w:tc>
          <w:tcPr>
            <w:tcW w:type="dxa" w:w="236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Approval / Contingent / Disapproval</w:t>
            </w:r>
          </w:p>
        </w:tc>
        <w:tc>
          <w:tcPr>
            <w:tcW w:type="dxa" w:w="1200"/>
            <w:tcMar>
              <w:top w:type="dxa" w:w="70"/>
              <w:left w:type="dxa" w:w="110"/>
              <w:bottom w:type="dxa" w:w="70"/>
              <w:right w:type="dxa" w:w="110"/>
            </w:tcMar>
          </w:tcPr>
          <w:p>
            <w:pPr>
              <w:spacing w:after="0"/>
            </w:pPr>
          </w:p>
        </w:tc>
      </w:tr>
      <w:tr>
        <w:tc>
          <w:tcPr>
            <w:tcW w:type="dxa" w:w="2100"/>
            <w:tcMar>
              <w:top w:type="dxa" w:w="70"/>
              <w:left w:type="dxa" w:w="110"/>
              <w:bottom w:type="dxa" w:w="70"/>
              <w:right w:type="dxa" w:w="110"/>
            </w:tcMar>
          </w:tcPr>
          <w:p>
            <w:pPr>
              <w:spacing w:after="0"/>
            </w:pPr>
          </w:p>
        </w:tc>
        <w:tc>
          <w:tcPr>
            <w:tcW w:type="dxa" w:w="2400"/>
            <w:tcMar>
              <w:top w:type="dxa" w:w="70"/>
              <w:left w:type="dxa" w:w="110"/>
              <w:bottom w:type="dxa" w:w="70"/>
              <w:right w:type="dxa" w:w="110"/>
            </w:tcMar>
          </w:tcPr>
          <w:p>
            <w:pPr>
              <w:spacing w:after="0"/>
            </w:pPr>
          </w:p>
        </w:tc>
        <w:tc>
          <w:tcPr>
            <w:tcW w:type="dxa" w:w="1300"/>
            <w:tcMar>
              <w:top w:type="dxa" w:w="70"/>
              <w:left w:type="dxa" w:w="110"/>
              <w:bottom w:type="dxa" w:w="70"/>
              <w:right w:type="dxa" w:w="110"/>
            </w:tcMar>
          </w:tcPr>
          <w:p>
            <w:pPr>
              <w:spacing w:after="0"/>
            </w:pPr>
          </w:p>
        </w:tc>
        <w:tc>
          <w:tcPr>
            <w:tcW w:type="dxa" w:w="236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r>
        <w:tc>
          <w:tcPr>
            <w:tcW w:type="dxa" w:w="2100"/>
            <w:tcMar>
              <w:top w:type="dxa" w:w="70"/>
              <w:left w:type="dxa" w:w="110"/>
              <w:bottom w:type="dxa" w:w="70"/>
              <w:right w:type="dxa" w:w="110"/>
            </w:tcMar>
          </w:tcPr>
          <w:p>
            <w:pPr>
              <w:spacing w:after="0"/>
            </w:pPr>
          </w:p>
        </w:tc>
        <w:tc>
          <w:tcPr>
            <w:tcW w:type="dxa" w:w="2400"/>
            <w:tcMar>
              <w:top w:type="dxa" w:w="70"/>
              <w:left w:type="dxa" w:w="110"/>
              <w:bottom w:type="dxa" w:w="70"/>
              <w:right w:type="dxa" w:w="110"/>
            </w:tcMar>
          </w:tcPr>
          <w:p>
            <w:pPr>
              <w:spacing w:after="0"/>
            </w:pPr>
          </w:p>
        </w:tc>
        <w:tc>
          <w:tcPr>
            <w:tcW w:type="dxa" w:w="1300"/>
            <w:tcMar>
              <w:top w:type="dxa" w:w="70"/>
              <w:left w:type="dxa" w:w="110"/>
              <w:bottom w:type="dxa" w:w="70"/>
              <w:right w:type="dxa" w:w="110"/>
            </w:tcMar>
          </w:tcPr>
          <w:p>
            <w:pPr>
              <w:spacing w:after="0"/>
            </w:pPr>
          </w:p>
        </w:tc>
        <w:tc>
          <w:tcPr>
            <w:tcW w:type="dxa" w:w="2360"/>
            <w:tcMar>
              <w:top w:type="dxa" w:w="70"/>
              <w:left w:type="dxa" w:w="110"/>
              <w:bottom w:type="dxa" w:w="70"/>
              <w:right w:type="dxa" w:w="110"/>
            </w:tcMar>
          </w:tcPr>
          <w:p>
            <w:pPr>
              <w:spacing w:after="0"/>
            </w:pPr>
          </w:p>
        </w:tc>
        <w:tc>
          <w:tcPr>
            <w:tcW w:type="dxa" w:w="1200"/>
            <w:tcMar>
              <w:top w:type="dxa" w:w="70"/>
              <w:left w:type="dxa" w:w="110"/>
              <w:bottom w:type="dxa" w:w="70"/>
              <w:right w:type="dxa" w:w="110"/>
            </w:tcMar>
          </w:tcPr>
          <w:p>
            <w:pPr>
              <w:spacing w:after="0"/>
            </w:pPr>
          </w:p>
        </w:tc>
      </w:tr>
    </w:tbl>
    <w:p>
      <w:pPr>
        <w:pStyle w:val="Heading1"/>
        <w:spacing w:after="140" w:before="360"/>
      </w:pPr>
      <w:r>
        <w:rPr>
          <w:rFonts w:ascii="Cambria" w:cs="Cambria" w:eastAsia="Cambria" w:hAnsi="Cambria"/>
          <w:b/>
          <w:bCs/>
          <w:color w:val="1F3864"/>
          <w:sz w:val="30"/>
          <w:szCs w:val="30"/>
        </w:rPr>
        <w:t xml:space="preserve">14.  Administrative and Security Requirements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4000"/>
        <w:gridCol w:w="5360"/>
      </w:tblGrid>
      <w:tr>
        <w:trPr>
          <w:tblHeader/>
        </w:trPr>
        <w:tc>
          <w:tcPr>
            <w:tcW w:type="dxa" w:w="40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Requirement</w:t>
            </w:r>
          </w:p>
        </w:tc>
        <w:tc>
          <w:tcPr>
            <w:tcW w:type="dxa" w:w="53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Detail</w:t>
            </w:r>
          </w:p>
        </w:tc>
      </w:tr>
      <w:tr>
        <w:tc>
          <w:tcPr>
            <w:tcW w:type="dxa" w:w="4000"/>
            <w:tcMar>
              <w:top w:type="dxa" w:w="70"/>
              <w:left w:type="dxa" w:w="110"/>
              <w:bottom w:type="dxa" w:w="70"/>
              <w:right w:type="dxa" w:w="110"/>
            </w:tcMar>
          </w:tcPr>
          <w:p>
            <w:pPr>
              <w:spacing w:after="0"/>
            </w:pPr>
            <w:r>
              <w:rPr>
                <w:rFonts w:ascii="Calibri" w:cs="Calibri" w:eastAsia="Calibri" w:hAnsi="Calibri"/>
                <w:color w:val="1A1A1A"/>
                <w:sz w:val="19"/>
                <w:szCs w:val="19"/>
              </w:rPr>
              <w:t xml:space="preserve">Site access and badging</w:t>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000"/>
            <w:tcMar>
              <w:top w:type="dxa" w:w="70"/>
              <w:left w:type="dxa" w:w="110"/>
              <w:bottom w:type="dxa" w:w="70"/>
              <w:right w:type="dxa" w:w="110"/>
            </w:tcMar>
          </w:tcPr>
          <w:p>
            <w:pPr>
              <w:spacing w:after="0"/>
            </w:pPr>
            <w:r>
              <w:rPr>
                <w:rFonts w:ascii="Calibri" w:cs="Calibri" w:eastAsia="Calibri" w:hAnsi="Calibri"/>
                <w:color w:val="1A1A1A"/>
                <w:sz w:val="19"/>
                <w:szCs w:val="19"/>
              </w:rPr>
              <w:t xml:space="preserve">Clearance and visit request requirements, with lead times</w:t>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000"/>
            <w:tcMar>
              <w:top w:type="dxa" w:w="70"/>
              <w:left w:type="dxa" w:w="110"/>
              <w:bottom w:type="dxa" w:w="70"/>
              <w:right w:type="dxa" w:w="110"/>
            </w:tcMar>
          </w:tcPr>
          <w:p>
            <w:pPr>
              <w:spacing w:after="0"/>
            </w:pPr>
            <w:r>
              <w:rPr>
                <w:rFonts w:ascii="Calibri" w:cs="Calibri" w:eastAsia="Calibri" w:hAnsi="Calibri"/>
                <w:color w:val="1A1A1A"/>
                <w:sz w:val="19"/>
                <w:szCs w:val="19"/>
              </w:rPr>
              <w:t xml:space="preserve">Export control and marking requirements</w:t>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000"/>
            <w:tcMar>
              <w:top w:type="dxa" w:w="70"/>
              <w:left w:type="dxa" w:w="110"/>
              <w:bottom w:type="dxa" w:w="70"/>
              <w:right w:type="dxa" w:w="110"/>
            </w:tcMar>
          </w:tcPr>
          <w:p>
            <w:pPr>
              <w:spacing w:after="0"/>
            </w:pPr>
            <w:r>
              <w:rPr>
                <w:rFonts w:ascii="Calibri" w:cs="Calibri" w:eastAsia="Calibri" w:hAnsi="Calibri"/>
                <w:color w:val="1A1A1A"/>
                <w:sz w:val="19"/>
                <w:szCs w:val="19"/>
              </w:rPr>
              <w:t xml:space="preserve">Facilities: conference space, floor access, staging area for the audit unit</w:t>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000"/>
            <w:tcMar>
              <w:top w:type="dxa" w:w="70"/>
              <w:left w:type="dxa" w:w="110"/>
              <w:bottom w:type="dxa" w:w="70"/>
              <w:right w:type="dxa" w:w="110"/>
            </w:tcMar>
          </w:tcPr>
          <w:p>
            <w:pPr>
              <w:spacing w:after="0"/>
            </w:pPr>
            <w:r>
              <w:rPr>
                <w:rFonts w:ascii="Calibri" w:cs="Calibri" w:eastAsia="Calibri" w:hAnsi="Calibri"/>
                <w:color w:val="1A1A1A"/>
                <w:sz w:val="19"/>
                <w:szCs w:val="19"/>
              </w:rPr>
              <w:t xml:space="preserve">Network, projection and file transfer arrangements</w:t>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000"/>
            <w:tcMar>
              <w:top w:type="dxa" w:w="70"/>
              <w:left w:type="dxa" w:w="110"/>
              <w:bottom w:type="dxa" w:w="70"/>
              <w:right w:type="dxa" w:w="110"/>
            </w:tcMar>
          </w:tcPr>
          <w:p>
            <w:pPr>
              <w:spacing w:after="0"/>
            </w:pPr>
            <w:r>
              <w:rPr>
                <w:rFonts w:ascii="Calibri" w:cs="Calibri" w:eastAsia="Calibri" w:hAnsi="Calibri"/>
                <w:color w:val="1A1A1A"/>
                <w:sz w:val="19"/>
                <w:szCs w:val="19"/>
              </w:rPr>
              <w:t xml:space="preserve">Handling of proprietary or classified material during the audit</w:t>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000"/>
            <w:tcMar>
              <w:top w:type="dxa" w:w="70"/>
              <w:left w:type="dxa" w:w="110"/>
              <w:bottom w:type="dxa" w:w="70"/>
              <w:right w:type="dxa" w:w="110"/>
            </w:tcMar>
          </w:tcPr>
          <w:p>
            <w:pPr>
              <w:spacing w:after="0"/>
            </w:pPr>
            <w:r>
              <w:rPr>
                <w:rFonts w:ascii="Calibri" w:cs="Calibri" w:eastAsia="Calibri" w:hAnsi="Calibri"/>
                <w:color w:val="1A1A1A"/>
                <w:sz w:val="19"/>
                <w:szCs w:val="19"/>
              </w:rPr>
              <w:t xml:space="preserve">Photography and recording restrictions</w:t>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000"/>
            <w:tcMar>
              <w:top w:type="dxa" w:w="70"/>
              <w:left w:type="dxa" w:w="110"/>
              <w:bottom w:type="dxa" w:w="70"/>
              <w:right w:type="dxa" w:w="110"/>
            </w:tcMar>
          </w:tcPr>
          <w:p>
            <w:pPr>
              <w:spacing w:after="0"/>
            </w:pPr>
            <w:r>
              <w:rPr>
                <w:rFonts w:ascii="Calibri" w:cs="Calibri" w:eastAsia="Calibri" w:hAnsi="Calibri"/>
                <w:color w:val="1A1A1A"/>
                <w:sz w:val="19"/>
                <w:szCs w:val="19"/>
              </w:rPr>
              <w:t xml:space="preserve">Safety briefing and personal protective equipment for floor access</w:t>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r>
        <w:br w:type="page"/>
      </w:r>
    </w:p>
    <w:p>
      <w:pPr>
        <w:pStyle w:val="Heading1"/>
        <w:spacing w:after="140" w:before="360"/>
      </w:pPr>
      <w:r>
        <w:rPr>
          <w:rFonts w:ascii="Cambria" w:cs="Cambria" w:eastAsia="Cambria" w:hAnsi="Cambria"/>
          <w:b/>
          <w:bCs/>
          <w:color w:val="1F3864"/>
          <w:sz w:val="30"/>
          <w:szCs w:val="30"/>
        </w:rPr>
        <w:t xml:space="preserve">Appendix A:  Audit Preparation Tracker</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The program preparation tracker is the controlled instance. This plan does not duplicate its rows. Record the tracker location in Section 7.2 and the readiness position below at plan approval.</w:t>
      </w:r>
    </w:p>
    <w:p>
      <w:pPr>
        <w:spacing w:after="120"/>
      </w:pPr>
      <w:r>
        <w:rPr>
          <w:rFonts w:ascii="Calibri" w:cs="Calibri" w:eastAsia="Calibri" w:hAnsi="Calibri"/>
          <w:color w:val="1A1A1A"/>
          <w:sz w:val="21"/>
          <w:szCs w:val="21"/>
        </w:rPr>
        <w:t xml:space="preserve">Preparation is tracked on the program preparation tracker workbook, which carries one sheet per audit type. Each row is one required input. Each row carries a reference, a category, the required input, a named provider, a lead time in days, a due date, a status, a location reference, and the Configuration Management verification.</w:t>
      </w:r>
    </w:p>
    <w:p>
      <w:pPr>
        <w:spacing w:after="120"/>
      </w:pPr>
      <w:r>
        <w:rPr>
          <w:rFonts w:ascii="Calibri" w:cs="Calibri" w:eastAsia="Calibri" w:hAnsi="Calibri"/>
          <w:color w:val="1A1A1A"/>
          <w:sz w:val="21"/>
          <w:szCs w:val="21"/>
        </w:rPr>
        <w:t xml:space="preserve">Rows that do not apply are marked not applicable and retained. A deleted row is indistinguishable from a row nobody thought of. Readiness is computed from status rather than declared.</w:t>
      </w:r>
    </w:p>
    <w:p>
      <w:pPr>
        <w:spacing w:after="120"/>
      </w:pPr>
    </w:p>
    <w:p>
      <w:pPr>
        <w:keepNext/>
        <w:spacing w:after="80"/>
      </w:pPr>
      <w:r>
        <w:rPr>
          <w:rFonts w:ascii="Calibri" w:cs="Calibri" w:eastAsia="Calibri" w:hAnsi="Calibri"/>
          <w:b/>
          <w:bCs/>
          <w:color w:val="1A1A1A"/>
          <w:sz w:val="21"/>
          <w:szCs w:val="21"/>
        </w:rPr>
        <w:t xml:space="preserve">Readiness position at plan approval</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800"/>
        <w:gridCol w:w="1900"/>
        <w:gridCol w:w="1900"/>
        <w:gridCol w:w="1700"/>
        <w:gridCol w:w="2060"/>
      </w:tblGrid>
      <w:tr>
        <w:trPr>
          <w:tblHeader/>
        </w:trPr>
        <w:tc>
          <w:tcPr>
            <w:tcW w:type="dxa" w:w="18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Audit</w:t>
            </w:r>
          </w:p>
        </w:tc>
        <w:tc>
          <w:tcPr>
            <w:tcW w:type="dxa" w:w="19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Applicable rows</w:t>
            </w:r>
          </w:p>
        </w:tc>
        <w:tc>
          <w:tcPr>
            <w:tcW w:type="dxa" w:w="19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Rows complete</w:t>
            </w:r>
          </w:p>
        </w:tc>
        <w:tc>
          <w:tcPr>
            <w:tcW w:type="dxa" w:w="17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Readiness %</w:t>
            </w:r>
          </w:p>
        </w:tc>
        <w:tc>
          <w:tcPr>
            <w:tcW w:type="dxa" w:w="20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Entry criteria outstanding</w:t>
            </w:r>
          </w:p>
        </w:tc>
      </w:tr>
      <w:tr>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w:t>
            </w:r>
          </w:p>
        </w:tc>
        <w:tc>
          <w:tcPr>
            <w:tcW w:type="dxa" w:w="190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2060"/>
            <w:tcMar>
              <w:top w:type="dxa" w:w="70"/>
              <w:left w:type="dxa" w:w="110"/>
              <w:bottom w:type="dxa" w:w="70"/>
              <w:right w:type="dxa" w:w="110"/>
            </w:tcMar>
          </w:tcPr>
          <w:p>
            <w:pPr>
              <w:spacing w:after="0"/>
            </w:pPr>
          </w:p>
        </w:tc>
      </w:tr>
      <w:tr>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w:t>
            </w:r>
          </w:p>
        </w:tc>
        <w:tc>
          <w:tcPr>
            <w:tcW w:type="dxa" w:w="190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p>
        </w:tc>
        <w:tc>
          <w:tcPr>
            <w:tcW w:type="dxa" w:w="1700"/>
            <w:tcMar>
              <w:top w:type="dxa" w:w="70"/>
              <w:left w:type="dxa" w:w="110"/>
              <w:bottom w:type="dxa" w:w="70"/>
              <w:right w:type="dxa" w:w="110"/>
            </w:tcMar>
          </w:tcPr>
          <w:p>
            <w:pPr>
              <w:spacing w:after="0"/>
            </w:pPr>
          </w:p>
        </w:tc>
        <w:tc>
          <w:tcPr>
            <w:tcW w:type="dxa" w:w="2060"/>
            <w:tcMar>
              <w:top w:type="dxa" w:w="70"/>
              <w:left w:type="dxa" w:w="110"/>
              <w:bottom w:type="dxa" w:w="70"/>
              <w:right w:type="dxa" w:w="110"/>
            </w:tcMar>
          </w:tcPr>
          <w:p>
            <w:pPr>
              <w:spacing w:after="0"/>
            </w:pPr>
          </w:p>
        </w:tc>
      </w:tr>
    </w:tbl>
    <w:p>
      <w:pPr>
        <w:spacing w:after="120"/>
      </w:pPr>
    </w:p>
    <w:p>
      <w:pPr>
        <w:spacing w:after="120"/>
      </w:pPr>
      <w:r>
        <w:rPr>
          <w:rFonts w:ascii="Calibri" w:cs="Calibri" w:eastAsia="Calibri" w:hAnsi="Calibri"/>
          <w:b/>
          <w:bCs/>
          <w:color w:val="1A1A1A"/>
          <w:sz w:val="21"/>
          <w:szCs w:val="21"/>
        </w:rPr>
        <w:t xml:space="preserve">Location of the preparation tracker:  </w:t>
      </w:r>
      <w:r>
        <w:rPr>
          <w:rFonts w:ascii="Calibri" w:cs="Calibri" w:eastAsia="Calibri" w:hAnsi="Calibri"/>
          <w:color w:val="5A5A5A"/>
          <w:sz w:val="21"/>
          <w:szCs w:val="21"/>
        </w:rPr>
        <w:t xml:space="preserve">[  ]</w:t>
      </w:r>
    </w:p>
    <w:p>
      <w:pPr>
        <w:spacing w:after="120"/>
      </w:pPr>
      <w:r>
        <w:rPr>
          <w:rFonts w:ascii="Calibri" w:cs="Calibri" w:eastAsia="Calibri" w:hAnsi="Calibri"/>
          <w:b/>
          <w:bCs/>
          <w:color w:val="1A1A1A"/>
          <w:sz w:val="21"/>
          <w:szCs w:val="21"/>
        </w:rPr>
        <w:t xml:space="preserve">Date readiness last computed:  </w:t>
      </w:r>
      <w:r>
        <w:rPr>
          <w:rFonts w:ascii="Calibri" w:cs="Calibri" w:eastAsia="Calibri" w:hAnsi="Calibri"/>
          <w:color w:val="5A5A5A"/>
          <w:sz w:val="21"/>
          <w:szCs w:val="21"/>
        </w:rPr>
        <w:t xml:space="preserve">[  ]</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40" w:before="360"/>
      </w:pPr>
      <w:r>
        <w:rPr>
          <w:rFonts w:ascii="Cambria" w:cs="Cambria" w:eastAsia="Cambria" w:hAnsi="Cambria"/>
          <w:b/>
          <w:bCs/>
          <w:color w:val="1F3864"/>
          <w:sz w:val="30"/>
          <w:szCs w:val="30"/>
        </w:rPr>
        <w:t xml:space="preserve">Appendix B:  Physical Audit Check Set and Sampling Plan</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Record each check as pass, finding, or not applicable, per item audited. A check that does not apply is recorded as not applicable, never omitted. Findings are cross-referenced to their finding record. The completed check set is the record from which the summary report is derived.</w:t>
      </w:r>
    </w:p>
    <w:p>
      <w:pPr>
        <w:pBdr>
          <w:left w:val="single" w:color="B8C4DE" w:sz="12" w:space="10"/>
        </w:pBdr>
        <w:spacing w:after="160" w:before="0"/>
        <w:ind w:left="220"/>
      </w:pPr>
      <w:r>
        <w:rPr>
          <w:rFonts w:ascii="Calibri" w:cs="Calibri" w:eastAsia="Calibri" w:hAnsi="Calibri"/>
          <w:i/>
          <w:iCs/>
          <w:color w:val="5A5A5A"/>
          <w:sz w:val="19"/>
          <w:szCs w:val="19"/>
        </w:rPr>
        <w:t xml:space="preserve">The sampling levels marked one hundred percent are set by the audit process and are not tailorable in this plan. Complete the sampling column only for the checks the process leaves to the plan. Features implementing or protecting hazard risk controls, and safety-critical characteristics, are included in every sample and are not sampled out. This is not tailorable.</w:t>
      </w:r>
    </w:p>
    <w:p>
      <w:pPr>
        <w:keepNext/>
        <w:spacing w:after="120"/>
      </w:pPr>
      <w:r>
        <w:rPr>
          <w:rFonts w:ascii="Calibri" w:cs="Calibri" w:eastAsia="Calibri" w:hAnsi="Calibri"/>
          <w:b/>
          <w:bCs/>
          <w:color w:val="1A1A1A"/>
          <w:sz w:val="21"/>
          <w:szCs w:val="21"/>
        </w:rPr>
        <w:t xml:space="preserve">Configuration item:  </w:t>
      </w:r>
      <w:r>
        <w:rPr>
          <w:rFonts w:ascii="Calibri" w:cs="Calibri" w:eastAsia="Calibri" w:hAnsi="Calibri"/>
          <w:color w:val="5A5A5A"/>
          <w:sz w:val="21"/>
          <w:szCs w:val="21"/>
        </w:rPr>
        <w:t xml:space="preserve">________________     </w:t>
      </w:r>
      <w:r>
        <w:rPr>
          <w:rFonts w:ascii="Calibri" w:cs="Calibri" w:eastAsia="Calibri" w:hAnsi="Calibri"/>
          <w:b/>
          <w:bCs/>
          <w:color w:val="1A1A1A"/>
          <w:sz w:val="21"/>
          <w:szCs w:val="21"/>
        </w:rPr>
        <w:t xml:space="preserve">Part no.:  </w:t>
      </w:r>
      <w:r>
        <w:rPr>
          <w:rFonts w:ascii="Calibri" w:cs="Calibri" w:eastAsia="Calibri" w:hAnsi="Calibri"/>
          <w:color w:val="5A5A5A"/>
          <w:sz w:val="21"/>
          <w:szCs w:val="21"/>
        </w:rPr>
        <w:t xml:space="preserve">________________     </w:t>
      </w:r>
      <w:r>
        <w:rPr>
          <w:rFonts w:ascii="Calibri" w:cs="Calibri" w:eastAsia="Calibri" w:hAnsi="Calibri"/>
          <w:b/>
          <w:bCs/>
          <w:color w:val="1A1A1A"/>
          <w:sz w:val="21"/>
          <w:szCs w:val="21"/>
        </w:rPr>
        <w:t xml:space="preserve">Serial no.:  </w:t>
      </w:r>
      <w:r>
        <w:rPr>
          <w:rFonts w:ascii="Calibri" w:cs="Calibri" w:eastAsia="Calibri" w:hAnsi="Calibri"/>
          <w:color w:val="5A5A5A"/>
          <w:sz w:val="21"/>
          <w:szCs w:val="21"/>
        </w:rPr>
        <w:t xml:space="preserve">____________     </w:t>
      </w:r>
      <w:r>
        <w:rPr>
          <w:rFonts w:ascii="Calibri" w:cs="Calibri" w:eastAsia="Calibri" w:hAnsi="Calibri"/>
          <w:b/>
          <w:bCs/>
          <w:color w:val="1A1A1A"/>
          <w:sz w:val="21"/>
          <w:szCs w:val="21"/>
        </w:rPr>
        <w:t xml:space="preserve">Audit date:  </w:t>
      </w:r>
      <w:r>
        <w:rPr>
          <w:rFonts w:ascii="Calibri" w:cs="Calibri" w:eastAsia="Calibri" w:hAnsi="Calibri"/>
          <w:color w:val="5A5A5A"/>
          <w:sz w:val="21"/>
          <w:szCs w:val="21"/>
        </w:rPr>
        <w:t xml:space="preserve">____________</w:t>
      </w:r>
    </w:p>
    <w:tbl>
      <w:tblPr>
        <w:tblW w:type="dxa" w:w="12960"/>
        <w:tblBorders>
          <w:top w:val="single" w:color="B8C4DE" w:sz="4"/>
          <w:left w:val="single" w:color="B8C4DE" w:sz="4"/>
          <w:bottom w:val="single" w:color="B8C4DE" w:sz="4"/>
          <w:right w:val="single" w:color="B8C4DE" w:sz="4"/>
          <w:insideH w:val="single" w:color="B8C4DE" w:sz="4"/>
          <w:insideV w:val="single" w:color="B8C4DE" w:sz="4"/>
        </w:tblBorders>
      </w:tblPr>
      <w:tblGrid>
        <w:gridCol w:w="500"/>
        <w:gridCol w:w="1900"/>
        <w:gridCol w:w="3800"/>
        <w:gridCol w:w="3500"/>
        <w:gridCol w:w="1800"/>
        <w:gridCol w:w="1460"/>
      </w:tblGrid>
      <w:tr>
        <w:trPr>
          <w:tblHeader/>
        </w:trPr>
        <w:tc>
          <w:tcPr>
            <w:tcW w:type="dxa" w:w="500"/>
            <w:shd w:fill="1F3864" w:val="clear"/>
            <w:tcMar>
              <w:top w:type="dxa" w:w="70"/>
              <w:left w:type="dxa" w:w="110"/>
              <w:bottom w:type="dxa" w:w="70"/>
              <w:right w:type="dxa" w:w="110"/>
            </w:tcMar>
          </w:tcPr>
          <w:p>
            <w:pPr>
              <w:spacing w:after="0"/>
            </w:pPr>
            <w:r>
              <w:rPr>
                <w:rFonts w:ascii="Calibri" w:cs="Calibri" w:eastAsia="Calibri" w:hAnsi="Calibri"/>
                <w:color w:val="FFFFFF"/>
                <w:sz w:val="18"/>
                <w:szCs w:val="18"/>
              </w:rPr>
              <w:t xml:space="preserve">#</w:t>
            </w:r>
          </w:p>
        </w:tc>
        <w:tc>
          <w:tcPr>
            <w:tcW w:type="dxa" w:w="1900"/>
            <w:shd w:fill="1F3864" w:val="clear"/>
            <w:tcMar>
              <w:top w:type="dxa" w:w="70"/>
              <w:left w:type="dxa" w:w="110"/>
              <w:bottom w:type="dxa" w:w="70"/>
              <w:right w:type="dxa" w:w="110"/>
            </w:tcMar>
          </w:tcPr>
          <w:p>
            <w:pPr>
              <w:spacing w:after="0"/>
            </w:pPr>
            <w:r>
              <w:rPr>
                <w:rFonts w:ascii="Calibri" w:cs="Calibri" w:eastAsia="Calibri" w:hAnsi="Calibri"/>
                <w:color w:val="FFFFFF"/>
                <w:sz w:val="18"/>
                <w:szCs w:val="18"/>
              </w:rPr>
              <w:t xml:space="preserve">Check</w:t>
            </w:r>
          </w:p>
        </w:tc>
        <w:tc>
          <w:tcPr>
            <w:tcW w:type="dxa" w:w="3800"/>
            <w:shd w:fill="1F3864" w:val="clear"/>
            <w:tcMar>
              <w:top w:type="dxa" w:w="70"/>
              <w:left w:type="dxa" w:w="110"/>
              <w:bottom w:type="dxa" w:w="70"/>
              <w:right w:type="dxa" w:w="110"/>
            </w:tcMar>
          </w:tcPr>
          <w:p>
            <w:pPr>
              <w:spacing w:after="0"/>
            </w:pPr>
            <w:r>
              <w:rPr>
                <w:rFonts w:ascii="Calibri" w:cs="Calibri" w:eastAsia="Calibri" w:hAnsi="Calibri"/>
                <w:color w:val="FFFFFF"/>
                <w:sz w:val="18"/>
                <w:szCs w:val="18"/>
              </w:rPr>
              <w:t xml:space="preserve">What is compared</w:t>
            </w:r>
          </w:p>
        </w:tc>
        <w:tc>
          <w:tcPr>
            <w:tcW w:type="dxa" w:w="3500"/>
            <w:shd w:fill="1F3864" w:val="clear"/>
            <w:tcMar>
              <w:top w:type="dxa" w:w="70"/>
              <w:left w:type="dxa" w:w="110"/>
              <w:bottom w:type="dxa" w:w="70"/>
              <w:right w:type="dxa" w:w="110"/>
            </w:tcMar>
          </w:tcPr>
          <w:p>
            <w:pPr>
              <w:spacing w:after="0"/>
            </w:pPr>
            <w:r>
              <w:rPr>
                <w:rFonts w:ascii="Calibri" w:cs="Calibri" w:eastAsia="Calibri" w:hAnsi="Calibri"/>
                <w:color w:val="FFFFFF"/>
                <w:sz w:val="18"/>
                <w:szCs w:val="18"/>
              </w:rPr>
              <w:t xml:space="preserve">What is a finding</w:t>
            </w:r>
          </w:p>
        </w:tc>
        <w:tc>
          <w:tcPr>
            <w:tcW w:type="dxa" w:w="1800"/>
            <w:shd w:fill="1F3864" w:val="clear"/>
            <w:tcMar>
              <w:top w:type="dxa" w:w="70"/>
              <w:left w:type="dxa" w:w="110"/>
              <w:bottom w:type="dxa" w:w="70"/>
              <w:right w:type="dxa" w:w="110"/>
            </w:tcMar>
          </w:tcPr>
          <w:p>
            <w:pPr>
              <w:spacing w:after="0"/>
            </w:pPr>
            <w:r>
              <w:rPr>
                <w:rFonts w:ascii="Calibri" w:cs="Calibri" w:eastAsia="Calibri" w:hAnsi="Calibri"/>
                <w:color w:val="FFFFFF"/>
                <w:sz w:val="18"/>
                <w:szCs w:val="18"/>
              </w:rPr>
              <w:t xml:space="preserve">Sampling</w:t>
            </w:r>
          </w:p>
        </w:tc>
        <w:tc>
          <w:tcPr>
            <w:tcW w:type="dxa" w:w="1460"/>
            <w:shd w:fill="1F3864" w:val="clear"/>
            <w:tcMar>
              <w:top w:type="dxa" w:w="70"/>
              <w:left w:type="dxa" w:w="110"/>
              <w:bottom w:type="dxa" w:w="70"/>
              <w:right w:type="dxa" w:w="110"/>
            </w:tcMar>
          </w:tcPr>
          <w:p>
            <w:pPr>
              <w:spacing w:after="0"/>
            </w:pPr>
            <w:r>
              <w:rPr>
                <w:rFonts w:ascii="Calibri" w:cs="Calibri" w:eastAsia="Calibri" w:hAnsi="Calibri"/>
                <w:color w:val="FFFFFF"/>
                <w:sz w:val="18"/>
                <w:szCs w:val="18"/>
              </w:rPr>
              <w:t xml:space="preserve">Result</w:t>
            </w: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Physical item to product definition data</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The item against the governing revision of its product definition data for its effectivity. A part number does not itself carry a revision. The data defining the part carries it.</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The article does not conform to the governing revision, or the governing revision cannot be established from the article and its records without inference.</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2</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Serialization and traceability</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Serial, batch, lot and heat numbers physically on the item against the traceability requirements and against the as-built records. Trace numbers are never re-used and never revised. Life-limited items: designation, assigned limit, and life consumed at delivery. Shelf-life materials: cure or expiry evidence.</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Any of the three sources disagreeing. Two of three agreeing is a finding, not a pass. A life-limited part delivered with no consumed-life record.</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3</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As-designed to as-built child item reconciliation</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Every child item on the as-designed dataset against the completed and closed build records, including physically invisible or minor hardware. Shims. Washers. O-rings. Potting compounds. Adhesives. Thread-locker.</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 child item on the as-designed data with no entry in the build record. Absence in the record is itself the finding. It is not resolved by inspecting the article and concluding the part must be present.</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Sampled. 100% for safety-related items.</w:t>
            </w:r>
          </w:p>
          <w:p>
            <w:pPr>
              <w:spacing w:after="0"/>
            </w:pPr>
            <w:r>
              <w:rPr>
                <w:rFonts w:ascii="Calibri" w:cs="Calibri" w:eastAsia="Calibri" w:hAnsi="Calibri"/>
                <w:color w:val="1A1A1A"/>
                <w:sz w:val="17"/>
                <w:szCs w:val="17"/>
              </w:rPr>
              <w:t xml:space="preserve">Sample: [  ]</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4</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Incorporation of approved change commitments</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All approved change commitments applicable at the milestone and effectivity, and any temporary redlines or flight changes, against the physical unit.</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An approved change not incorporated. A change incorporated that was not approved. A temporary marking whose status cannot be established.</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 of applicable approved changes</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5</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Non-conformance records and variances</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Every non-conformance on the unit against the adjudication its classification requires, including departures tripping variance gates.</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Adjudication by an authority below the classification. An unresolved record open against the item. A recurring variance determined permanently acceptable that should have become an engineering change.</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6</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Interface and workmanship</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Physical dimensions, critical interfaces, connector pin assignments, harness routing, ground strap bonding, surface finishes, thermal coatings and torque stripe application against the product definition data.</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 non-conforming feature. Also a conforming feature whose inspection record disagrees with the article. The second case is evidence about the inspection system rather than about the part.</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Sampled.</w:t>
            </w:r>
          </w:p>
          <w:p>
            <w:pPr>
              <w:spacing w:after="0"/>
            </w:pPr>
            <w:r>
              <w:rPr>
                <w:rFonts w:ascii="Calibri" w:cs="Calibri" w:eastAsia="Calibri" w:hAnsi="Calibri"/>
                <w:color w:val="1A1A1A"/>
                <w:sz w:val="17"/>
                <w:szCs w:val="17"/>
              </w:rPr>
              <w:t xml:space="preserve">Sample: [  ]</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7</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Nameplate, marking and tagging</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Part markings, serial number plates, warning labels and unique identification against the marking instructions in the product definition data.</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Inaccuracy. Equally, illegibility, impermanence, or correct marking in an incorrect location.</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8</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Embedded software and firmware load</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Installed build version, part number and checksum in each programmable device, read back and compared against the version description produced by the witnessed build, not against a value transcribed into a drawing. Devices that cannot be read back: the load record for this unit, witnessed by Quality Assurance, with the checksum verified at loading.</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 checksum matching a drawing but not the version description. A device with neither read-back nor a witnessed load record.</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9</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Build traveler and quality buy-off</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Traveler, inspection logs and test records against the operations required.</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 missing or invalid buy-off. A stamp applied without the authority to apply it. Acceptance or inspection data produced by equipment out of calibration, which makes the data inadmissible rather than merely suspect.</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Sampled.</w:t>
            </w:r>
          </w:p>
          <w:p>
            <w:pPr>
              <w:spacing w:after="0"/>
            </w:pPr>
            <w:r>
              <w:rPr>
                <w:rFonts w:ascii="Calibri" w:cs="Calibri" w:eastAsia="Calibri" w:hAnsi="Calibri"/>
                <w:color w:val="1A1A1A"/>
                <w:sz w:val="17"/>
                <w:szCs w:val="17"/>
              </w:rPr>
              <w:t xml:space="preserve">Sample: [  ]</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9a</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Acceptance test adequacy</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The acceptance procedure for this item against the defect modes actually escaping on the item and its production line.</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 known escape mode the acceptance test cannot detect. That is a finding against the documentation, not against the unit.</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10</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Functional audit unit to physical audit unit differences</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This unit against the unit or units used at the functional audit, with certification that the differences do not degrade functional characteristics. Identification alone is not sufficient. The certification is the deliverable.</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Any unidentified difference. “Both were built to the same data” is not an answer. Tooling, process, source and workmanship differ between preproduction and production builds even where the design data does not. Identifying these differences is mandatory for safety.</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11</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Manufacturing instructions to product definition data</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The sampled product definition data against the manufacturing instructions, work instructions and installation procedures actually used, at the governing revision and incorporating the authorized changes.</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An instruction reflecting a superseded revision, or omitting design detail. Check 9 asks whether the traveler was followed. This asks whether the traveler was right. A fully stamped traveler built to a superseded revision passes check 9 and fails the audit.</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Sampled.</w:t>
            </w:r>
          </w:p>
          <w:p>
            <w:pPr>
              <w:spacing w:after="0"/>
            </w:pPr>
            <w:r>
              <w:rPr>
                <w:rFonts w:ascii="Calibri" w:cs="Calibri" w:eastAsia="Calibri" w:hAnsi="Calibri"/>
                <w:color w:val="1A1A1A"/>
                <w:sz w:val="17"/>
                <w:szCs w:val="17"/>
              </w:rPr>
              <w:t xml:space="preserve">Sample: [  ]</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12</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Foreign object debris in the zone (conditional)</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Applicable only where the item is embodied at the time of the audit. The zone in which it is installed, against its closeout records, for tools, loose hardware, swarf, consumables, rags and packaging. Where the item is not embodied, recorded as not applicable.</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An area closed with no recorded closeout inspection.</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 of closed areas</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13</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Part approval, clearance and qualification</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The part types installed against their approval, clearance and qualification records and the approved parts selection list.</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 part matching the drawing that was never approved for use. A part de-listed after release through obsolescence, source disqualification or counterfeit alert. An informal substitution made under shortage pressure. Verifying installed parts against the approved parts selection list is mandatory for safety.</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Sampled.</w:t>
            </w:r>
          </w:p>
          <w:p>
            <w:pPr>
              <w:spacing w:after="0"/>
            </w:pPr>
            <w:r>
              <w:rPr>
                <w:rFonts w:ascii="Calibri" w:cs="Calibri" w:eastAsia="Calibri" w:hAnsi="Calibri"/>
                <w:color w:val="1A1A1A"/>
                <w:sz w:val="17"/>
                <w:szCs w:val="17"/>
              </w:rPr>
              <w:t xml:space="preserve">Sample: [  ]</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14</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Part certification status and plan status</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The certification and qualification status of the item and its parts, and the status of the certification plan items applicable at this milestone.</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An open plan item nobody can identify. A certification credit resting on a configuration other than the one audited. An open plan item at this milestone is not automatically a finding.</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15</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Material and process conformance</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Three links. The material specification in the product definition data, against the material note on the as-built record, against the material certification for the heat or lot number. Special processes carry process certification in place of the material certificate. Where an equivalent is permitted, verify the substitution was approved rather than selected at the bench.</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 break anywhere in the chain. A two-link check catches a build record that disagrees with the design. Only the third link catches a build record that faithfully records what was ordered when what was delivered differed.</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Sampled. 100% for safety-related items.</w:t>
            </w:r>
          </w:p>
          <w:p>
            <w:pPr>
              <w:spacing w:after="0"/>
            </w:pPr>
            <w:r>
              <w:rPr>
                <w:rFonts w:ascii="Calibri" w:cs="Calibri" w:eastAsia="Calibri" w:hAnsi="Calibri"/>
                <w:color w:val="1A1A1A"/>
                <w:sz w:val="17"/>
                <w:szCs w:val="17"/>
              </w:rPr>
              <w:t xml:space="preserve">Sample: [  ]</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16</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Next higher assembly traceability</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The item’s traceability records resolving upward to the next higher assembly, so that fleet-wide lot and heat questions remain answerable after an escape. Where the next higher item is a conceptual collector with no physical assembly above it, that fact and its rationale are recorded.</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An absent link. A link that does not exist and is recorded as such is not a finding.</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17</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Inspection and test of sub-supplier end items</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Completion of inspection and test of sub-supplier end items at point of manufacture, traceable to the articles installed in this unit, with first article results complete where required.</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An installed supplier item with no supporting record. First article results present but incomplete for a newly sourced part.</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Sampled.</w:t>
            </w:r>
          </w:p>
          <w:p>
            <w:pPr>
              <w:spacing w:after="0"/>
            </w:pPr>
            <w:r>
              <w:rPr>
                <w:rFonts w:ascii="Calibri" w:cs="Calibri" w:eastAsia="Calibri" w:hAnsi="Calibri"/>
                <w:color w:val="1A1A1A"/>
                <w:sz w:val="17"/>
                <w:szCs w:val="17"/>
              </w:rPr>
              <w:t xml:space="preserve">Sample: [  ]</w:t>
            </w:r>
          </w:p>
        </w:tc>
        <w:tc>
          <w:tcPr>
            <w:tcW w:type="dxa" w:w="1460"/>
            <w:tcMar>
              <w:top w:type="dxa" w:w="70"/>
              <w:left w:type="dxa" w:w="110"/>
              <w:bottom w:type="dxa" w:w="70"/>
              <w:right w:type="dxa" w:w="110"/>
            </w:tcMar>
          </w:tcPr>
          <w:p>
            <w:pPr>
              <w:spacing w:after="0"/>
            </w:pPr>
          </w:p>
        </w:tc>
      </w:tr>
      <w:tr>
        <w:tc>
          <w:tcPr>
            <w:tcW w:type="dxa" w:w="500"/>
            <w:tcMar>
              <w:top w:type="dxa" w:w="70"/>
              <w:left w:type="dxa" w:w="110"/>
              <w:bottom w:type="dxa" w:w="70"/>
              <w:right w:type="dxa" w:w="110"/>
            </w:tcMar>
          </w:tcPr>
          <w:p>
            <w:pPr>
              <w:spacing w:after="0"/>
            </w:pPr>
            <w:r>
              <w:rPr>
                <w:rFonts w:ascii="Calibri" w:cs="Calibri" w:eastAsia="Calibri" w:hAnsi="Calibri"/>
                <w:color w:val="1A1A1A"/>
                <w:sz w:val="17"/>
                <w:szCs w:val="17"/>
              </w:rPr>
              <w:t xml:space="preserve">18</w:t>
            </w:r>
          </w:p>
        </w:tc>
        <w:tc>
          <w:tcPr>
            <w:tcW w:type="dxa" w:w="1900"/>
            <w:tcMar>
              <w:top w:type="dxa" w:w="70"/>
              <w:left w:type="dxa" w:w="110"/>
              <w:bottom w:type="dxa" w:w="70"/>
              <w:right w:type="dxa" w:w="110"/>
            </w:tcMar>
          </w:tcPr>
          <w:p>
            <w:pPr>
              <w:spacing w:after="0"/>
            </w:pPr>
            <w:r>
              <w:rPr>
                <w:rFonts w:ascii="Calibri" w:cs="Calibri" w:eastAsia="Calibri" w:hAnsi="Calibri"/>
                <w:color w:val="1A1A1A"/>
                <w:sz w:val="17"/>
                <w:szCs w:val="17"/>
              </w:rPr>
              <w:t xml:space="preserve">Spares and repair parts released before the audit</w:t>
            </w:r>
          </w:p>
        </w:tc>
        <w:tc>
          <w:tcPr>
            <w:tcW w:type="dxa" w:w="3800"/>
            <w:tcMar>
              <w:top w:type="dxa" w:w="70"/>
              <w:left w:type="dxa" w:w="110"/>
              <w:bottom w:type="dxa" w:w="70"/>
              <w:right w:type="dxa" w:w="110"/>
            </w:tcMar>
          </w:tcPr>
          <w:p>
            <w:pPr>
              <w:spacing w:after="0"/>
            </w:pPr>
            <w:r>
              <w:rPr>
                <w:rFonts w:ascii="Calibri" w:cs="Calibri" w:eastAsia="Calibri" w:hAnsi="Calibri"/>
                <w:color w:val="1A1A1A"/>
                <w:sz w:val="17"/>
                <w:szCs w:val="17"/>
              </w:rPr>
              <w:t xml:space="preserve">Spares and repair parts provisioned before the audit against the configuration this audit establishes, from the baseline and release records.</w:t>
            </w:r>
          </w:p>
        </w:tc>
        <w:tc>
          <w:tcPr>
            <w:tcW w:type="dxa" w:w="3500"/>
            <w:tcMar>
              <w:top w:type="dxa" w:w="70"/>
              <w:left w:type="dxa" w:w="110"/>
              <w:bottom w:type="dxa" w:w="70"/>
              <w:right w:type="dxa" w:w="110"/>
            </w:tcMar>
          </w:tcPr>
          <w:p>
            <w:pPr>
              <w:spacing w:after="0"/>
            </w:pPr>
            <w:r>
              <w:rPr>
                <w:rFonts w:ascii="Calibri" w:cs="Calibri" w:eastAsia="Calibri" w:hAnsi="Calibri"/>
                <w:color w:val="1A1A1A"/>
                <w:sz w:val="17"/>
                <w:szCs w:val="17"/>
              </w:rPr>
              <w:t xml:space="preserve">A pre-audit release built to a configuration the audit supersedes, with the difference neither identified nor dispositioned. Those articles are already in a store or in the field.</w:t>
            </w:r>
          </w:p>
        </w:tc>
        <w:tc>
          <w:tcPr>
            <w:tcW w:type="dxa" w:w="1800"/>
            <w:tcMar>
              <w:top w:type="dxa" w:w="70"/>
              <w:left w:type="dxa" w:w="110"/>
              <w:bottom w:type="dxa" w:w="70"/>
              <w:right w:type="dxa" w:w="110"/>
            </w:tcMar>
          </w:tcPr>
          <w:p>
            <w:pPr>
              <w:spacing w:after="0"/>
            </w:pPr>
            <w:r>
              <w:rPr>
                <w:rFonts w:ascii="Calibri" w:cs="Calibri" w:eastAsia="Calibri" w:hAnsi="Calibri"/>
                <w:color w:val="1A1A1A"/>
                <w:sz w:val="17"/>
                <w:szCs w:val="17"/>
              </w:rPr>
              <w:t xml:space="preserve">100%</w:t>
            </w:r>
          </w:p>
        </w:tc>
        <w:tc>
          <w:tcPr>
            <w:tcW w:type="dxa" w:w="1460"/>
            <w:tcMar>
              <w:top w:type="dxa" w:w="70"/>
              <w:left w:type="dxa" w:w="110"/>
              <w:bottom w:type="dxa" w:w="70"/>
              <w:right w:type="dxa" w:w="110"/>
            </w:tcMar>
          </w:tcPr>
          <w:p>
            <w:pPr>
              <w:spacing w:after="0"/>
            </w:pPr>
          </w:p>
        </w:tc>
      </w:tr>
    </w:tbl>
    <w:p>
      <w:pPr>
        <w:spacing w:after="120"/>
      </w:pPr>
    </w:p>
    <w:p>
      <w:pPr>
        <w:spacing w:after="120"/>
      </w:pPr>
      <w:r>
        <w:rPr>
          <w:rFonts w:ascii="Calibri" w:cs="Calibri" w:eastAsia="Calibri" w:hAnsi="Calibri"/>
          <w:b/>
          <w:bCs/>
          <w:color w:val="1A1A1A"/>
          <w:sz w:val="21"/>
          <w:szCs w:val="21"/>
        </w:rPr>
        <w:t xml:space="preserve">Completed by:  </w:t>
      </w:r>
      <w:r>
        <w:rPr>
          <w:rFonts w:ascii="Calibri" w:cs="Calibri" w:eastAsia="Calibri" w:hAnsi="Calibri"/>
          <w:color w:val="5A5A5A"/>
          <w:sz w:val="21"/>
          <w:szCs w:val="21"/>
        </w:rPr>
        <w:t xml:space="preserve">________________     </w:t>
      </w:r>
      <w:r>
        <w:rPr>
          <w:rFonts w:ascii="Calibri" w:cs="Calibri" w:eastAsia="Calibri" w:hAnsi="Calibri"/>
          <w:b/>
          <w:bCs/>
          <w:color w:val="1A1A1A"/>
          <w:sz w:val="21"/>
          <w:szCs w:val="21"/>
        </w:rPr>
        <w:t xml:space="preserve">Date:  </w:t>
      </w:r>
      <w:r>
        <w:rPr>
          <w:rFonts w:ascii="Calibri" w:cs="Calibri" w:eastAsia="Calibri" w:hAnsi="Calibri"/>
          <w:color w:val="5A5A5A"/>
          <w:sz w:val="21"/>
          <w:szCs w:val="21"/>
        </w:rPr>
        <w:t xml:space="preserve">____________     </w:t>
      </w:r>
      <w:r>
        <w:rPr>
          <w:rFonts w:ascii="Calibri" w:cs="Calibri" w:eastAsia="Calibri" w:hAnsi="Calibri"/>
          <w:b/>
          <w:bCs/>
          <w:color w:val="1A1A1A"/>
          <w:sz w:val="21"/>
          <w:szCs w:val="21"/>
        </w:rPr>
        <w:t xml:space="preserve">CM review:  </w:t>
      </w:r>
      <w:r>
        <w:rPr>
          <w:rFonts w:ascii="Calibri" w:cs="Calibri" w:eastAsia="Calibri" w:hAnsi="Calibri"/>
          <w:color w:val="5A5A5A"/>
          <w:sz w:val="21"/>
          <w:szCs w:val="21"/>
        </w:rPr>
        <w:t xml:space="preserve">________________     </w:t>
      </w:r>
      <w:r>
        <w:rPr>
          <w:rFonts w:ascii="Calibri" w:cs="Calibri" w:eastAsia="Calibri" w:hAnsi="Calibri"/>
          <w:b/>
          <w:bCs/>
          <w:color w:val="1A1A1A"/>
          <w:sz w:val="21"/>
          <w:szCs w:val="21"/>
        </w:rPr>
        <w:t xml:space="preserve">Date:  </w:t>
      </w:r>
      <w:r>
        <w:rPr>
          <w:rFonts w:ascii="Calibri" w:cs="Calibri" w:eastAsia="Calibri" w:hAnsi="Calibri"/>
          <w:color w:val="5A5A5A"/>
          <w:sz w:val="21"/>
          <w:szCs w:val="21"/>
        </w:rPr>
        <w:t xml:space="preserve">____________</w:t>
      </w:r>
    </w:p>
    <w:p>
      <w:pPr>
        <w:sectPr>
          <w:headerReference w:type="default" r:id="rId7"/>
          <w:footerReference w:type="default" r:id="rId8"/>
          <w:pgSz w:w="15840" w:h="12240" w:orient="landscape"/>
          <w:pgMar w:top="1080" w:right="1440" w:bottom="1080" w:left="1440" w:header="708" w:footer="708" w:gutter="0"/>
          <w:pgNumType/>
          <w:docGrid w:linePitch="360"/>
        </w:sectPr>
      </w:pPr>
    </w:p>
    <w:p>
      <w:pPr>
        <w:pStyle w:val="Heading1"/>
        <w:spacing w:after="140" w:before="360"/>
      </w:pPr>
      <w:r>
        <w:rPr>
          <w:rFonts w:ascii="Cambria" w:cs="Cambria" w:eastAsia="Cambria" w:hAnsi="Cambria"/>
          <w:b/>
          <w:bCs/>
          <w:color w:val="1F3864"/>
          <w:sz w:val="30"/>
          <w:szCs w:val="30"/>
        </w:rPr>
        <w:t xml:space="preserve">Appendix C:  Finding Record</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One per finding. Copy this page as required, or use the program’s finding record form where the contract specifies one.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3100"/>
        <w:gridCol w:w="6260"/>
      </w:tblGrid>
      <w:tr>
        <w:trPr>
          <w:tblHeader/>
        </w:trPr>
        <w:tc>
          <w:tcPr>
            <w:tcW w:type="dxa" w:w="31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Field</w:t>
            </w:r>
          </w:p>
        </w:tc>
        <w:tc>
          <w:tcPr>
            <w:tcW w:type="dxa" w:w="62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Entry</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Finding number</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and item</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Date raised</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Raised by</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Classification</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Major / Minor</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Mechanism that produced the classification</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Issue</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Stated so that someone who was not present can understand it</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Check or activity that found it</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Safety consequence</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Yes / No. If yes, System Safety disposition reference</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Extent check required</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Yes / No, with the reason</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Extent check result</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Units or records examined, and what was found</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Agreed closure plan</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Responsible individual</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A named person</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Agreed suspense date</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Closure evidence</w:t>
            </w:r>
          </w:p>
        </w:tc>
        <w:tc>
          <w:tcPr>
            <w:tcW w:type="dxa" w:w="6260"/>
            <w:tcMar>
              <w:top w:type="dxa" w:w="70"/>
              <w:left w:type="dxa" w:w="110"/>
              <w:bottom w:type="dxa" w:w="70"/>
              <w:right w:type="dxa" w:w="110"/>
            </w:tcMar>
          </w:tcPr>
          <w:p>
            <w:pPr>
              <w:spacing w:after="0"/>
            </w:pP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Verified by / date</w:t>
            </w:r>
          </w:p>
        </w:tc>
        <w:tc>
          <w:tcPr>
            <w:tcW w:type="dxa" w:w="6260"/>
            <w:tcMar>
              <w:top w:type="dxa" w:w="70"/>
              <w:left w:type="dxa" w:w="110"/>
              <w:bottom w:type="dxa" w:w="70"/>
              <w:right w:type="dxa" w:w="110"/>
            </w:tcMar>
          </w:tcPr>
          <w:p>
            <w:pPr>
              <w:spacing w:after="0"/>
            </w:pPr>
          </w:p>
        </w:tc>
      </w:tr>
    </w:tbl>
    <w:p>
      <w:r>
        <w:br w:type="page"/>
      </w:r>
    </w:p>
    <w:p>
      <w:pPr>
        <w:pStyle w:val="Heading1"/>
        <w:spacing w:after="140" w:before="360"/>
      </w:pPr>
      <w:r>
        <w:rPr>
          <w:rFonts w:ascii="Cambria" w:cs="Cambria" w:eastAsia="Cambria" w:hAnsi="Cambria"/>
          <w:b/>
          <w:bCs/>
          <w:color w:val="1F3864"/>
          <w:sz w:val="30"/>
          <w:szCs w:val="30"/>
        </w:rPr>
        <w:t xml:space="preserve">Appendix D:  Audit Certification</w:t>
      </w:r>
    </w:p>
    <w:p>
      <w:pPr>
        <w:spacing w:after="120"/>
      </w:pPr>
      <w:r>
        <w:rPr>
          <w:rFonts w:ascii="Calibri" w:cs="Calibri" w:eastAsia="Calibri" w:hAnsi="Calibri"/>
          <w:color w:val="1A1A1A"/>
          <w:sz w:val="21"/>
          <w:szCs w:val="21"/>
        </w:rPr>
        <w:t xml:space="preserve">Completed per item audited.</w:t>
      </w:r>
    </w:p>
    <w:p>
      <w:pPr>
        <w:spacing w:after="120"/>
      </w:pPr>
      <w:r>
        <w:rPr>
          <w:rFonts w:ascii="Calibri" w:cs="Calibri" w:eastAsia="Calibri" w:hAnsi="Calibri"/>
          <w:b/>
          <w:bCs/>
          <w:color w:val="1A1A1A"/>
          <w:sz w:val="21"/>
          <w:szCs w:val="21"/>
        </w:rPr>
        <w:t xml:space="preserve">Configuration item:  </w:t>
      </w:r>
      <w:r>
        <w:rPr>
          <w:rFonts w:ascii="Calibri" w:cs="Calibri" w:eastAsia="Calibri" w:hAnsi="Calibri"/>
          <w:color w:val="5A5A5A"/>
          <w:sz w:val="21"/>
          <w:szCs w:val="21"/>
        </w:rPr>
        <w:t xml:space="preserve">___________________________________________</w:t>
      </w:r>
    </w:p>
    <w:p>
      <w:pPr>
        <w:spacing w:after="120"/>
      </w:pPr>
      <w:r>
        <w:rPr>
          <w:rFonts w:ascii="Calibri" w:cs="Calibri" w:eastAsia="Calibri" w:hAnsi="Calibri"/>
          <w:b/>
          <w:bCs/>
          <w:color w:val="1A1A1A"/>
          <w:sz w:val="21"/>
          <w:szCs w:val="21"/>
        </w:rPr>
        <w:t xml:space="preserve">Audit type:  </w:t>
      </w:r>
      <w:r>
        <w:rPr>
          <w:rFonts w:ascii="Calibri" w:cs="Calibri" w:eastAsia="Calibri" w:hAnsi="Calibri"/>
          <w:color w:val="5A5A5A"/>
          <w:sz w:val="21"/>
          <w:szCs w:val="21"/>
        </w:rPr>
        <w:t xml:space="preserve">Functional ☐   Physical ☐   Combined ☐   Delta ☐</w:t>
      </w:r>
    </w:p>
    <w:p>
      <w:pPr>
        <w:spacing w:after="120"/>
      </w:pPr>
      <w:r>
        <w:rPr>
          <w:rFonts w:ascii="Calibri" w:cs="Calibri" w:eastAsia="Calibri" w:hAnsi="Calibri"/>
          <w:b/>
          <w:bCs/>
          <w:color w:val="1A1A1A"/>
          <w:sz w:val="21"/>
          <w:szCs w:val="21"/>
        </w:rPr>
        <w:t xml:space="preserve">Audit dates:  </w:t>
      </w:r>
      <w:r>
        <w:rPr>
          <w:rFonts w:ascii="Calibri" w:cs="Calibri" w:eastAsia="Calibri" w:hAnsi="Calibri"/>
          <w:color w:val="5A5A5A"/>
          <w:sz w:val="21"/>
          <w:szCs w:val="21"/>
        </w:rPr>
        <w:t xml:space="preserve">___________________________________________</w:t>
      </w:r>
    </w:p>
    <w:p>
      <w:pPr>
        <w:spacing w:after="120"/>
      </w:pPr>
      <w:r>
        <w:rPr>
          <w:rFonts w:ascii="Calibri" w:cs="Calibri" w:eastAsia="Calibri" w:hAnsi="Calibri"/>
          <w:b/>
          <w:bCs/>
          <w:color w:val="1A1A1A"/>
          <w:sz w:val="21"/>
          <w:szCs w:val="21"/>
        </w:rPr>
        <w:t xml:space="preserve">Location:  </w:t>
      </w:r>
      <w:r>
        <w:rPr>
          <w:rFonts w:ascii="Calibri" w:cs="Calibri" w:eastAsia="Calibri" w:hAnsi="Calibri"/>
          <w:color w:val="5A5A5A"/>
          <w:sz w:val="21"/>
          <w:szCs w:val="21"/>
        </w:rPr>
        <w:t xml:space="preserve">___________________________________________</w:t>
      </w:r>
    </w:p>
    <w:p>
      <w:pPr>
        <w:spacing w:after="120"/>
      </w:pPr>
    </w:p>
    <w:p>
      <w:pPr>
        <w:keepNext/>
        <w:spacing w:after="120"/>
      </w:pPr>
      <w:r>
        <w:rPr>
          <w:rFonts w:ascii="Calibri" w:cs="Calibri" w:eastAsia="Calibri" w:hAnsi="Calibri"/>
          <w:b/>
          <w:bCs/>
          <w:color w:val="1A1A1A"/>
          <w:sz w:val="22"/>
          <w:szCs w:val="22"/>
        </w:rPr>
        <w:t xml:space="preserve">Certification</w:t>
      </w:r>
    </w:p>
    <w:p>
      <w:pPr>
        <w:spacing w:after="120"/>
      </w:pPr>
      <w:r>
        <w:rPr>
          <w:rFonts w:ascii="Calibri" w:cs="Calibri" w:eastAsia="Calibri" w:hAnsi="Calibri"/>
          <w:color w:val="1A1A1A"/>
          <w:sz w:val="21"/>
          <w:szCs w:val="21"/>
        </w:rPr>
        <w:t xml:space="preserve">Complete and successful ☐      Conditional ☐ (resolutions agreed, tasks remaining as listed in the minutes)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400"/>
        <w:gridCol w:w="2600"/>
        <w:gridCol w:w="2760"/>
        <w:gridCol w:w="1600"/>
      </w:tblGrid>
      <w:tr>
        <w:trPr>
          <w:tblHeader/>
        </w:trPr>
        <w:tc>
          <w:tcPr>
            <w:tcW w:type="dxa" w:w="24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Role</w:t>
            </w:r>
          </w:p>
        </w:tc>
        <w:tc>
          <w:tcPr>
            <w:tcW w:type="dxa" w:w="2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Name</w:t>
            </w:r>
          </w:p>
        </w:tc>
        <w:tc>
          <w:tcPr>
            <w:tcW w:type="dxa" w:w="27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Signature</w:t>
            </w:r>
          </w:p>
        </w:tc>
        <w:tc>
          <w:tcPr>
            <w:tcW w:type="dxa" w:w="16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Date</w:t>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audit lead</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program manager</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representative</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representative</w:t>
            </w:r>
          </w:p>
        </w:tc>
        <w:tc>
          <w:tcPr>
            <w:tcW w:type="dxa" w:w="2600"/>
            <w:tcMar>
              <w:top w:type="dxa" w:w="70"/>
              <w:left w:type="dxa" w:w="110"/>
              <w:bottom w:type="dxa" w:w="70"/>
              <w:right w:type="dxa" w:w="110"/>
            </w:tcMar>
          </w:tcPr>
          <w:p>
            <w:pPr>
              <w:spacing w:after="0"/>
            </w:pPr>
          </w:p>
        </w:tc>
        <w:tc>
          <w:tcPr>
            <w:tcW w:type="dxa" w:w="2760"/>
            <w:tcMar>
              <w:top w:type="dxa" w:w="70"/>
              <w:left w:type="dxa" w:w="110"/>
              <w:bottom w:type="dxa" w:w="70"/>
              <w:right w:type="dxa" w:w="110"/>
            </w:tcMar>
          </w:tcPr>
          <w:p>
            <w:pPr>
              <w:spacing w:after="0"/>
            </w:pPr>
          </w:p>
        </w:tc>
        <w:tc>
          <w:tcPr>
            <w:tcW w:type="dxa" w:w="1600"/>
            <w:tcMar>
              <w:top w:type="dxa" w:w="70"/>
              <w:left w:type="dxa" w:w="110"/>
              <w:bottom w:type="dxa" w:w="70"/>
              <w:right w:type="dxa" w:w="110"/>
            </w:tcMar>
          </w:tcPr>
          <w:p>
            <w:pPr>
              <w:spacing w:after="0"/>
            </w:pPr>
          </w:p>
        </w:tc>
      </w:tr>
    </w:tbl>
    <w:p>
      <w:pPr>
        <w:spacing w:after="120"/>
      </w:pPr>
    </w:p>
    <w:p>
      <w:pPr>
        <w:keepNext/>
        <w:spacing w:after="120"/>
      </w:pPr>
      <w:r>
        <w:rPr>
          <w:rFonts w:ascii="Calibri" w:cs="Calibri" w:eastAsia="Calibri" w:hAnsi="Calibri"/>
          <w:b/>
          <w:bCs/>
          <w:color w:val="1A1A1A"/>
          <w:sz w:val="22"/>
          <w:szCs w:val="22"/>
        </w:rPr>
        <w:t xml:space="preserve">Acquirer disposition</w:t>
      </w:r>
    </w:p>
    <w:p>
      <w:pPr>
        <w:spacing w:after="120"/>
      </w:pPr>
      <w:r>
        <w:rPr>
          <w:rFonts w:ascii="Calibri" w:cs="Calibri" w:eastAsia="Calibri" w:hAnsi="Calibri"/>
          <w:color w:val="1A1A1A"/>
          <w:sz w:val="21"/>
          <w:szCs w:val="21"/>
        </w:rPr>
        <w:t xml:space="preserve">Approval ☐      Contingent approval ☐ (pending completion of action items)      Disapproval ☐</w:t>
      </w:r>
    </w:p>
    <w:p>
      <w:pPr>
        <w:spacing w:after="120"/>
      </w:pPr>
    </w:p>
    <w:p>
      <w:pPr>
        <w:spacing w:after="90"/>
      </w:pPr>
      <w:r>
        <w:rPr>
          <w:rFonts w:ascii="Calibri" w:cs="Calibri" w:eastAsia="Calibri" w:hAnsi="Calibri"/>
          <w:b/>
          <w:bCs/>
          <w:color w:val="1A1A1A"/>
          <w:sz w:val="21"/>
          <w:szCs w:val="21"/>
        </w:rPr>
        <w:t xml:space="preserve">Functional baseline certified (functional audit):  </w:t>
      </w:r>
      <w:r>
        <w:rPr>
          <w:rFonts w:ascii="Calibri" w:cs="Calibri" w:eastAsia="Calibri" w:hAnsi="Calibri"/>
          <w:color w:val="5A5A5A"/>
          <w:sz w:val="21"/>
          <w:szCs w:val="21"/>
        </w:rPr>
        <w:t xml:space="preserve">Yes ☐   Date: ____________   Not yet ☐</w:t>
      </w:r>
    </w:p>
    <w:p>
      <w:pPr>
        <w:spacing w:after="120"/>
      </w:pPr>
      <w:r>
        <w:rPr>
          <w:rFonts w:ascii="Calibri" w:cs="Calibri" w:eastAsia="Calibri" w:hAnsi="Calibri"/>
          <w:b/>
          <w:bCs/>
          <w:color w:val="1A1A1A"/>
          <w:sz w:val="21"/>
          <w:szCs w:val="21"/>
        </w:rPr>
        <w:t xml:space="preserve">Product baseline established (physical audit):  </w:t>
      </w:r>
      <w:r>
        <w:rPr>
          <w:rFonts w:ascii="Calibri" w:cs="Calibri" w:eastAsia="Calibri" w:hAnsi="Calibri"/>
          <w:color w:val="5A5A5A"/>
          <w:sz w:val="21"/>
          <w:szCs w:val="21"/>
        </w:rPr>
        <w:t xml:space="preserve">Yes ☐   Date: ____________   Not yet ☐</w:t>
      </w:r>
    </w:p>
    <w:p>
      <w:pPr>
        <w:spacing w:after="120"/>
      </w:pPr>
    </w:p>
    <w:p>
      <w:pPr>
        <w:keepNext/>
        <w:spacing w:after="120"/>
      </w:pPr>
      <w:r>
        <w:rPr>
          <w:rFonts w:ascii="Calibri" w:cs="Calibri" w:eastAsia="Calibri" w:hAnsi="Calibri"/>
          <w:b/>
          <w:bCs/>
          <w:color w:val="1A1A1A"/>
          <w:sz w:val="22"/>
          <w:szCs w:val="22"/>
        </w:rPr>
        <w:t xml:space="preserve">Open action items at certification</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400"/>
        <w:gridCol w:w="4560"/>
        <w:gridCol w:w="1900"/>
        <w:gridCol w:w="1500"/>
      </w:tblGrid>
      <w:tr>
        <w:trPr>
          <w:tblHeader/>
        </w:trPr>
        <w:tc>
          <w:tcPr>
            <w:tcW w:type="dxa" w:w="14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Finding no.</w:t>
            </w:r>
          </w:p>
        </w:tc>
        <w:tc>
          <w:tcPr>
            <w:tcW w:type="dxa" w:w="456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Issue</w:t>
            </w:r>
          </w:p>
        </w:tc>
        <w:tc>
          <w:tcPr>
            <w:tcW w:type="dxa" w:w="19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Responsible</w:t>
            </w:r>
          </w:p>
        </w:tc>
        <w:tc>
          <w:tcPr>
            <w:tcW w:type="dxa" w:w="1500"/>
            <w:shd w:fill="1F3864" w:val="clear"/>
            <w:tcMar>
              <w:top w:type="dxa" w:w="70"/>
              <w:left w:type="dxa" w:w="110"/>
              <w:bottom w:type="dxa" w:w="70"/>
              <w:right w:type="dxa" w:w="110"/>
            </w:tcMar>
          </w:tcPr>
          <w:p>
            <w:pPr>
              <w:spacing w:after="0"/>
            </w:pPr>
            <w:r>
              <w:rPr>
                <w:rFonts w:ascii="Calibri" w:cs="Calibri" w:eastAsia="Calibri" w:hAnsi="Calibri"/>
                <w:color w:val="FFFFFF"/>
                <w:sz w:val="19"/>
                <w:szCs w:val="19"/>
              </w:rPr>
              <w:t xml:space="preserve">Suspense</w:t>
            </w:r>
          </w:p>
        </w:tc>
      </w:tr>
      <w:tr>
        <w:tc>
          <w:tcPr>
            <w:tcW w:type="dxa" w:w="1400"/>
            <w:tcMar>
              <w:top w:type="dxa" w:w="70"/>
              <w:left w:type="dxa" w:w="110"/>
              <w:bottom w:type="dxa" w:w="70"/>
              <w:right w:type="dxa" w:w="110"/>
            </w:tcMar>
          </w:tcPr>
          <w:p>
            <w:pPr>
              <w:spacing w:after="0"/>
            </w:pPr>
          </w:p>
        </w:tc>
        <w:tc>
          <w:tcPr>
            <w:tcW w:type="dxa" w:w="456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r>
      <w:tr>
        <w:tc>
          <w:tcPr>
            <w:tcW w:type="dxa" w:w="1400"/>
            <w:tcMar>
              <w:top w:type="dxa" w:w="70"/>
              <w:left w:type="dxa" w:w="110"/>
              <w:bottom w:type="dxa" w:w="70"/>
              <w:right w:type="dxa" w:w="110"/>
            </w:tcMar>
          </w:tcPr>
          <w:p>
            <w:pPr>
              <w:spacing w:after="0"/>
            </w:pPr>
          </w:p>
        </w:tc>
        <w:tc>
          <w:tcPr>
            <w:tcW w:type="dxa" w:w="456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r>
      <w:tr>
        <w:tc>
          <w:tcPr>
            <w:tcW w:type="dxa" w:w="1400"/>
            <w:tcMar>
              <w:top w:type="dxa" w:w="70"/>
              <w:left w:type="dxa" w:w="110"/>
              <w:bottom w:type="dxa" w:w="70"/>
              <w:right w:type="dxa" w:w="110"/>
            </w:tcMar>
          </w:tcPr>
          <w:p>
            <w:pPr>
              <w:spacing w:after="0"/>
            </w:pPr>
          </w:p>
        </w:tc>
        <w:tc>
          <w:tcPr>
            <w:tcW w:type="dxa" w:w="456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r>
      <w:tr>
        <w:tc>
          <w:tcPr>
            <w:tcW w:type="dxa" w:w="1400"/>
            <w:tcMar>
              <w:top w:type="dxa" w:w="70"/>
              <w:left w:type="dxa" w:w="110"/>
              <w:bottom w:type="dxa" w:w="70"/>
              <w:right w:type="dxa" w:w="110"/>
            </w:tcMar>
          </w:tcPr>
          <w:p>
            <w:pPr>
              <w:spacing w:after="0"/>
            </w:pPr>
          </w:p>
        </w:tc>
        <w:tc>
          <w:tcPr>
            <w:tcW w:type="dxa" w:w="4560"/>
            <w:tcMar>
              <w:top w:type="dxa" w:w="70"/>
              <w:left w:type="dxa" w:w="110"/>
              <w:bottom w:type="dxa" w:w="70"/>
              <w:right w:type="dxa" w:w="110"/>
            </w:tcMar>
          </w:tcPr>
          <w:p>
            <w:pPr>
              <w:spacing w:after="0"/>
            </w:pPr>
          </w:p>
        </w:tc>
        <w:tc>
          <w:tcPr>
            <w:tcW w:type="dxa" w:w="1900"/>
            <w:tcMar>
              <w:top w:type="dxa" w:w="70"/>
              <w:left w:type="dxa" w:w="110"/>
              <w:bottom w:type="dxa" w:w="70"/>
              <w:right w:type="dxa" w:w="110"/>
            </w:tcMar>
          </w:tcPr>
          <w:p>
            <w:pPr>
              <w:spacing w:after="0"/>
            </w:pPr>
          </w:p>
        </w:tc>
        <w:tc>
          <w:tcPr>
            <w:tcW w:type="dxa" w:w="1500"/>
            <w:tcMar>
              <w:top w:type="dxa" w:w="70"/>
              <w:left w:type="dxa" w:w="110"/>
              <w:bottom w:type="dxa" w:w="70"/>
              <w:right w:type="dxa" w:w="110"/>
            </w:tcMar>
          </w:tcPr>
          <w:p>
            <w:pPr>
              <w:spacing w:after="0"/>
            </w:pP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7"/>
        <w:szCs w:val="17"/>
      </w:rPr>
      <w:t xml:space="preserve">[Plan number] Rev [  ]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7"/>
        <w:szCs w:val="17"/>
      </w:rPr>
      <w:t xml:space="preserve">Configuration Audit Plan  —  [PROGRAM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2026-08-21T01:49:50.346Z</dcterms:created>
  <dcterms:modified xsi:type="dcterms:W3CDTF">2026-08-21T01:49:50.346Z</dcterms:modified>
</cp:coreProperties>
</file>

<file path=docProps/custom.xml><?xml version="1.0" encoding="utf-8"?>
<Properties xmlns="http://schemas.openxmlformats.org/officeDocument/2006/custom-properties" xmlns:vt="http://schemas.openxmlformats.org/officeDocument/2006/docPropsVTypes"/>
</file>