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CONFIGURATION MANAGEMENT DECISION GUIDE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Sub-Supplier CM Requirements Flowdown by Work Type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Companion to [XXX-CM-PROC-003] §5.8 and the Sub-Supplier CM Flowdown Matrix workbook · In alignment with EIA-649-1A and GEIA-HB-649A</w:t>
      </w:r>
    </w:p>
    <w:p>
      <w:pPr>
        <w:spacing w:after="2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Document No.: [XXX-CM-GUIDE-002]     Revision: [Initial]     Date: [Date]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1. Purpose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guide instructs CM on determining which CM requirements and supplier data requirements (SDRLs) flow down to a sub-supplier, based on the type of work performed. Flowdown that ignores work type fails in one of two directions: over-imposition (a full CM program on a build-to-print machine shop) or under-imposition (no change control on a design agent). The controlling variables are who holds design authority and who performs the build, with item type (hardware, software, COTS, service) as a modifier.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work-type classification recorded per SSOW is the documented tailoring rationale required by Floor ID F40 (require sub-suppliers to comply with or suitably tailor the same CM requirements imposed on the Supplier) and [XXX-CM-PROC-003] §5.8. The companion workbook (Sub-Supplier CM Flowdown Matrix) holds the operative matrix, SDRL definitions, and the SSOW classification log; this guide explains the reasoning the workbook encodes.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2. Work Type Taxonomy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Classify every procurement into one or more of the following. Mixed engagements combine types (e.g., WT2+WT6 for a supplier developing a source-controlled box with embedded software); apply the most demanding matrix cell per requirement row.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3600"/>
        <w:gridCol w:w="206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Work Type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0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Authority / Build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WT1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Build-to-Print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Company designs; supplier manufactures to the company-released TDP.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Company / Supplier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WT2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Source-Controlled Design + Build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Supplier develops and builds under a company source control drawing; company controls F3I and qualification; supplier is design activity for item internals.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Split / Supplier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WT3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Design Agent (TDP deliverable)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Supplier develops the design to company SCD/spec; company builds. The deliverable is the TDP itself.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Supplier develops / Company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WT4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CI Development-to-Spec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Supplier develops a designated CI to company performance/detail spec and holds design authority at their level; heaviest flowdown — comply-or-tailor EIA-649-1A.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Supplier / Supplier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WT5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COTS / Catalog Item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 holds design; company controls via vendor item control drawing; flowdown is minimal and mostly notification.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 / Vendor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WT6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Software / Firmware Development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CSCI or embedded-code development; adds software CM plan, developmental configuration, library control, version identification, SVD/VDD, build reproducibility. Usually combined with WT2 or WT4.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Supplier / Supplier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WT7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Repair / Overhaul (MRO)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Supplier maintains fielded configuration: as-maintained records, retrofit incorporation (F33), unit-identifier and life retention through PIN changes.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Company / Supplier (repair)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WT8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Special Process Services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Process-only services (heat treat, coating, NDI); no item design; flowdown is process-spec revision control and process-change notification (frozen planning).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Company (process spec) / N/A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3. Flowdown Principles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3.1 Requirements Follow the Work, Not the Supplier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matrix keys each CM requirement to work type: change and variance control scale with design authority; identification, traceability, reconciliation, and FAI scale with who builds; release-system discipline scales with who produces documentation. A supplier performing two work types receives the union of both columns.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3.2 Audit Obligations Follow Designation, Not Work Type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FCA/PCA is conducted for designated CIs per [XXX-CM-PROC-002] §5.2.1 and Appendix C — designation is contractual or risk-based, never automatic. Work type therefore determines the supplier’s role if the item is or becomes designated, not whether audit obligations exist: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WT2/WT4 conduct the CI-level FCA/PCA at their facility — ceremony may be tailored (internal co-chair/certification), substance may not: requirements-to-test traceability matrix (F44), non-compliance documentation (F43, F31), PPSL and installed-parts verification (F30), and FCA/PCA-unit difference identification (F34) are performed in full.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WT6 conducts the CSCI FCA and the witnessed build/installation verification against the SVD at PCA.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WT1 supports the PCA on their build: facility access, as-built records, PPSL evidence, manufacturing instructions.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WT3 provides data support only (TDP, traceability matrix inputs). WT5/WT7/WT8: generally not applicable.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Designation can arrive or change after award: the Appendix C assessment re-runs on triggers, and awarding to a new sub-supplier is itself trigger C3/C4 — placing the subcontract can cause the designation that imposes audit obligations on it. Every SSOW where designation is possible therefore carries a standing conditional audit clause (“if the item is or becomes designated per [XXX-CM-PROC-002] §5.2.1, supplier shall perform/support the audit per its work-type role, deliverables per SDRL S-10 through S-12”) with the associated SDRLs cited as triggered deliverables. Deciding audit applicability once at RFP time converts every post-award designation into a contract-modification negotiation from a position of weakness.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3.3 The At-Scale Machinery Applies Regardless of Designation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Configuration verification is continuous and embedded; audits are discrete validations of it. “No audit designation” never means “no verification flowdown”: the reconciliation, CSA, traceability, and FAI rows apply by work type to every supplier that builds. Two reconciliation flowdowns are distinct and both required for builders: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Reconciliation process documentation (SDRL S-02): capability evidence — how the supplier reconciles as-built to released design at scale. Reviewed with the CM plan; input to the §5.8 effectiveness determination and to Appendix C item C7 when assessing supplier-built CIs.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Reconciliation report (SDRL S-08): the recurring per-delivery/per-lot output — as-built vs. released design revision, open deltas with disposition, incorporated changes with effectivity — expressed in Part Traceability Record identifiers. For WT7, the as-maintained equivalent including retrofit incorporation records (F33).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3.4 Part Traceability Record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Defined once (SDRL S-06) and referenced wherever identifiers matter: serial numbers; lot/batch numbers; life-limited part designation with assigned life limits and life consumed at delivery; safety-critical designation; special handling designations; all traceable to next higher assembly (F39). Unit identifiers and consumed life survive PIN changes and overhaul. Authorship differs by work type: WT1 receives designations in the TDP and marks, records, and reports against them; WT2/WT4/WT6 propose designations during design development for company approval — state this in the SSOW or a WT2 supplier will wait for the company to provide what the company is waiting for the supplier to propose. WT5 passes through vendor life/safety data where the catalog item carries them.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3.5 Floor Items Do Not Dilute at Lower Tiers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Matrix rows tagged with Floor IDs are CM floor requirements. On safety-significant product lines, a proposal to tailor or omit a floor row for a supplier in scope is dispositioned through the CM floor gate ([XXX-CM-PROC-003] §5.1.1) and recorded in the program CM Floor Compliance Matrix — a floor item may not be silently dropped at a lower tier (F40). Recursive flowdown applies wherever the supplier has sub-tiers of its own.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4. Procedure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Classify: at SSOW development, CM classifies the procurement by work type(s) and records the classification on the SSOW Classification sheet of the companion workbook. The classification is the F40 tailoring rationale.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Derive: read the matrix column(s) for the selected work type(s); for mixed types apply the most demanding cell per row. Resolve every C (conditional) cell against its stated condition, including the audit rows against current designation status.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Cite: incorporate the required/tailored requirements and their SDRLs into the SSOW; include the standing conditional audit clause wherever designation is possible; document any tailoring of floor rows via the §5.1.1 gate.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Sign: CM reviews and signs the SSOW prior to release (the CM SSOW review metric counts this signature; define whether it attests review-occurred or content-adequacy per the metric definition).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Maintain: re-run the classification on scope change, work-type change, or audit-designation change (including designations triggered by the award itself); update the SSOW and the classification log.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5. References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EIA-649-1A §3.(2), §3.(4) — supply chain CM flowdown and audit support (F40, F41)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[XXX-CM-PROC-003] Configuration Management Planning and Management, §5.8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[XXX-CM-PROC-002] Configuration Audit Process, §5.2.1 and Appendix C (audit designation)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[XXX-CM-PROC-001] CI Identification Process, §5.5 (interfaces), §6 (records)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Sub-Supplier CM Flowdown Matrix workbook (operative matrix, SDRL definitions, SSOW classification log)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CM Floor Register and CM Floor Operating Model; SM-0001 Safety Management System Standard</w:t>
      </w:r>
    </w:p>
    <w:p>
      <w:pPr>
        <w:spacing w:after="120" w:line="276"/>
        <w:rPr>
          <w:i/>
          <w:iCs/>
          <w:sz w:val="20"/>
          <w:szCs w:val="20"/>
        </w:rPr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This guide is a decision aid; contract requirements govern where they differ. Final audit designation authority for Acquirer-controlled CIs rests with the Acquirer.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Sub-Supplier CM Flowdown Guide — [XXX-CM-GUIDE-002] — 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2026-07-18T03:42:08.610Z</dcterms:created>
  <dcterms:modified xsi:type="dcterms:W3CDTF">2026-07-18T03:42:08.624Z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