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3864"/>
          <w:sz w:val="24"/>
          <w:szCs w:val="24"/>
        </w:rPr>
        <w:t xml:space="preserve">SELF-PACED TRAINING COURSE</w:t>
      </w:r>
    </w:p>
    <w:p>
      <w:pPr>
        <w:spacing w:after="200"/>
        <w:jc w:val="center"/>
      </w:pPr>
      <w:r>
        <w:rPr>
          <w:rFonts w:ascii="Calibri" w:cs="Calibri" w:eastAsia="Calibri" w:hAnsi="Calibri"/>
          <w:b/>
          <w:bCs/>
          <w:sz w:val="52"/>
          <w:szCs w:val="52"/>
        </w:rPr>
        <w:t xml:space="preserve">Configuration Item Identification</w:t>
      </w:r>
    </w:p>
    <w:p>
      <w:pPr>
        <w:spacing w:after="1000"/>
        <w:jc w:val="center"/>
      </w:pPr>
      <w:r>
        <w:rPr>
          <w:rFonts w:ascii="Calibri" w:cs="Calibri" w:eastAsia="Calibri" w:hAnsi="Calibri"/>
          <w:i/>
          <w:iCs/>
          <w:sz w:val="26"/>
          <w:szCs w:val="26"/>
        </w:rPr>
        <w:t xml:space="preserve">Judgment-based training for practitioners of the configuration identification process</w:t>
      </w:r>
    </w:p>
    <w:p>
      <w:pPr>
        <w:spacing w:after="100"/>
        <w:jc w:val="center"/>
      </w:pPr>
      <w:r>
        <w:rPr>
          <w:rFonts w:ascii="Calibri" w:cs="Calibri" w:eastAsia="Calibri" w:hAnsi="Calibri"/>
          <w:sz w:val="22"/>
          <w:szCs w:val="22"/>
        </w:rPr>
        <w:t xml:space="preserve">Course No.: [insert]     Revision: [Initial]     Date: [Date]</w:t>
      </w:r>
    </w:p>
    <w:p>
      <w:pPr>
        <w:spacing w:after="100"/>
        <w:jc w:val="center"/>
      </w:pPr>
      <w:r>
        <w:rPr>
          <w:rFonts w:ascii="Calibri" w:cs="Calibri" w:eastAsia="Calibri" w:hAnsi="Calibri"/>
          <w:sz w:val="22"/>
          <w:szCs w:val="22"/>
        </w:rPr>
        <w:t xml:space="preserve">Estimated seat time: 6–8 hours (full path), chunked by module</w:t>
      </w:r>
    </w:p>
    <w:p>
      <w:r>
        <w:br w:type="page"/>
      </w:r>
    </w:p>
    <w:p>
      <w:pPr>
        <w:pStyle w:val="Heading1"/>
        <w:spacing w:after="160" w:before="320"/>
      </w:pPr>
      <w:r>
        <w:rPr>
          <w:rFonts w:ascii="Calibri" w:cs="Calibri" w:eastAsia="Calibri" w:hAnsi="Calibri"/>
        </w:rPr>
        <w:t xml:space="preserve">How to Use This Course</w:t>
      </w:r>
    </w:p>
    <w:p>
      <w:pPr>
        <w:spacing w:after="120" w:line="276"/>
      </w:pPr>
      <w:r>
        <w:rPr>
          <w:rFonts w:ascii="Calibri" w:cs="Calibri" w:eastAsia="Calibri" w:hAnsi="Calibri"/>
          <w:sz w:val="22"/>
          <w:szCs w:val="22"/>
        </w:rPr>
        <w:t xml:space="preserve">This course teaches the judgment behind configuration item (CI) identification, not recitation of process steps. Each module follows the same pattern: a short concept section, a worked example, an exercise, and an immediate answer key with full rationale. The rationale is the teaching — do not skip it, even when your answer matched.</w:t>
      </w:r>
    </w:p>
    <w:p>
      <w:pPr>
        <w:spacing w:after="120" w:line="276"/>
      </w:pPr>
      <w:r>
        <w:rPr>
          <w:rFonts w:ascii="Calibri" w:cs="Calibri" w:eastAsia="Calibri" w:hAnsi="Calibri"/>
          <w:sz w:val="22"/>
          <w:szCs w:val="22"/>
        </w:rPr>
        <w:t xml:space="preserve">Work the modules in order; each ends with a self-check that gates progression. Complete a module per sitting if time is short. Two interactive decision tools and two spreadsheet templates are used during the course; obtain them from the location listed on the References page before starting Module 4.</w:t>
      </w:r>
    </w:p>
    <w:p>
      <w:pPr>
        <w:pStyle w:val="Heading2"/>
        <w:spacing w:after="120" w:before="260"/>
      </w:pPr>
      <w:r>
        <w:rPr>
          <w:rFonts w:ascii="Calibri" w:cs="Calibri" w:eastAsia="Calibri" w:hAnsi="Calibri"/>
        </w:rPr>
        <w:t xml:space="preserve">Paths by Role</w:t>
      </w:r>
    </w:p>
    <w:p>
      <w:pPr>
        <w:pStyle w:val="ListParagraph"/>
        <w:numPr>
          <w:ilvl w:val="0"/>
          <w:numId w:val="2"/>
        </w:numPr>
        <w:spacing w:after="80" w:line="276"/>
      </w:pPr>
      <w:r>
        <w:rPr>
          <w:rFonts w:ascii="Calibri" w:cs="Calibri" w:eastAsia="Calibri" w:hAnsi="Calibri"/>
          <w:sz w:val="22"/>
          <w:szCs w:val="22"/>
        </w:rPr>
        <w:t xml:space="preserve">CM practitioners: all modules including the capstone. This is the full path.</w:t>
      </w:r>
    </w:p>
    <w:p>
      <w:pPr>
        <w:pStyle w:val="ListParagraph"/>
        <w:numPr>
          <w:ilvl w:val="0"/>
          <w:numId w:val="2"/>
        </w:numPr>
        <w:spacing w:after="80" w:line="276"/>
      </w:pPr>
      <w:r>
        <w:rPr>
          <w:rFonts w:ascii="Calibri" w:cs="Calibri" w:eastAsia="Calibri" w:hAnsi="Calibri"/>
          <w:sz w:val="22"/>
          <w:szCs w:val="22"/>
        </w:rPr>
        <w:t xml:space="preserve">Systems engineering, design engineering, and logistics: Modules 1, 2, 4, 6, and 8 — the modules covering candidate nomination, the selection screen, part-number decisions, interface identification, and re-identification triggers. The capstone is optional but recommended.</w:t>
      </w:r>
    </w:p>
    <w:p>
      <w:pPr>
        <w:pStyle w:val="ListParagraph"/>
        <w:numPr>
          <w:ilvl w:val="0"/>
          <w:numId w:val="2"/>
        </w:numPr>
        <w:spacing w:after="80" w:line="276"/>
      </w:pPr>
      <w:r>
        <w:rPr>
          <w:rFonts w:ascii="Calibri" w:cs="Calibri" w:eastAsia="Calibri" w:hAnsi="Calibri"/>
          <w:sz w:val="22"/>
          <w:szCs w:val="22"/>
        </w:rPr>
        <w:t xml:space="preserve">Program leadership: Modules 1 and 3 only — why CIs exist and how selection level drives cost, change traffic, and audit scope. Approximately one hour.</w:t>
      </w:r>
    </w:p>
    <w:p>
      <w:pPr>
        <w:pStyle w:val="Heading2"/>
        <w:spacing w:after="120" w:before="260"/>
      </w:pPr>
      <w:r>
        <w:rPr>
          <w:rFonts w:ascii="Calibri" w:cs="Calibri" w:eastAsia="Calibri" w:hAnsi="Calibri"/>
        </w:rPr>
        <w:t xml:space="preserve">Ground Rules for Self-Grading</w:t>
      </w:r>
    </w:p>
    <w:p>
      <w:pPr>
        <w:spacing w:after="120" w:line="276"/>
      </w:pPr>
      <w:r>
        <w:rPr>
          <w:rFonts w:ascii="Calibri" w:cs="Calibri" w:eastAsia="Calibri" w:hAnsi="Calibri"/>
          <w:sz w:val="22"/>
          <w:szCs w:val="22"/>
        </w:rPr>
        <w:t xml:space="preserve">Exercises are self-graded against annotated keys. Grade honestly: partial credit is fine, skipping the comparison is not — the annotated key is where the near-miss reasoning lives. The final quiz in Module 9 is written so it can only be answered by having actually produced the capstone artifacts.</w:t>
      </w:r>
    </w:p>
    <w:p>
      <w:r>
        <w:br w:type="page"/>
      </w:r>
    </w:p>
    <w:p>
      <w:pPr>
        <w:pStyle w:val="Heading1"/>
        <w:spacing w:after="160" w:before="320"/>
      </w:pPr>
      <w:r>
        <w:rPr>
          <w:rFonts w:ascii="Calibri" w:cs="Calibri" w:eastAsia="Calibri" w:hAnsi="Calibri"/>
        </w:rPr>
        <w:t xml:space="preserve">References</w:t>
      </w:r>
    </w:p>
    <w:p>
      <w:pPr>
        <w:spacing w:after="120" w:line="276"/>
      </w:pPr>
      <w:r>
        <w:rPr>
          <w:rFonts w:ascii="Calibri" w:cs="Calibri" w:eastAsia="Calibri" w:hAnsi="Calibri"/>
          <w:sz w:val="22"/>
          <w:szCs w:val="22"/>
        </w:rPr>
        <w:t xml:space="preserve">This course uses plain names throughout. The table below maps each plain name to your organization’s document number — complete it once and every reference in the course resolves.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Plain name used in this course</w:t>
            </w:r>
          </w:p>
        </w:tc>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Your document number</w:t>
            </w:r>
          </w:p>
        </w:tc>
        <w:tc>
          <w:tcPr>
            <w:tcW w:type="dxa" w:w="2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Location</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identification process document</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selection criteria checklist (appendix to the process)</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Same-part-number decision guide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Interactive CI selection decision tool (browser-based)</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Interactive same-CI-or-separate decision tool (browser-based)</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index spreadsheet template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Interface register spreadsheet template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Enterprise safety-floor register</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Capstone gold-standard CI index (completed example)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r>
        <w:tc>
          <w:tcPr>
            <w:tcW w:type="dxa" w:w="4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Capstone gold-standard interface register (completed example)</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r>
    </w:tbl>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Module 1 — Why Configuration Items Exist</w:t>
      </w:r>
    </w:p>
    <w:p>
      <w:pPr>
        <w:spacing w:after="120" w:line="276"/>
      </w:pPr>
      <w:r>
        <w:rPr>
          <w:rFonts w:ascii="Calibri" w:cs="Calibri" w:eastAsia="Calibri" w:hAnsi="Calibri"/>
          <w:sz w:val="22"/>
          <w:szCs w:val="22"/>
        </w:rPr>
        <w:t xml:space="preserve">Designating something a CI is not a paperwork event. It buys four specific things: separately stated requirements (a specification of its own), separate verification (its performance is proven against those requirements), separate change addressability (changes are proposed, evaluated, and approved against it by identity), and separate status visibility (its configuration is known at any time).</w:t>
      </w:r>
    </w:p>
    <w:p>
      <w:pPr>
        <w:spacing w:after="120" w:line="276"/>
      </w:pPr>
      <w:r>
        <w:rPr>
          <w:rFonts w:ascii="Calibri" w:cs="Calibri" w:eastAsia="Calibri" w:hAnsi="Calibri"/>
          <w:sz w:val="22"/>
          <w:szCs w:val="22"/>
        </w:rPr>
        <w:t xml:space="preserve">The inverse states the stakes: an item that is not a CI has none of those properties in its own right. It is controlled only inside its parent’s documentation. For most items that is exactly right — over-designation drowns a program in change traffic. But for a safety-critical item, non-designation means the thing whose failure could kill someone is not separately auditable, not separately change-controlled, and invisible in status accounting. That is why the selection criterion covering safety-critical items is on the enterprise safety-floor register: it is a barrier against severe safety events, and it applies on safety-significant product lines regardless of what the contract flows down.</w:t>
      </w:r>
    </w:p>
    <w:p>
      <w:pPr>
        <w:spacing w:after="120" w:line="276"/>
      </w:pPr>
      <w:r>
        <w:rPr>
          <w:rFonts w:ascii="Calibri" w:cs="Calibri" w:eastAsia="Calibri" w:hAnsi="Calibri"/>
          <w:sz w:val="22"/>
          <w:szCs w:val="22"/>
        </w:rPr>
        <w:t xml:space="preserve">Keep that frame for the whole course: every selection decision is a decision about which items get the machinery.</w:t>
      </w:r>
    </w:p>
    <w:p>
      <w:pPr>
        <w:shd w:fill="EDF0F7" w:val="clear"/>
        <w:spacing w:after="60" w:before="160"/>
      </w:pPr>
      <w:r>
        <w:rPr>
          <w:rFonts w:ascii="Calibri" w:cs="Calibri" w:eastAsia="Calibri" w:hAnsi="Calibri"/>
          <w:b/>
          <w:bCs/>
          <w:color w:val="1F3864"/>
          <w:sz w:val="22"/>
          <w:szCs w:val="22"/>
        </w:rPr>
        <w:t xml:space="preserve">Self-check (answer below)</w:t>
      </w:r>
    </w:p>
    <w:p>
      <w:pPr>
        <w:shd w:fill="EDF0F7" w:val="clear"/>
        <w:spacing w:after="160" w:line="276"/>
      </w:pPr>
      <w:r>
        <w:rPr>
          <w:rFonts w:ascii="Calibri" w:cs="Calibri" w:eastAsia="Calibri" w:hAnsi="Calibri"/>
          <w:sz w:val="22"/>
          <w:szCs w:val="22"/>
        </w:rPr>
        <w:t xml:space="preserve">1. Name the four things CI designation buys. 2. What is the specific safety consequence of failing to designate a safety-critical item?</w:t>
      </w:r>
    </w:p>
    <w:p>
      <w:pPr>
        <w:shd w:fill="EDF0F7" w:val="clear"/>
        <w:spacing w:after="60" w:before="160"/>
      </w:pPr>
      <w:r>
        <w:rPr>
          <w:rFonts w:ascii="Calibri" w:cs="Calibri" w:eastAsia="Calibri" w:hAnsi="Calibri"/>
          <w:b/>
          <w:bCs/>
          <w:color w:val="1F3864"/>
          <w:sz w:val="22"/>
          <w:szCs w:val="22"/>
        </w:rPr>
        <w:t xml:space="preserve">Answers</w:t>
      </w:r>
    </w:p>
    <w:p>
      <w:pPr>
        <w:shd w:fill="EDF0F7" w:val="clear"/>
        <w:spacing w:after="160" w:line="276"/>
      </w:pPr>
      <w:r>
        <w:rPr>
          <w:rFonts w:ascii="Calibri" w:cs="Calibri" w:eastAsia="Calibri" w:hAnsi="Calibri"/>
          <w:sz w:val="22"/>
          <w:szCs w:val="22"/>
        </w:rPr>
        <w:t xml:space="preserve">1. Separate requirements, separate verification, separate change addressability, separate status visibility. 2. The item escapes the machinery: no independent audit of its verification, no formal change control on modifications to it, no visibility of its configuration in status accounting — the barriers that catch configuration-driven safety escapes do not attach to it.</w:t>
      </w:r>
    </w:p>
    <w:p>
      <w:r>
        <w:br w:type="page"/>
      </w:r>
    </w:p>
    <w:p>
      <w:pPr>
        <w:pStyle w:val="Heading1"/>
        <w:spacing w:after="160" w:before="320"/>
      </w:pPr>
      <w:r>
        <w:rPr>
          <w:rFonts w:ascii="Calibri" w:cs="Calibri" w:eastAsia="Calibri" w:hAnsi="Calibri"/>
        </w:rPr>
        <w:t xml:space="preserve">Module 2 — The Selection Screen</w:t>
      </w:r>
    </w:p>
    <w:p>
      <w:pPr>
        <w:pStyle w:val="Heading2"/>
        <w:spacing w:after="120" w:before="260"/>
      </w:pPr>
      <w:r>
        <w:rPr>
          <w:rFonts w:ascii="Calibri" w:cs="Calibri" w:eastAsia="Calibri" w:hAnsi="Calibri"/>
        </w:rPr>
        <w:t xml:space="preserve">Concept</w:t>
      </w:r>
    </w:p>
    <w:p>
      <w:pPr>
        <w:spacing w:after="120" w:line="276"/>
      </w:pPr>
      <w:r>
        <w:rPr>
          <w:rFonts w:ascii="Calibri" w:cs="Calibri" w:eastAsia="Calibri" w:hAnsi="Calibri"/>
          <w:sz w:val="22"/>
          <w:szCs w:val="22"/>
        </w:rPr>
        <w:t xml:space="preserve">Selection is a two-step screen. Step one is the end-use function gate: does the item satisfy a system end-use function? Raw materials, bulk commodities, and purely structural elements with no defined functional role fail the gate and are controlled within their parent’s documentation. Step two applies the selection criteria; meeting or impacting one or more designates the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Criterion</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Description</w:t>
            </w:r>
          </w:p>
        </w:tc>
      </w:tr>
      <w:tr>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Critical to the functioning of the system.</w:t>
            </w:r>
          </w:p>
        </w:tc>
      </w:tr>
      <w:tr>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Failure might result in serious injury, loss of life, or loss of primary system capability. (Safety-floor item: on safety-significant product lines this criterion is applied regardless of contract flow-down.)</w:t>
            </w:r>
          </w:p>
        </w:tc>
      </w:tr>
      <w:tr>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Technology is complex, not well known, and critical to acquisition, operational, or supportability goals.</w:t>
            </w:r>
          </w:p>
        </w:tc>
      </w:tr>
      <w:tr>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Under control as designated by the customer.</w:t>
            </w:r>
          </w:p>
        </w:tc>
      </w:tr>
      <w:tr>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Requires separate type designation, versions, or nomenclatures.</w:t>
            </w:r>
          </w:p>
        </w:tc>
      </w:tr>
      <w:tr>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Critical or high risk; failure would have significant financial impact.</w:t>
            </w:r>
          </w:p>
        </w:tc>
      </w:tr>
      <w:tr>
        <w:tc>
          <w:tcPr>
            <w:tcW w:type="dxa" w:w="1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w:t>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Requires one or more logistics elements (provisioning lists, test equipment, technical manuals, maintenance procedures).</w:t>
            </w:r>
          </w:p>
        </w:tc>
      </w:tr>
    </w:tbl>
    <w:p>
      <w:pPr>
        <w:spacing w:after="120" w:line="276"/>
      </w:pPr>
      <w:r>
        <w:rPr>
          <w:rFonts w:ascii="Calibri" w:cs="Calibri" w:eastAsia="Calibri" w:hAnsi="Calibri"/>
          <w:sz w:val="22"/>
          <w:szCs w:val="22"/>
        </w:rPr>
        <w:t xml:space="preserve">Software is designated as a CI (a computer software configuration item) essentially always. Every candidate — designated or not — gets a documented rationale on the selection criteria checklist. If a safety-critical item is proposed for non-designation, the rationale requires system safety organization concurrence; expect that concurrence to be rare.</w:t>
      </w:r>
    </w:p>
    <w:p>
      <w:pPr>
        <w:pStyle w:val="Heading2"/>
        <w:spacing w:after="120" w:before="260"/>
      </w:pPr>
      <w:r>
        <w:rPr>
          <w:rFonts w:ascii="Calibri" w:cs="Calibri" w:eastAsia="Calibri" w:hAnsi="Calibri"/>
        </w:rPr>
        <w:t xml:space="preserve">Worked Example</w:t>
      </w:r>
    </w:p>
    <w:p>
      <w:pPr>
        <w:spacing w:after="120" w:line="276"/>
      </w:pPr>
      <w:r>
        <w:rPr>
          <w:rFonts w:ascii="Calibri" w:cs="Calibri" w:eastAsia="Calibri" w:hAnsi="Calibri"/>
          <w:sz w:val="22"/>
          <w:szCs w:val="22"/>
        </w:rPr>
        <w:t xml:space="preserve">Candidate: main landing gear actuator on a crewed aircraft. Gate: passes — it performs the gear extension/retraction function. Criteria: (a) yes, gear function is required for safe landing; (b) yes, failure modes include failure to extend, a serious-injury outcome; (g) yes, it will carry provisioning and maintenance procedures. Verdict: designate. Note the discipline in the write-up: we name which criteria fired and why, and we do not pad the rationale with criteria that did not fire — (c) does not apply because hydraulic actuation is mature, well-understood technology. Restraint in the rationale is what makes the record auditable.</w:t>
      </w:r>
    </w:p>
    <w:p>
      <w:pPr>
        <w:pStyle w:val="Heading2"/>
        <w:spacing w:after="120" w:before="260"/>
      </w:pPr>
      <w:r>
        <w:rPr>
          <w:rFonts w:ascii="Calibri" w:cs="Calibri" w:eastAsia="Calibri" w:hAnsi="Calibri"/>
        </w:rPr>
        <w:t xml:space="preserve">Case Battery — Selection Screen (Cases 1–6)</w:t>
      </w:r>
    </w:p>
    <w:p>
      <w:pPr>
        <w:spacing w:after="120" w:line="276"/>
      </w:pPr>
      <w:r>
        <w:rPr>
          <w:rFonts w:ascii="Calibri" w:cs="Calibri" w:eastAsia="Calibri" w:hAnsi="Calibri"/>
          <w:sz w:val="22"/>
          <w:szCs w:val="22"/>
        </w:rPr>
        <w:t xml:space="preserve">For each case: run the gate, run the criteria, write your verdict and rationale, then compare to the adjudication. Run each case through the interactive CI selection decision tool as well and reconcile any difference between your manual answer and the tool’s.</w:t>
      </w:r>
    </w:p>
    <w:p>
      <w:pPr>
        <w:pStyle w:val="Heading3"/>
        <w:spacing w:after="100" w:before="200"/>
      </w:pPr>
      <w:r>
        <w:rPr>
          <w:rFonts w:ascii="Calibri" w:cs="Calibri" w:eastAsia="Calibri" w:hAnsi="Calibri"/>
        </w:rPr>
        <w:t xml:space="preserve">Case 1 — Flight Control Computer</w:t>
      </w:r>
    </w:p>
    <w:p>
      <w:pPr>
        <w:spacing w:after="120" w:line="276"/>
      </w:pPr>
      <w:r>
        <w:rPr>
          <w:rFonts w:ascii="Calibri" w:cs="Calibri" w:eastAsia="Calibri" w:hAnsi="Calibri"/>
          <w:sz w:val="22"/>
          <w:szCs w:val="22"/>
        </w:rPr>
        <w:t xml:space="preserve">A digital computer executing the control laws for an unmanned aircraft’s flight surfaces. Loss of the computer means loss of controlled flight.</w:t>
      </w:r>
    </w:p>
    <w:p>
      <w:pPr>
        <w:shd w:fill="EDF0F7" w:val="clear"/>
        <w:spacing w:after="60" w:before="160"/>
      </w:pPr>
      <w:r>
        <w:rPr>
          <w:rFonts w:ascii="Calibri" w:cs="Calibri" w:eastAsia="Calibri" w:hAnsi="Calibri"/>
          <w:b/>
          <w:bCs/>
          <w:color w:val="1F3864"/>
          <w:sz w:val="22"/>
          <w:szCs w:val="22"/>
        </w:rPr>
        <w:t xml:space="preserve">Adjudication</w:t>
      </w:r>
    </w:p>
    <w:p>
      <w:pPr>
        <w:shd w:fill="EDF0F7" w:val="clear"/>
        <w:spacing w:after="160" w:line="276"/>
      </w:pPr>
      <w:r>
        <w:rPr>
          <w:rFonts w:ascii="Calibri" w:cs="Calibri" w:eastAsia="Calibri" w:hAnsi="Calibri"/>
          <w:sz w:val="22"/>
          <w:szCs w:val="22"/>
        </w:rPr>
        <w:t xml:space="preserve">Gate: passes. Criteria: (a) fires — no controlled flight without it; (b) fires — loss of the aircraft over a populated area is a credible serious-injury outcome, and loss of primary capability is certain; (g) fires — it will carry provisioning and manuals. Verdict: designate. This is the easy end of the spectrum; the value of the case is practicing the write-up format: criteria that fired, evidence for each, criteria considered and rejected (none here worth noting).</w:t>
      </w:r>
    </w:p>
    <w:p>
      <w:pPr>
        <w:pStyle w:val="Heading3"/>
        <w:spacing w:after="100" w:before="200"/>
      </w:pPr>
      <w:r>
        <w:rPr>
          <w:rFonts w:ascii="Calibri" w:cs="Calibri" w:eastAsia="Calibri" w:hAnsi="Calibri"/>
        </w:rPr>
        <w:t xml:space="preserve">Case 2 — Interconnect Wiring Harness</w:t>
      </w:r>
    </w:p>
    <w:p>
      <w:pPr>
        <w:spacing w:after="120" w:line="276"/>
      </w:pPr>
      <w:r>
        <w:rPr>
          <w:rFonts w:ascii="Calibri" w:cs="Calibri" w:eastAsia="Calibri" w:hAnsi="Calibri"/>
          <w:sz w:val="22"/>
          <w:szCs w:val="22"/>
        </w:rPr>
        <w:t xml:space="preserve">The harness connecting the flight control computer to the servo actuators. Built to a company drawing; no active components.</w:t>
      </w:r>
    </w:p>
    <w:p>
      <w:pPr>
        <w:shd w:fill="EDF0F7" w:val="clear"/>
        <w:spacing w:after="60" w:before="160"/>
      </w:pPr>
      <w:r>
        <w:rPr>
          <w:rFonts w:ascii="Calibri" w:cs="Calibri" w:eastAsia="Calibri" w:hAnsi="Calibri"/>
          <w:b/>
          <w:bCs/>
          <w:color w:val="1F3864"/>
          <w:sz w:val="22"/>
          <w:szCs w:val="22"/>
        </w:rPr>
        <w:t xml:space="preserve">Adjudication</w:t>
      </w:r>
    </w:p>
    <w:p>
      <w:pPr>
        <w:shd w:fill="EDF0F7" w:val="clear"/>
        <w:spacing w:after="160" w:line="276"/>
      </w:pPr>
      <w:r>
        <w:rPr>
          <w:rFonts w:ascii="Calibri" w:cs="Calibri" w:eastAsia="Calibri" w:hAnsi="Calibri"/>
          <w:sz w:val="22"/>
          <w:szCs w:val="22"/>
        </w:rPr>
        <w:t xml:space="preserve">Gate: passes, but barely — signal and power transmission is an end-use function. Criteria: (a) is the tempting one; the system fails without the harness, but so does it without any structural member — “everything is critical if it’s missing” proves too much. The criterion targets items whose function warrants separate management, and a passive harness with no independent performance requirements, no separate verification program, and no separate logistics footprint does not. No criteria fire. Verdict: do not designate; control the harness within its parent CI’s drawing package. Write the rationale anyway — the documented “not a CI” decision is what makes the screen auditable. Note the counterfactual: if the harness were field-replaceable with its own provisioning line and technical manual coverage, criterion (g) would fire and the verdict flips. Context, not the part type, decides.</w:t>
      </w:r>
    </w:p>
    <w:p>
      <w:pPr>
        <w:pStyle w:val="Heading3"/>
        <w:spacing w:after="100" w:before="200"/>
      </w:pPr>
      <w:r>
        <w:rPr>
          <w:rFonts w:ascii="Calibri" w:cs="Calibri" w:eastAsia="Calibri" w:hAnsi="Calibri"/>
        </w:rPr>
        <w:t xml:space="preserve">Case 3 — Lithium-Ion Battery Pack</w:t>
      </w:r>
    </w:p>
    <w:p>
      <w:pPr>
        <w:spacing w:after="120" w:line="276"/>
      </w:pPr>
      <w:r>
        <w:rPr>
          <w:rFonts w:ascii="Calibri" w:cs="Calibri" w:eastAsia="Calibri" w:hAnsi="Calibri"/>
          <w:sz w:val="22"/>
          <w:szCs w:val="22"/>
        </w:rPr>
        <w:t xml:space="preserve">The main propulsion battery for an electric unmanned aircraft. Certified cell chemistry; pack-level battery management electronics included.</w:t>
      </w:r>
    </w:p>
    <w:p>
      <w:pPr>
        <w:shd w:fill="EDF0F7" w:val="clear"/>
        <w:spacing w:after="60" w:before="160"/>
      </w:pPr>
      <w:r>
        <w:rPr>
          <w:rFonts w:ascii="Calibri" w:cs="Calibri" w:eastAsia="Calibri" w:hAnsi="Calibri"/>
          <w:b/>
          <w:bCs/>
          <w:color w:val="1F3864"/>
          <w:sz w:val="22"/>
          <w:szCs w:val="22"/>
        </w:rPr>
        <w:t xml:space="preserve">Adjudication</w:t>
      </w:r>
    </w:p>
    <w:p>
      <w:pPr>
        <w:shd w:fill="EDF0F7" w:val="clear"/>
        <w:spacing w:after="160" w:line="276"/>
      </w:pPr>
      <w:r>
        <w:rPr>
          <w:rFonts w:ascii="Calibri" w:cs="Calibri" w:eastAsia="Calibri" w:hAnsi="Calibri"/>
          <w:sz w:val="22"/>
          <w:szCs w:val="22"/>
        </w:rPr>
        <w:t xml:space="preserve">Gate: passes. Criteria: (b) fires — thermal runaway is a fire hazard with serious-injury potential on the ground and in the air, and loss of propulsion is loss of primary capability; (a) fires; (g) fires — lifed item with storage, handling, and maintenance requirements. Verdict: designate. Because criterion (b) fired, this item lands on the safety thread: it should also appear in the hazard analysis, and its designation is the kind the safety-floor exists to guarantee. If anyone later proposes de-designating it, system safety concurrence is required — and the training point is that the concurrence requirement exists precisely because schedule pressure will someday propose exactly that.</w:t>
      </w:r>
    </w:p>
    <w:p>
      <w:pPr>
        <w:pStyle w:val="Heading3"/>
        <w:spacing w:after="100" w:before="200"/>
      </w:pPr>
      <w:r>
        <w:rPr>
          <w:rFonts w:ascii="Calibri" w:cs="Calibri" w:eastAsia="Calibri" w:hAnsi="Calibri"/>
        </w:rPr>
        <w:t xml:space="preserve">Case 4 — Commercial GPS Receiver Module</w:t>
      </w:r>
    </w:p>
    <w:p>
      <w:pPr>
        <w:spacing w:after="120" w:line="276"/>
      </w:pPr>
      <w:r>
        <w:rPr>
          <w:rFonts w:ascii="Calibri" w:cs="Calibri" w:eastAsia="Calibri" w:hAnsi="Calibri"/>
          <w:sz w:val="22"/>
          <w:szCs w:val="22"/>
        </w:rPr>
        <w:t xml:space="preserve">A catalog GPS receiver purchased from a commercial vendor, integrated onto the avionics board. The vendor controls the design; you control selection via a vendor item control drawing.</w:t>
      </w:r>
    </w:p>
    <w:p>
      <w:pPr>
        <w:shd w:fill="EDF0F7" w:val="clear"/>
        <w:spacing w:after="60" w:before="160"/>
      </w:pPr>
      <w:r>
        <w:rPr>
          <w:rFonts w:ascii="Calibri" w:cs="Calibri" w:eastAsia="Calibri" w:hAnsi="Calibri"/>
          <w:b/>
          <w:bCs/>
          <w:color w:val="1F3864"/>
          <w:sz w:val="22"/>
          <w:szCs w:val="22"/>
        </w:rPr>
        <w:t xml:space="preserve">Adjudication</w:t>
      </w:r>
    </w:p>
    <w:p>
      <w:pPr>
        <w:shd w:fill="EDF0F7" w:val="clear"/>
        <w:spacing w:after="160" w:line="276"/>
      </w:pPr>
      <w:r>
        <w:rPr>
          <w:rFonts w:ascii="Calibri" w:cs="Calibri" w:eastAsia="Calibri" w:hAnsi="Calibri"/>
          <w:sz w:val="22"/>
          <w:szCs w:val="22"/>
        </w:rPr>
        <w:t xml:space="preserve">Gate: passes. Criteria: (a) fires — navigation is required for the mission and for geofencing. The interesting question is not whether but how: you cannot control the vendor’s design, so designation operates at your level of control — the vendor item control drawing defines the item, and your configuration control covers which vendor part and version is approved, not the vendor’s internals. Verdict: designate, with the control mechanism being the vendor item control drawing and change/discontinuance notification from the vendor. The lesson: commercial items can absolutely be CIs; what changes is the shape of control, not the fact of designation.</w:t>
      </w:r>
    </w:p>
    <w:p>
      <w:pPr>
        <w:pStyle w:val="Heading3"/>
        <w:spacing w:after="100" w:before="200"/>
      </w:pPr>
      <w:r>
        <w:rPr>
          <w:rFonts w:ascii="Calibri" w:cs="Calibri" w:eastAsia="Calibri" w:hAnsi="Calibri"/>
        </w:rPr>
        <w:t xml:space="preserve">Case 5 — Wing Assembly Ground Handling Fixture</w:t>
      </w:r>
    </w:p>
    <w:p>
      <w:pPr>
        <w:spacing w:after="120" w:line="276"/>
      </w:pPr>
      <w:r>
        <w:rPr>
          <w:rFonts w:ascii="Calibri" w:cs="Calibri" w:eastAsia="Calibri" w:hAnsi="Calibri"/>
          <w:sz w:val="22"/>
          <w:szCs w:val="22"/>
        </w:rPr>
        <w:t xml:space="preserve">A fixture used in the factory to hold the wing during assembly. Precision-built, expensive, and its dimensional accuracy affects product quality.</w:t>
      </w:r>
    </w:p>
    <w:p>
      <w:pPr>
        <w:shd w:fill="EDF0F7" w:val="clear"/>
        <w:spacing w:after="60" w:before="160"/>
      </w:pPr>
      <w:r>
        <w:rPr>
          <w:rFonts w:ascii="Calibri" w:cs="Calibri" w:eastAsia="Calibri" w:hAnsi="Calibri"/>
          <w:b/>
          <w:bCs/>
          <w:color w:val="1F3864"/>
          <w:sz w:val="22"/>
          <w:szCs w:val="22"/>
        </w:rPr>
        <w:t xml:space="preserve">Adjudication</w:t>
      </w:r>
    </w:p>
    <w:p>
      <w:pPr>
        <w:shd w:fill="EDF0F7" w:val="clear"/>
        <w:spacing w:after="160" w:line="276"/>
      </w:pPr>
      <w:r>
        <w:rPr>
          <w:rFonts w:ascii="Calibri" w:cs="Calibri" w:eastAsia="Calibri" w:hAnsi="Calibri"/>
          <w:sz w:val="22"/>
          <w:szCs w:val="22"/>
        </w:rPr>
        <w:t xml:space="preserve">Gate: fails — for the air vehicle. The fixture performs no end-use function of the delivered system; it is factory tooling. Verdict: not a CI of the product system. Two refinements keep this from being a trick question. First, “not a CI of this system” is not “uncontrolled”: critical tooling is controlled through manufacturing process control, and a change to it may be a notifiable process change. Second, scope matters: if the contract deliverables included a support equipment segment, the fixture could be a CI of that segment. The gate is always asked against a defined system scope.</w:t>
      </w:r>
    </w:p>
    <w:p>
      <w:pPr>
        <w:pStyle w:val="Heading3"/>
        <w:spacing w:after="100" w:before="200"/>
      </w:pPr>
      <w:r>
        <w:rPr>
          <w:rFonts w:ascii="Calibri" w:cs="Calibri" w:eastAsia="Calibri" w:hAnsi="Calibri"/>
        </w:rPr>
        <w:t xml:space="preserve">Case 6 — Parachute Recovery Subsystem, Proposed for Non-Designation</w:t>
      </w:r>
    </w:p>
    <w:p>
      <w:pPr>
        <w:spacing w:after="120" w:line="276"/>
      </w:pPr>
      <w:r>
        <w:rPr>
          <w:rFonts w:ascii="Calibri" w:cs="Calibri" w:eastAsia="Calibri" w:hAnsi="Calibri"/>
          <w:sz w:val="22"/>
          <w:szCs w:val="22"/>
        </w:rPr>
        <w:t xml:space="preserve">A ballistic parachute recovery subsystem on the unmanned aircraft, required by the safety case for flight over people. An engineering lead proposes managing it inside the airframe CI “to reduce spec count,” noting it is a purchased subsystem with mature technology.</w:t>
      </w:r>
    </w:p>
    <w:p>
      <w:pPr>
        <w:shd w:fill="EDF0F7" w:val="clear"/>
        <w:spacing w:after="60" w:before="160"/>
      </w:pPr>
      <w:r>
        <w:rPr>
          <w:rFonts w:ascii="Calibri" w:cs="Calibri" w:eastAsia="Calibri" w:hAnsi="Calibri"/>
          <w:b/>
          <w:bCs/>
          <w:color w:val="1F3864"/>
          <w:sz w:val="22"/>
          <w:szCs w:val="22"/>
        </w:rPr>
        <w:t xml:space="preserve">Adjudication</w:t>
      </w:r>
    </w:p>
    <w:p>
      <w:pPr>
        <w:shd w:fill="EDF0F7" w:val="clear"/>
        <w:spacing w:after="160" w:line="276"/>
      </w:pPr>
      <w:r>
        <w:rPr>
          <w:rFonts w:ascii="Calibri" w:cs="Calibri" w:eastAsia="Calibri" w:hAnsi="Calibri"/>
          <w:sz w:val="22"/>
          <w:szCs w:val="22"/>
        </w:rPr>
        <w:t xml:space="preserve">Gate: passes. Criteria: (b) fires unambiguously — the subsystem exists as a hazard control; its failure defeats the barrier protecting people on the ground. (g) fires — repack intervals, lifed pyrotechnics, handling requirements. The mature-technology argument correctly defeats (c) but is irrelevant to (b): criterion (b) is about consequence of failure, not novelty. Verdict: designate. The non-designation proposal triggers the concurrence rule — system safety must concur in writing, and on these facts should refuse: an item implementing a hazard control, managed only as lines inside a parent’s drawing package, is invisible to audit and change control at exactly the point the safety case depends on it. This case is the course’s clearest statement of why the safety-floor exists.</w:t>
      </w:r>
    </w:p>
    <w:p>
      <w:pPr>
        <w:shd w:fill="EDF0F7" w:val="clear"/>
        <w:spacing w:after="60" w:before="160"/>
      </w:pPr>
      <w:r>
        <w:rPr>
          <w:rFonts w:ascii="Calibri" w:cs="Calibri" w:eastAsia="Calibri" w:hAnsi="Calibri"/>
          <w:b/>
          <w:bCs/>
          <w:color w:val="1F3864"/>
          <w:sz w:val="22"/>
          <w:szCs w:val="22"/>
        </w:rPr>
        <w:t xml:space="preserve">Module 2 self-check</w:t>
      </w:r>
    </w:p>
    <w:p>
      <w:pPr>
        <w:shd w:fill="EDF0F7" w:val="clear"/>
        <w:spacing w:after="160" w:line="276"/>
      </w:pPr>
      <w:r>
        <w:rPr>
          <w:rFonts w:ascii="Calibri" w:cs="Calibri" w:eastAsia="Calibri" w:hAnsi="Calibri"/>
          <w:sz w:val="22"/>
          <w:szCs w:val="22"/>
        </w:rPr>
        <w:t xml:space="preserve">Before continuing: for Cases 2 and 5, write one sentence each stating what WOULD have to change for the verdict to flip. Compare: Case 2 flips if the harness becomes a field-replaceable spare with its own logistics footprint (criterion g). Case 5 flips if the contract scope includes a support equipment segment of which the fixture is a deliverable member.</w:t>
      </w:r>
    </w:p>
    <w:p>
      <w:r>
        <w:br w:type="page"/>
      </w:r>
    </w:p>
    <w:p>
      <w:pPr>
        <w:pStyle w:val="Heading1"/>
        <w:spacing w:after="160" w:before="320"/>
      </w:pPr>
      <w:r>
        <w:rPr>
          <w:rFonts w:ascii="Calibri" w:cs="Calibri" w:eastAsia="Calibri" w:hAnsi="Calibri"/>
        </w:rPr>
        <w:t xml:space="preserve">Module 3 — Level of Selection</w:t>
      </w:r>
    </w:p>
    <w:p>
      <w:pPr>
        <w:pStyle w:val="Heading2"/>
        <w:spacing w:after="120" w:before="260"/>
      </w:pPr>
      <w:r>
        <w:rPr>
          <w:rFonts w:ascii="Calibri" w:cs="Calibri" w:eastAsia="Calibri" w:hAnsi="Calibri"/>
        </w:rPr>
        <w:t xml:space="preserve">Concept</w:t>
      </w:r>
    </w:p>
    <w:p>
      <w:pPr>
        <w:spacing w:after="120" w:line="276"/>
      </w:pPr>
      <w:r>
        <w:rPr>
          <w:rFonts w:ascii="Calibri" w:cs="Calibri" w:eastAsia="Calibri" w:hAnsi="Calibri"/>
          <w:sz w:val="22"/>
          <w:szCs w:val="22"/>
        </w:rPr>
        <w:t xml:space="preserve">The selection criteria tell you whether; they are quieter about at what level. The rule: select CIs at the optimum level for both acquisition and support — the level at which items are specified, contracted, accepted, and at which logistics organizes maintenance and modification. Too high, and you lose visibility and control of the pieces that actually change. Too low, and every minor revision becomes formal change traffic and the program drowns.</w:t>
      </w:r>
    </w:p>
    <w:p>
      <w:pPr>
        <w:pStyle w:val="Heading2"/>
        <w:spacing w:after="120" w:before="260"/>
      </w:pPr>
      <w:r>
        <w:rPr>
          <w:rFonts w:ascii="Calibri" w:cs="Calibri" w:eastAsia="Calibri" w:hAnsi="Calibri"/>
        </w:rPr>
        <w:t xml:space="preserve">Worked Walkthrough — One Avionics Bay, Three Ways</w:t>
      </w:r>
    </w:p>
    <w:p>
      <w:pPr>
        <w:spacing w:after="120" w:line="276"/>
      </w:pPr>
      <w:r>
        <w:rPr>
          <w:rFonts w:ascii="Calibri" w:cs="Calibri" w:eastAsia="Calibri" w:hAnsi="Calibri"/>
          <w:sz w:val="22"/>
          <w:szCs w:val="22"/>
        </w:rPr>
        <w:t xml:space="preserve">The avionics bay of a small unmanned aircraft contains a flight control computer (with its software), a navigation/GPS board, a radio, and a power distribution board. Consider three designation schemes:</w:t>
      </w:r>
    </w:p>
    <w:p>
      <w:pPr>
        <w:pStyle w:val="ListParagraph"/>
        <w:numPr>
          <w:ilvl w:val="0"/>
          <w:numId w:val="2"/>
        </w:numPr>
        <w:spacing w:after="80" w:line="276"/>
      </w:pPr>
      <w:r>
        <w:rPr>
          <w:rFonts w:ascii="Calibri" w:cs="Calibri" w:eastAsia="Calibri" w:hAnsi="Calibri"/>
          <w:sz w:val="22"/>
          <w:szCs w:val="22"/>
        </w:rPr>
        <w:t xml:space="preserve">Scheme A — one CI, “Avionics Bay.” One specification, one verification program, minimal spec count. Consequences: the radio vendor’s obsolescence-driven redesign is now a change to the whole-bay CI; the software cannot be released on its own cadence because it has no separate identity; a field failure of the GPS board has no provisioning line to order against. Cheap to set up, expensive to live with.</w:t>
      </w:r>
    </w:p>
    <w:p>
      <w:pPr>
        <w:pStyle w:val="ListParagraph"/>
        <w:numPr>
          <w:ilvl w:val="0"/>
          <w:numId w:val="2"/>
        </w:numPr>
        <w:spacing w:after="80" w:line="276"/>
      </w:pPr>
      <w:r>
        <w:rPr>
          <w:rFonts w:ascii="Calibri" w:cs="Calibri" w:eastAsia="Calibri" w:hAnsi="Calibri"/>
          <w:sz w:val="22"/>
          <w:szCs w:val="22"/>
        </w:rPr>
        <w:t xml:space="preserve">Scheme B — CIs at the line-replaceable level: computer (hardware), flight software (software CI), radio, power distribution board, with the navigation function absorbed into the computer CI it is mounted on. Consequences: changes address the item that changed; software releases on its own cadence with its own version identity; each replaceable unit has an identity logistics can provision against. Spec count is higher but each spec is small.</w:t>
      </w:r>
    </w:p>
    <w:p>
      <w:pPr>
        <w:pStyle w:val="ListParagraph"/>
        <w:numPr>
          <w:ilvl w:val="0"/>
          <w:numId w:val="2"/>
        </w:numPr>
        <w:spacing w:after="80" w:line="276"/>
      </w:pPr>
      <w:r>
        <w:rPr>
          <w:rFonts w:ascii="Calibri" w:cs="Calibri" w:eastAsia="Calibri" w:hAnsi="Calibri"/>
          <w:sz w:val="22"/>
          <w:szCs w:val="22"/>
        </w:rPr>
        <w:t xml:space="preserve">Scheme C — CIs down to every circuit card and the harness. Consequences: a resistor value change on a card that is never separately stocked or separately verified now generates formal change paperwork; the change board agenda triples; engineers route around the process, which is the true failure mode of over-designation — not the paperwork itself but the workarounds it breeds.</w:t>
      </w:r>
    </w:p>
    <w:p>
      <w:pPr>
        <w:spacing w:after="120" w:line="276"/>
      </w:pPr>
      <w:r>
        <w:rPr>
          <w:rFonts w:ascii="Calibri" w:cs="Calibri" w:eastAsia="Calibri" w:hAnsi="Calibri"/>
          <w:sz w:val="22"/>
          <w:szCs w:val="22"/>
        </w:rPr>
        <w:t xml:space="preserve">Scheme B is right for this system, and the reasons are the test: items are designated where they are separately specified, separately verified, separately released, or separately supported — and not below.</w:t>
      </w:r>
    </w:p>
    <w:p>
      <w:pPr>
        <w:pStyle w:val="Heading2"/>
        <w:spacing w:after="120" w:before="260"/>
      </w:pPr>
      <w:r>
        <w:rPr>
          <w:rFonts w:ascii="Calibri" w:cs="Calibri" w:eastAsia="Calibri" w:hAnsi="Calibri"/>
        </w:rPr>
        <w:t xml:space="preserve">Case 7 — Where Does the Motor Controller Sit?</w:t>
      </w:r>
    </w:p>
    <w:p>
      <w:pPr>
        <w:spacing w:after="120" w:line="276"/>
      </w:pPr>
      <w:r>
        <w:rPr>
          <w:rFonts w:ascii="Calibri" w:cs="Calibri" w:eastAsia="Calibri" w:hAnsi="Calibri"/>
          <w:sz w:val="22"/>
          <w:szCs w:val="22"/>
        </w:rPr>
        <w:t xml:space="preserve">The propulsion subsystem contains a motor, a motor controller (an electronics unit with firmware), and a propeller. The controller firmware is developed by the controller supplier and updated roughly quarterly; the motor and propeller are stable purchased items. Propose the CI set for the subsystem.</w:t>
      </w:r>
    </w:p>
    <w:p>
      <w:pPr>
        <w:shd w:fill="EDF0F7" w:val="clear"/>
        <w:spacing w:after="60" w:before="160"/>
      </w:pPr>
      <w:r>
        <w:rPr>
          <w:rFonts w:ascii="Calibri" w:cs="Calibri" w:eastAsia="Calibri" w:hAnsi="Calibri"/>
          <w:b/>
          <w:bCs/>
          <w:color w:val="1F3864"/>
          <w:sz w:val="22"/>
          <w:szCs w:val="22"/>
        </w:rPr>
        <w:t xml:space="preserve">Adjudication</w:t>
      </w:r>
    </w:p>
    <w:p>
      <w:pPr>
        <w:shd w:fill="EDF0F7" w:val="clear"/>
        <w:spacing w:after="160" w:line="276"/>
      </w:pPr>
      <w:r>
        <w:rPr>
          <w:rFonts w:ascii="Calibri" w:cs="Calibri" w:eastAsia="Calibri" w:hAnsi="Calibri"/>
          <w:sz w:val="22"/>
          <w:szCs w:val="22"/>
        </w:rPr>
        <w:t xml:space="preserve">Designate the motor controller as a hardware CI and its firmware as a separate software CI. The quarterly firmware cadence is the tell: firmware that changes independently needs independent identity, version control, and release addressability — absorbing it into the controller hardware CI forces a hardware change action for every firmware drop. The motor and propeller are candidates individually: the propeller likely fires criterion (b) on a crewed-adjacent system (blade release) and (g) as a lifed/replaceable item — designate; the motor typically rides as a controlled purchased item under the subsystem unless it carries its own logistics footprint. A subsystem-level CI above them is justified only if the subsystem is separately specified and verified as an entity; on this system it is, so the set is: propulsion subsystem CI, with motor controller (hardware), controller firmware (software), and propeller as subordinate CIs, motor controlled within the subsystem.</w:t>
      </w:r>
    </w:p>
    <w:p>
      <w:pPr>
        <w:pStyle w:val="Heading2"/>
        <w:spacing w:after="120" w:before="260"/>
      </w:pPr>
      <w:r>
        <w:rPr>
          <w:rFonts w:ascii="Calibri" w:cs="Calibri" w:eastAsia="Calibri" w:hAnsi="Calibri"/>
        </w:rPr>
        <w:t xml:space="preserve">Case 8 — One Software CI or Three?</w:t>
      </w:r>
    </w:p>
    <w:p>
      <w:pPr>
        <w:spacing w:after="120" w:line="276"/>
      </w:pPr>
      <w:r>
        <w:rPr>
          <w:rFonts w:ascii="Calibri" w:cs="Calibri" w:eastAsia="Calibri" w:hAnsi="Calibri"/>
          <w:sz w:val="22"/>
          <w:szCs w:val="22"/>
        </w:rPr>
        <w:t xml:space="preserve">The flight software comprises a control-law core, a navigation module, and a payload management module. One team of six developers builds and releases all three together today; the roadmap says payload management moves to a separate team and a faster release cadence next year.</w:t>
      </w:r>
    </w:p>
    <w:p>
      <w:pPr>
        <w:shd w:fill="EDF0F7" w:val="clear"/>
        <w:spacing w:after="60" w:before="160"/>
      </w:pPr>
      <w:r>
        <w:rPr>
          <w:rFonts w:ascii="Calibri" w:cs="Calibri" w:eastAsia="Calibri" w:hAnsi="Calibri"/>
          <w:b/>
          <w:bCs/>
          <w:color w:val="1F3864"/>
          <w:sz w:val="22"/>
          <w:szCs w:val="22"/>
        </w:rPr>
        <w:t xml:space="preserve">Adjudication</w:t>
      </w:r>
    </w:p>
    <w:p>
      <w:pPr>
        <w:shd w:fill="EDF0F7" w:val="clear"/>
        <w:spacing w:after="160" w:line="276"/>
      </w:pPr>
      <w:r>
        <w:rPr>
          <w:rFonts w:ascii="Calibri" w:cs="Calibri" w:eastAsia="Calibri" w:hAnsi="Calibri"/>
          <w:sz w:val="22"/>
          <w:szCs w:val="22"/>
        </w:rPr>
        <w:t xml:space="preserve">Today’s facts support one software CI: one team, one release, one verification campaign — three CIs would triple the release ceremony for no addressability gain. The roadmap changes the answer for payload management when — not before — the separate team and cadence materialize: at that point it acquires exactly the properties (separate release, separate versioning, separate verification) that warrant separate identity, and the identification process’s maintenance triggers exist for precisely this re-evaluation. Verdict: one CSCI now; a planned split recorded as a known future re-identification trigger. The general lesson: level-of-selection answers are dated — they are correct as of a set of facts, and the process is iterative because the facts move.</w:t>
      </w:r>
    </w:p>
    <w:p>
      <w:pPr>
        <w:shd w:fill="EDF0F7" w:val="clear"/>
        <w:spacing w:after="60" w:before="160"/>
      </w:pPr>
      <w:r>
        <w:rPr>
          <w:rFonts w:ascii="Calibri" w:cs="Calibri" w:eastAsia="Calibri" w:hAnsi="Calibri"/>
          <w:b/>
          <w:bCs/>
          <w:color w:val="1F3864"/>
          <w:sz w:val="22"/>
          <w:szCs w:val="22"/>
        </w:rPr>
        <w:t xml:space="preserve">Module 3 self-check</w:t>
      </w:r>
    </w:p>
    <w:p>
      <w:pPr>
        <w:shd w:fill="EDF0F7" w:val="clear"/>
        <w:spacing w:after="160" w:line="276"/>
      </w:pPr>
      <w:r>
        <w:rPr>
          <w:rFonts w:ascii="Calibri" w:cs="Calibri" w:eastAsia="Calibri" w:hAnsi="Calibri"/>
          <w:sz w:val="22"/>
          <w:szCs w:val="22"/>
        </w:rPr>
        <w:t xml:space="preserve">State the level-of-selection test in one sentence. Compare: designate where items are separately specified, verified, released, or supported — and not below.</w:t>
      </w:r>
    </w:p>
    <w:p>
      <w:r>
        <w:br w:type="page"/>
      </w:r>
    </w:p>
    <w:p>
      <w:pPr>
        <w:pStyle w:val="Heading1"/>
        <w:spacing w:after="160" w:before="320"/>
      </w:pPr>
      <w:r>
        <w:rPr>
          <w:rFonts w:ascii="Calibri" w:cs="Calibri" w:eastAsia="Calibri" w:hAnsi="Calibri"/>
        </w:rPr>
        <w:t xml:space="preserve">Module 4 — Same CI or Separate CIs</w:t>
      </w:r>
    </w:p>
    <w:p>
      <w:pPr>
        <w:pStyle w:val="Heading2"/>
        <w:spacing w:after="120" w:before="260"/>
      </w:pPr>
      <w:r>
        <w:rPr>
          <w:rFonts w:ascii="Calibri" w:cs="Calibri" w:eastAsia="Calibri" w:hAnsi="Calibri"/>
        </w:rPr>
        <w:t xml:space="preserve">Concept</w:t>
      </w:r>
    </w:p>
    <w:p>
      <w:pPr>
        <w:spacing w:after="120" w:line="276"/>
      </w:pPr>
      <w:r>
        <w:rPr>
          <w:rFonts w:ascii="Calibri" w:cs="Calibri" w:eastAsia="Calibri" w:hAnsi="Calibri"/>
          <w:sz w:val="22"/>
          <w:szCs w:val="22"/>
        </w:rPr>
        <w:t xml:space="preserve">Two recurring puzzles look similar and resolve oppositely. Puzzle one: the same part number appears in two places in the system — one CI or two? Puzzle two: one item exists in two part-number variants — one CI or two? The same-part-number decision guide resolves both through a gate sequence; this module teaches the two rules of thumb the gates encode, then sends you to the interactive tool.</w:t>
      </w:r>
    </w:p>
    <w:p>
      <w:pPr>
        <w:pStyle w:val="ListParagraph"/>
        <w:numPr>
          <w:ilvl w:val="0"/>
          <w:numId w:val="2"/>
        </w:numPr>
        <w:spacing w:after="80" w:line="276"/>
      </w:pPr>
      <w:r>
        <w:rPr>
          <w:rFonts w:ascii="Calibri" w:cs="Calibri" w:eastAsia="Calibri" w:hAnsi="Calibri"/>
          <w:sz w:val="22"/>
          <w:szCs w:val="22"/>
        </w:rPr>
        <w:t xml:space="preserve">Part number does not decide the CI question. A CI is a functional designation; a part number is a design identity. The same physical design instantiated in two subsystems performing distinct functions can be two CIs sharing one part number. One CI whose design has interchangeable-with-caveats variants can carry multiple part numbers with the variant mapping recorded in the CI index.</w:t>
      </w:r>
    </w:p>
    <w:p>
      <w:pPr>
        <w:pStyle w:val="ListParagraph"/>
        <w:numPr>
          <w:ilvl w:val="0"/>
          <w:numId w:val="2"/>
        </w:numPr>
        <w:spacing w:after="80" w:line="276"/>
      </w:pPr>
      <w:r>
        <w:rPr>
          <w:rFonts w:ascii="Calibri" w:cs="Calibri" w:eastAsia="Calibri" w:hAnsi="Calibri"/>
          <w:sz w:val="22"/>
          <w:szCs w:val="22"/>
        </w:rPr>
        <w:t xml:space="preserve">Appearing on the same interface document is not evidence of a common interface. One interface control document can carry distinct callouts for different variants or different installations; each distinct interface definition is its own interface, tracked as its own row in the interface register.</w:t>
      </w:r>
    </w:p>
    <w:p>
      <w:pPr>
        <w:pStyle w:val="Heading2"/>
        <w:spacing w:after="120" w:before="260"/>
      </w:pPr>
      <w:r>
        <w:rPr>
          <w:rFonts w:ascii="Calibri" w:cs="Calibri" w:eastAsia="Calibri" w:hAnsi="Calibri"/>
        </w:rPr>
        <w:t xml:space="preserve">Case 9 — One Antenna, Two Installations</w:t>
      </w:r>
    </w:p>
    <w:p>
      <w:pPr>
        <w:spacing w:after="120" w:line="276"/>
      </w:pPr>
      <w:r>
        <w:rPr>
          <w:rFonts w:ascii="Calibri" w:cs="Calibri" w:eastAsia="Calibri" w:hAnsi="Calibri"/>
          <w:sz w:val="22"/>
          <w:szCs w:val="22"/>
        </w:rPr>
        <w:t xml:space="preserve">An identical blade antenna (one part number) is installed twice: once as the command-link antenna on the aircraft, once as the telemetry antenna on the same aircraft. Each installation has its own performance requirements (different bands, different link budgets) and its own verification.</w:t>
      </w:r>
    </w:p>
    <w:p>
      <w:pPr>
        <w:shd w:fill="EDF0F7" w:val="clear"/>
        <w:spacing w:after="60" w:before="160"/>
      </w:pPr>
      <w:r>
        <w:rPr>
          <w:rFonts w:ascii="Calibri" w:cs="Calibri" w:eastAsia="Calibri" w:hAnsi="Calibri"/>
          <w:b/>
          <w:bCs/>
          <w:color w:val="1F3864"/>
          <w:sz w:val="22"/>
          <w:szCs w:val="22"/>
        </w:rPr>
        <w:t xml:space="preserve">Adjudication</w:t>
      </w:r>
    </w:p>
    <w:p>
      <w:pPr>
        <w:shd w:fill="EDF0F7" w:val="clear"/>
        <w:spacing w:after="160" w:line="276"/>
      </w:pPr>
      <w:r>
        <w:rPr>
          <w:rFonts w:ascii="Calibri" w:cs="Calibri" w:eastAsia="Calibri" w:hAnsi="Calibri"/>
          <w:sz w:val="22"/>
          <w:szCs w:val="22"/>
        </w:rPr>
        <w:t xml:space="preserve">Two CIs, one part number. Each installation satisfies a distinct end-use function with separately stated and separately verified requirements — that is the definition of separate configuration identities. The CI index carries two CI rows sharing the same part number; the index instructions permit exactly this, and the selection rationale for each cites its own function. Run this case through the interactive same-CI-or-separate tool and confirm the gate that fires. The error this case inoculates against: merging them because “it’s the same part” — which would leave one of the two functions without addressable requirements.</w:t>
      </w:r>
    </w:p>
    <w:p>
      <w:pPr>
        <w:pStyle w:val="Heading2"/>
        <w:spacing w:after="120" w:before="260"/>
      </w:pPr>
      <w:r>
        <w:rPr>
          <w:rFonts w:ascii="Calibri" w:cs="Calibri" w:eastAsia="Calibri" w:hAnsi="Calibri"/>
        </w:rPr>
        <w:t xml:space="preserve">Case 10 — One Controller, Two Connector Builds</w:t>
      </w:r>
    </w:p>
    <w:p>
      <w:pPr>
        <w:spacing w:after="120" w:line="276"/>
      </w:pPr>
      <w:r>
        <w:rPr>
          <w:rFonts w:ascii="Calibri" w:cs="Calibri" w:eastAsia="Calibri" w:hAnsi="Calibri"/>
          <w:sz w:val="22"/>
          <w:szCs w:val="22"/>
        </w:rPr>
        <w:t xml:space="preserve">The motor controller ships in two builds: the baseline connector and a revised connector introduced at unit 13. The builds are functionally identical and interchangeable except for mating-harness compatibility; the interface document carries a distinct callout for each connector.</w:t>
      </w:r>
    </w:p>
    <w:p>
      <w:pPr>
        <w:shd w:fill="EDF0F7" w:val="clear"/>
        <w:spacing w:after="60" w:before="160"/>
      </w:pPr>
      <w:r>
        <w:rPr>
          <w:rFonts w:ascii="Calibri" w:cs="Calibri" w:eastAsia="Calibri" w:hAnsi="Calibri"/>
          <w:b/>
          <w:bCs/>
          <w:color w:val="1F3864"/>
          <w:sz w:val="22"/>
          <w:szCs w:val="22"/>
        </w:rPr>
        <w:t xml:space="preserve">Adjudication</w:t>
      </w:r>
    </w:p>
    <w:p>
      <w:pPr>
        <w:shd w:fill="EDF0F7" w:val="clear"/>
        <w:spacing w:after="160" w:line="276"/>
      </w:pPr>
      <w:r>
        <w:rPr>
          <w:rFonts w:ascii="Calibri" w:cs="Calibri" w:eastAsia="Calibri" w:hAnsi="Calibri"/>
          <w:sz w:val="22"/>
          <w:szCs w:val="22"/>
        </w:rPr>
        <w:t xml:space="preserve">One CI, two part numbers. Function, requirements, and verification are common; the variant difference is a non-interchangeable physical detail handled by part-number separation, not by CI separation. Record the variant mapping (both part numbers, effectivity, and the per-variant interface callout) in the CI index’s variant sheet — and note the interface register consequence: the controller-to-harness boundary needs one register row per distinct interface callout, each marked with which variant it applies to. Same document, two interfaces. Run the tool and reconcile. The error this case inoculates against: spawning a second CI for every dash number, which doubles the identification burden while adding no addressability — the variants are already addressable by part number.</w:t>
      </w:r>
    </w:p>
    <w:p>
      <w:pPr>
        <w:shd w:fill="EDF0F7" w:val="clear"/>
        <w:spacing w:after="60" w:before="160"/>
      </w:pPr>
      <w:r>
        <w:rPr>
          <w:rFonts w:ascii="Calibri" w:cs="Calibri" w:eastAsia="Calibri" w:hAnsi="Calibri"/>
          <w:b/>
          <w:bCs/>
          <w:color w:val="1F3864"/>
          <w:sz w:val="22"/>
          <w:szCs w:val="22"/>
        </w:rPr>
        <w:t xml:space="preserve">Module 4 self-check</w:t>
      </w:r>
    </w:p>
    <w:p>
      <w:pPr>
        <w:shd w:fill="EDF0F7" w:val="clear"/>
        <w:spacing w:after="160" w:line="276"/>
      </w:pPr>
      <w:r>
        <w:rPr>
          <w:rFonts w:ascii="Calibri" w:cs="Calibri" w:eastAsia="Calibri" w:hAnsi="Calibri"/>
          <w:sz w:val="22"/>
          <w:szCs w:val="22"/>
        </w:rPr>
        <w:t xml:space="preserve">Complete both sentences: “Same part number, different functions → …” and “Same function, variant part numbers → …”. Compare: → separate CIs sharing a part number; → one CI with the variant mapping recorded in the index.</w:t>
      </w:r>
    </w:p>
    <w:p>
      <w:r>
        <w:br w:type="page"/>
      </w:r>
    </w:p>
    <w:p>
      <w:pPr>
        <w:pStyle w:val="Heading1"/>
        <w:spacing w:after="160" w:before="320"/>
      </w:pPr>
      <w:r>
        <w:rPr>
          <w:rFonts w:ascii="Calibri" w:cs="Calibri" w:eastAsia="Calibri" w:hAnsi="Calibri"/>
        </w:rPr>
        <w:t xml:space="preserve">Module 5 — Structure, Hierarchy, and Model Alignment</w:t>
      </w:r>
    </w:p>
    <w:p>
      <w:pPr>
        <w:pStyle w:val="Heading2"/>
        <w:spacing w:after="120" w:before="260"/>
      </w:pPr>
      <w:r>
        <w:rPr>
          <w:rFonts w:ascii="Calibri" w:cs="Calibri" w:eastAsia="Calibri" w:hAnsi="Calibri"/>
        </w:rPr>
        <w:t xml:space="preserve">Concept</w:t>
      </w:r>
    </w:p>
    <w:p>
      <w:pPr>
        <w:spacing w:after="120" w:line="276"/>
      </w:pPr>
      <w:r>
        <w:rPr>
          <w:rFonts w:ascii="Calibri" w:cs="Calibri" w:eastAsia="Calibri" w:hAnsi="Calibri"/>
          <w:sz w:val="22"/>
          <w:szCs w:val="22"/>
        </w:rPr>
        <w:t xml:space="preserve">Selected CIs are placed in a parent-child hierarchy, each with its owning design activity, and with customer-controlled levels distinguished from internally controlled levels. Where the program uses a model-based systems engineering architecture, the rule is strict: the CI hierarchy mirrors the model’s decomposition — the two are one decomposition seen from two sides, and they are not allowed to diverge. Each CI carries a persistent cross-reference to its model element, and each model element at the designation level carries the CI identifier.</w:t>
      </w:r>
    </w:p>
    <w:p>
      <w:pPr>
        <w:spacing w:after="120" w:line="276"/>
      </w:pPr>
      <w:r>
        <w:rPr>
          <w:rFonts w:ascii="Calibri" w:cs="Calibri" w:eastAsia="Calibri" w:hAnsi="Calibri"/>
          <w:sz w:val="22"/>
          <w:szCs w:val="22"/>
        </w:rPr>
        <w:t xml:space="preserve">The corollary that surprises people: when a proposed CI decision disagrees with the current model, you do not record the CI decision and fix the model later. The decision is held until the model is dispositioned — recording against a divergent model creates two truths, and two truths is the disease configuration management exists to prevent.</w:t>
      </w:r>
    </w:p>
    <w:p>
      <w:pPr>
        <w:pStyle w:val="Heading2"/>
        <w:spacing w:after="120" w:before="260"/>
      </w:pPr>
      <w:r>
        <w:rPr>
          <w:rFonts w:ascii="Calibri" w:cs="Calibri" w:eastAsia="Calibri" w:hAnsi="Calibri"/>
        </w:rPr>
        <w:t xml:space="preserve">Exercise</w:t>
      </w:r>
    </w:p>
    <w:p>
      <w:pPr>
        <w:spacing w:after="120" w:line="276"/>
      </w:pPr>
      <w:r>
        <w:rPr>
          <w:rFonts w:ascii="Calibri" w:cs="Calibri" w:eastAsia="Calibri" w:hAnsi="Calibri"/>
          <w:sz w:val="22"/>
          <w:szCs w:val="22"/>
        </w:rPr>
        <w:t xml:space="preserve">A model decomposes an aircraft as: air vehicle → {flight control subsystem → {flight control computer, servo set}, propulsion subsystem → {motor controller, propeller}}. The proposed CI index adds a “navigation CI” as a child of the air vehicle, with no corresponding model element — the navigation function lives inside the flight control computer block in the model. What happens?</w:t>
      </w:r>
    </w:p>
    <w:p>
      <w:pPr>
        <w:shd w:fill="EDF0F7" w:val="clear"/>
        <w:spacing w:after="60" w:before="160"/>
      </w:pPr>
      <w:r>
        <w:rPr>
          <w:rFonts w:ascii="Calibri" w:cs="Calibri" w:eastAsia="Calibri" w:hAnsi="Calibri"/>
          <w:b/>
          <w:bCs/>
          <w:color w:val="1F3864"/>
          <w:sz w:val="22"/>
          <w:szCs w:val="22"/>
        </w:rPr>
        <w:t xml:space="preserve">Answer</w:t>
      </w:r>
    </w:p>
    <w:p>
      <w:pPr>
        <w:shd w:fill="EDF0F7" w:val="clear"/>
        <w:spacing w:after="160" w:line="276"/>
      </w:pPr>
      <w:r>
        <w:rPr>
          <w:rFonts w:ascii="Calibri" w:cs="Calibri" w:eastAsia="Calibri" w:hAnsi="Calibri"/>
          <w:sz w:val="22"/>
          <w:szCs w:val="22"/>
        </w:rPr>
        <w:t xml:space="preserve">The navigation CI is not recorded. Either the architecture team agrees the model should decompose navigation out (the model changes, then the CI is recorded against the new element), or the model stands and navigation remains inside the flight control computer CI. The CI index waits for the disposition. What is never acceptable: an index row with no model element behind it. If your organization runs a periodic alignment check, this is exactly the discrepancy it exists to catch — every customer-controlled CI resolves to a model element, and every model element at the designation level has been screened.</w:t>
      </w:r>
    </w:p>
    <w:p>
      <w:r>
        <w:br w:type="page"/>
      </w:r>
    </w:p>
    <w:p>
      <w:pPr>
        <w:pStyle w:val="Heading1"/>
        <w:spacing w:after="160" w:before="320"/>
      </w:pPr>
      <w:r>
        <w:rPr>
          <w:rFonts w:ascii="Calibri" w:cs="Calibri" w:eastAsia="Calibri" w:hAnsi="Calibri"/>
        </w:rPr>
        <w:t xml:space="preserve">Module 6 — Interfaces: What CM Actually Does</w:t>
      </w:r>
    </w:p>
    <w:p>
      <w:pPr>
        <w:pStyle w:val="Heading2"/>
        <w:spacing w:after="120" w:before="260"/>
      </w:pPr>
      <w:r>
        <w:rPr>
          <w:rFonts w:ascii="Calibri" w:cs="Calibri" w:eastAsia="Calibri" w:hAnsi="Calibri"/>
        </w:rPr>
        <w:t xml:space="preserve">Concept</w:t>
      </w:r>
    </w:p>
    <w:p>
      <w:pPr>
        <w:spacing w:after="120" w:line="276"/>
      </w:pPr>
      <w:r>
        <w:rPr>
          <w:rFonts w:ascii="Calibri" w:cs="Calibri" w:eastAsia="Calibri" w:hAnsi="Calibri"/>
          <w:sz w:val="22"/>
          <w:szCs w:val="22"/>
        </w:rPr>
        <w:t xml:space="preserve">Kill the misconception first: CM does not derive interface requirements. Identifying what crosses a boundary — signals, loads, data, power — is systems engineering work. CM’s role has three parts, and all three are checkable without engineering judgment:</w:t>
      </w:r>
    </w:p>
    <w:p>
      <w:pPr>
        <w:pStyle w:val="ListParagraph"/>
        <w:numPr>
          <w:ilvl w:val="0"/>
          <w:numId w:val="2"/>
        </w:numPr>
        <w:spacing w:after="80" w:line="276"/>
      </w:pPr>
      <w:r>
        <w:rPr>
          <w:rFonts w:ascii="Calibri" w:cs="Calibri" w:eastAsia="Calibri" w:hAnsi="Calibri"/>
          <w:sz w:val="22"/>
          <w:szCs w:val="22"/>
        </w:rPr>
        <w:t xml:space="preserve">Record: maintain the interface register, keyed to the CI structure. The hierarchy defines a finite set of boundaries — every pair of interfacing sibling CIs, every boundary with an external system, every boundary between customer-controlled and internally controlled levels.</w:t>
      </w:r>
    </w:p>
    <w:p>
      <w:pPr>
        <w:pStyle w:val="ListParagraph"/>
        <w:numPr>
          <w:ilvl w:val="0"/>
          <w:numId w:val="2"/>
        </w:numPr>
        <w:spacing w:after="80" w:line="276"/>
      </w:pPr>
      <w:r>
        <w:rPr>
          <w:rFonts w:ascii="Calibri" w:cs="Calibri" w:eastAsia="Calibri" w:hAnsi="Calibri"/>
          <w:sz w:val="22"/>
          <w:szCs w:val="22"/>
        </w:rPr>
        <w:t xml:space="preserve">Verify coverage, not content: every boundary appears in the register with either defining documentation or an explicit no-interface determination signed by systems engineering. No boundary is left blank. Technical adequacy is verified by engineering review, not by CM.</w:t>
      </w:r>
    </w:p>
    <w:p>
      <w:pPr>
        <w:pStyle w:val="ListParagraph"/>
        <w:numPr>
          <w:ilvl w:val="0"/>
          <w:numId w:val="2"/>
        </w:numPr>
        <w:spacing w:after="80" w:line="276"/>
      </w:pPr>
      <w:r>
        <w:rPr>
          <w:rFonts w:ascii="Calibri" w:cs="Calibri" w:eastAsia="Calibri" w:hAnsi="Calibri"/>
          <w:sz w:val="22"/>
          <w:szCs w:val="22"/>
        </w:rPr>
        <w:t xml:space="preserve">Control the products: interface specifications and interface control documents get document identifiers, go through the release system, and are picked up in the documentation determination.</w:t>
      </w:r>
    </w:p>
    <w:p>
      <w:pPr>
        <w:pStyle w:val="Heading2"/>
        <w:spacing w:after="120" w:before="260"/>
      </w:pPr>
      <w:r>
        <w:rPr>
          <w:rFonts w:ascii="Calibri" w:cs="Calibri" w:eastAsia="Calibri" w:hAnsi="Calibri"/>
        </w:rPr>
        <w:t xml:space="preserve">Exercise — Find the Holes</w:t>
      </w:r>
    </w:p>
    <w:p>
      <w:pPr>
        <w:spacing w:after="120" w:line="276"/>
      </w:pPr>
      <w:r>
        <w:rPr>
          <w:rFonts w:ascii="Calibri" w:cs="Calibri" w:eastAsia="Calibri" w:hAnsi="Calibri"/>
          <w:sz w:val="22"/>
          <w:szCs w:val="22"/>
        </w:rPr>
        <w:t xml:space="preserve">CI structure: air vehicle (system) with children flight control subsystem and propulsion subsystem; flight control subsystem has children flight control computer and flight software; propulsion has children motor controller and controller firmware. One external system: the ground control station. A partially completed interface register contains rows for: computer↔software; computer↔motor controller; air vehicle↔ground control station; and a row for software↔controller firmware marked “no interface” with the signoff field blank. Enumerate the boundaries the structure implies, then list every defect in the register.</w:t>
      </w:r>
    </w:p>
    <w:p>
      <w:pPr>
        <w:shd w:fill="EDF0F7" w:val="clear"/>
        <w:spacing w:after="60" w:before="160"/>
      </w:pPr>
      <w:r>
        <w:rPr>
          <w:rFonts w:ascii="Calibri" w:cs="Calibri" w:eastAsia="Calibri" w:hAnsi="Calibri"/>
          <w:b/>
          <w:bCs/>
          <w:color w:val="1F3864"/>
          <w:sz w:val="22"/>
          <w:szCs w:val="22"/>
        </w:rPr>
        <w:t xml:space="preserve">Answer</w:t>
      </w:r>
    </w:p>
    <w:p>
      <w:pPr>
        <w:shd w:fill="EDF0F7" w:val="clear"/>
        <w:spacing w:after="160" w:line="276"/>
      </w:pPr>
      <w:r>
        <w:rPr>
          <w:rFonts w:ascii="Calibri" w:cs="Calibri" w:eastAsia="Calibri" w:hAnsi="Calibri"/>
          <w:sz w:val="22"/>
          <w:szCs w:val="22"/>
        </w:rPr>
        <w:t xml:space="preserve">Sibling boundaries implied: flight control subsystem↔propulsion subsystem (parent level); computer↔software; computer↔firmware? — no: firmware’s sibling is the motor controller, so motor controller↔firmware; and cross-subsystem pairs interact through their parents unless the program tracks leaf-level cross-boundaries (this program does: computer↔motor controller is registered). External: air vehicle↔ground control station. Defects: (1) motor controller↔controller firmware boundary is missing entirely — an uncovered boundary, and a real interface (the firmware executes on the controller); (2) flight control subsystem↔propulsion subsystem has no row — either documentation or a signed no-interface determination is required even if all traffic is captured at the leaf level; (3) the software↔firmware no-interface row is unsigned — an unsigned determination is a blank, and blanks are the one thing the register forbids. Coverage verification is exactly this exercise, run at CI-list submittal, at technical reviews, and before each baseline.</w:t>
      </w:r>
    </w:p>
    <w:p>
      <w:r>
        <w:br w:type="page"/>
      </w:r>
    </w:p>
    <w:p>
      <w:pPr>
        <w:pStyle w:val="Heading1"/>
        <w:spacing w:after="160" w:before="320"/>
      </w:pPr>
      <w:r>
        <w:rPr>
          <w:rFonts w:ascii="Calibri" w:cs="Calibri" w:eastAsia="Calibri" w:hAnsi="Calibri"/>
        </w:rPr>
        <w:t xml:space="preserve">Module 7 — Identifiers: The Retention Rules</w:t>
      </w:r>
    </w:p>
    <w:p>
      <w:pPr>
        <w:pStyle w:val="Heading2"/>
        <w:spacing w:after="120" w:before="260"/>
      </w:pPr>
      <w:r>
        <w:rPr>
          <w:rFonts w:ascii="Calibri" w:cs="Calibri" w:eastAsia="Calibri" w:hAnsi="Calibri"/>
        </w:rPr>
        <w:t xml:space="preserve">Concept</w:t>
      </w:r>
    </w:p>
    <w:p>
      <w:pPr>
        <w:spacing w:after="120" w:line="276"/>
      </w:pPr>
      <w:r>
        <w:rPr>
          <w:rFonts w:ascii="Calibri" w:cs="Calibri" w:eastAsia="Calibri" w:hAnsi="Calibri"/>
          <w:sz w:val="22"/>
          <w:szCs w:val="22"/>
        </w:rPr>
        <w:t xml:space="preserve">Identifier assignment is mostly convention-following, but three retention rules carry safety weight and are where mistakes happen. Quick-fire format: answer each scenario before reading the key.</w:t>
      </w:r>
    </w:p>
    <w:p>
      <w:pPr>
        <w:pStyle w:val="Heading2"/>
        <w:spacing w:after="120" w:before="260"/>
      </w:pPr>
      <w:r>
        <w:rPr>
          <w:rFonts w:ascii="Calibri" w:cs="Calibri" w:eastAsia="Calibri" w:hAnsi="Calibri"/>
        </w:rPr>
        <w:t xml:space="preserve">Quick-Fire Scenarios</w:t>
      </w:r>
    </w:p>
    <w:p>
      <w:pPr>
        <w:pStyle w:val="ListParagraph"/>
        <w:numPr>
          <w:ilvl w:val="0"/>
          <w:numId w:val="2"/>
        </w:numPr>
        <w:spacing w:after="80" w:line="276"/>
      </w:pPr>
      <w:r>
        <w:rPr>
          <w:rFonts w:ascii="Calibri" w:cs="Calibri" w:eastAsia="Calibri" w:hAnsi="Calibri"/>
          <w:sz w:val="22"/>
          <w:szCs w:val="22"/>
        </w:rPr>
        <w:t xml:space="preserve">1. A modification makes the new build of a unit non-interchangeable with the old build. What happens to the part number? To the serial numbers of modified units?</w:t>
      </w:r>
    </w:p>
    <w:p>
      <w:pPr>
        <w:pStyle w:val="ListParagraph"/>
        <w:numPr>
          <w:ilvl w:val="0"/>
          <w:numId w:val="2"/>
        </w:numPr>
        <w:spacing w:after="80" w:line="276"/>
      </w:pPr>
      <w:r>
        <w:rPr>
          <w:rFonts w:ascii="Calibri" w:cs="Calibri" w:eastAsia="Calibri" w:hAnsi="Calibri"/>
          <w:sz w:val="22"/>
          <w:szCs w:val="22"/>
        </w:rPr>
        <w:t xml:space="preserve">2. A unit is overhauled and most wear components replaced. New serial number?</w:t>
      </w:r>
    </w:p>
    <w:p>
      <w:pPr>
        <w:pStyle w:val="ListParagraph"/>
        <w:numPr>
          <w:ilvl w:val="0"/>
          <w:numId w:val="2"/>
        </w:numPr>
        <w:spacing w:after="80" w:line="276"/>
      </w:pPr>
      <w:r>
        <w:rPr>
          <w:rFonts w:ascii="Calibri" w:cs="Calibri" w:eastAsia="Calibri" w:hAnsi="Calibri"/>
          <w:sz w:val="22"/>
          <w:szCs w:val="22"/>
        </w:rPr>
        <w:t xml:space="preserve">3. A life-limited part goes through overhaul. What happens to its consumed-life record?</w:t>
      </w:r>
    </w:p>
    <w:p>
      <w:pPr>
        <w:pStyle w:val="ListParagraph"/>
        <w:numPr>
          <w:ilvl w:val="0"/>
          <w:numId w:val="2"/>
        </w:numPr>
        <w:spacing w:after="80" w:line="276"/>
      </w:pPr>
      <w:r>
        <w:rPr>
          <w:rFonts w:ascii="Calibri" w:cs="Calibri" w:eastAsia="Calibri" w:hAnsi="Calibri"/>
          <w:sz w:val="22"/>
          <w:szCs w:val="22"/>
        </w:rPr>
        <w:t xml:space="preserve">4. Software version 3.2 is rebuilt with a new compiler version, byte-identical output not guaranteed. New version identifier?</w:t>
      </w:r>
    </w:p>
    <w:p>
      <w:pPr>
        <w:pStyle w:val="ListParagraph"/>
        <w:numPr>
          <w:ilvl w:val="0"/>
          <w:numId w:val="2"/>
        </w:numPr>
        <w:spacing w:after="80" w:line="276"/>
      </w:pPr>
      <w:r>
        <w:rPr>
          <w:rFonts w:ascii="Calibri" w:cs="Calibri" w:eastAsia="Calibri" w:hAnsi="Calibri"/>
          <w:sz w:val="22"/>
          <w:szCs w:val="22"/>
        </w:rPr>
        <w:t xml:space="preserve">5. Two design activities contribute parts to one assembly. What disambiguates their part numbers?</w:t>
      </w:r>
    </w:p>
    <w:p>
      <w:pPr>
        <w:pStyle w:val="ListParagraph"/>
        <w:numPr>
          <w:ilvl w:val="0"/>
          <w:numId w:val="2"/>
        </w:numPr>
        <w:spacing w:after="80" w:line="276"/>
      </w:pPr>
      <w:r>
        <w:rPr>
          <w:rFonts w:ascii="Calibri" w:cs="Calibri" w:eastAsia="Calibri" w:hAnsi="Calibri"/>
          <w:sz w:val="22"/>
          <w:szCs w:val="22"/>
        </w:rPr>
        <w:t xml:space="preserve">6. A recurring variance is judged permanently acceptable. Does the part number change?</w:t>
      </w:r>
    </w:p>
    <w:p>
      <w:pPr>
        <w:shd w:fill="EDF0F7" w:val="clear"/>
        <w:spacing w:after="60" w:before="160"/>
      </w:pPr>
      <w:r>
        <w:rPr>
          <w:rFonts w:ascii="Calibri" w:cs="Calibri" w:eastAsia="Calibri" w:hAnsi="Calibri"/>
          <w:b/>
          <w:bCs/>
          <w:color w:val="1F3864"/>
          <w:sz w:val="22"/>
          <w:szCs w:val="22"/>
        </w:rPr>
        <w:t xml:space="preserve">Answers</w:t>
      </w:r>
    </w:p>
    <w:p>
      <w:pPr>
        <w:shd w:fill="EDF0F7" w:val="clear"/>
        <w:spacing w:after="160" w:line="276"/>
      </w:pPr>
      <w:r>
        <w:rPr>
          <w:rFonts w:ascii="Calibri" w:cs="Calibri" w:eastAsia="Calibri" w:hAnsi="Calibri"/>
          <w:sz w:val="22"/>
          <w:szCs w:val="22"/>
        </w:rPr>
        <w:t xml:space="preserve">1. The part number changes (non-interchangeability is exactly what part-number change signals); the serial numbers do not — unit identifiers are never revised or re-used, which is what preserves each unit’s traceability to its original configuration through the modification. 2. No — same rule; the serial number is the thread the unit’s whole history hangs on. 3. It survives: consumed life carries through overhaul just as the serial number does; resetting it is a safety event, not a bookkeeping choice. 4. Yes — a build whose equivalence is not guaranteed is a different version and needs a distinct version identifier with the compiler and settings recorded in the version description. 5. The enterprise identifier (the design activity code) combined with the part number; part numbers are unique only within an enterprise identifier. 6. Yes, via formal change: a permanently acceptable departure is a design change, not an eternal variance — the variance path is for temporary departures, and converting a recurring one to a change action is the rule that keeps “as-designed” meaning something.</w:t>
      </w:r>
    </w:p>
    <w:p>
      <w:r>
        <w:br w:type="page"/>
      </w:r>
    </w:p>
    <w:p>
      <w:pPr>
        <w:pStyle w:val="Heading1"/>
        <w:spacing w:after="160" w:before="320"/>
      </w:pPr>
      <w:r>
        <w:rPr>
          <w:rFonts w:ascii="Calibri" w:cs="Calibri" w:eastAsia="Calibri" w:hAnsi="Calibri"/>
        </w:rPr>
        <w:t xml:space="preserve">Module 8 — Concurrence, Documentation, Baselines, and Staying Current</w:t>
      </w:r>
    </w:p>
    <w:p>
      <w:pPr>
        <w:spacing w:after="120" w:line="276"/>
      </w:pPr>
      <w:r>
        <w:rPr>
          <w:rFonts w:ascii="Calibri" w:cs="Calibri" w:eastAsia="Calibri" w:hAnsi="Calibri"/>
          <w:sz w:val="22"/>
          <w:szCs w:val="22"/>
        </w:rPr>
        <w:t xml:space="preserve">Lighter treatment, because these steps are more procedural than judgmental — but three teaches matter:</w:t>
      </w:r>
    </w:p>
    <w:p>
      <w:pPr>
        <w:pStyle w:val="ListParagraph"/>
        <w:numPr>
          <w:ilvl w:val="0"/>
          <w:numId w:val="2"/>
        </w:numPr>
        <w:spacing w:after="80" w:line="276"/>
      </w:pPr>
      <w:r>
        <w:rPr>
          <w:rFonts w:ascii="Calibri" w:cs="Calibri" w:eastAsia="Calibri" w:hAnsi="Calibri"/>
          <w:sz w:val="22"/>
          <w:szCs w:val="22"/>
        </w:rPr>
        <w:t xml:space="preserve">Customer concurrence is iterative, not a ceremony: the proposed CI list, selection rationale, and interface coverage results go to the customer, and go back whenever the design evolves, candidates emerge, or de-designation is proposed. Final designation authority for customer-controlled CIs rests with the customer.</w:t>
      </w:r>
    </w:p>
    <w:p>
      <w:pPr>
        <w:pStyle w:val="ListParagraph"/>
        <w:numPr>
          <w:ilvl w:val="0"/>
          <w:numId w:val="2"/>
        </w:numPr>
        <w:spacing w:after="80" w:line="276"/>
      </w:pPr>
      <w:r>
        <w:rPr>
          <w:rFonts w:ascii="Calibri" w:cs="Calibri" w:eastAsia="Calibri" w:hAnsi="Calibri"/>
          <w:sz w:val="22"/>
          <w:szCs w:val="22"/>
        </w:rPr>
        <w:t xml:space="preserve">Documentation and baselines inherit the interface work: interface information identified earlier is incorporated into the configuration documentation as it is developed, and once baselined, interface requirements change only by formal change action. An interface that never made it into a baselined specification is an interface the change process cannot protect.</w:t>
      </w:r>
    </w:p>
    <w:p>
      <w:pPr>
        <w:pStyle w:val="ListParagraph"/>
        <w:numPr>
          <w:ilvl w:val="0"/>
          <w:numId w:val="2"/>
        </w:numPr>
        <w:spacing w:after="80" w:line="276"/>
      </w:pPr>
      <w:r>
        <w:rPr>
          <w:rFonts w:ascii="Calibri" w:cs="Calibri" w:eastAsia="Calibri" w:hAnsi="Calibri"/>
          <w:sz w:val="22"/>
          <w:szCs w:val="22"/>
        </w:rPr>
        <w:t xml:space="preserve">Identification is never finished. Re-run the selection screen and structure alignment when: the design changes materially, the architecture model’s decomposition changes, hazard analysis identifies a new safety-critical item, the supportability strategy shifts, the contract changes, a modification forces part-number change — and, easy to miss, when a new supplier is brought in, since a source change is itself a risk trigger elsewhere in the CM system. The identification you shipped at the design review is a snapshot; the process owns keeping it true.</w:t>
      </w:r>
    </w:p>
    <w:p>
      <w:pPr>
        <w:shd w:fill="EDF0F7" w:val="clear"/>
        <w:spacing w:after="60" w:before="160"/>
      </w:pPr>
      <w:r>
        <w:rPr>
          <w:rFonts w:ascii="Calibri" w:cs="Calibri" w:eastAsia="Calibri" w:hAnsi="Calibri"/>
          <w:b/>
          <w:bCs/>
          <w:color w:val="1F3864"/>
          <w:sz w:val="22"/>
          <w:szCs w:val="22"/>
        </w:rPr>
        <w:t xml:space="preserve">Self-check</w:t>
      </w:r>
    </w:p>
    <w:p>
      <w:pPr>
        <w:shd w:fill="EDF0F7" w:val="clear"/>
        <w:spacing w:after="160" w:line="276"/>
      </w:pPr>
      <w:r>
        <w:rPr>
          <w:rFonts w:ascii="Calibri" w:cs="Calibri" w:eastAsia="Calibri" w:hAnsi="Calibri"/>
          <w:sz w:val="22"/>
          <w:szCs w:val="22"/>
        </w:rPr>
        <w:t xml:space="preserve">List four re-identification triggers from memory, then check against the list above. If you got “new supplier,” you were paying attention — it is the one programs forget.</w:t>
      </w:r>
    </w:p>
    <w:p>
      <w:r>
        <w:br w:type="page"/>
      </w:r>
    </w:p>
    <w:p>
      <w:pPr>
        <w:pStyle w:val="Heading1"/>
        <w:spacing w:after="160" w:before="320"/>
      </w:pPr>
      <w:r>
        <w:rPr>
          <w:rFonts w:ascii="Calibri" w:cs="Calibri" w:eastAsia="Calibri" w:hAnsi="Calibri"/>
        </w:rPr>
        <w:t xml:space="preserve">Module 9 — Capstone</w:t>
      </w:r>
    </w:p>
    <w:p>
      <w:pPr>
        <w:pStyle w:val="Heading2"/>
        <w:spacing w:after="120" w:before="260"/>
      </w:pPr>
      <w:r>
        <w:rPr>
          <w:rFonts w:ascii="Calibri" w:cs="Calibri" w:eastAsia="Calibri" w:hAnsi="Calibri"/>
        </w:rPr>
        <w:t xml:space="preserve">Scenario: the Coastal Surveyor Unmanned Aircraft System</w:t>
      </w:r>
    </w:p>
    <w:p>
      <w:pPr>
        <w:spacing w:after="120" w:line="276"/>
      </w:pPr>
      <w:r>
        <w:rPr>
          <w:rFonts w:ascii="Calibri" w:cs="Calibri" w:eastAsia="Calibri" w:hAnsi="Calibri"/>
          <w:sz w:val="22"/>
          <w:szCs w:val="22"/>
        </w:rPr>
        <w:t xml:space="preserve">Your company is under contract to develop the Coastal Surveyor, a small unmanned aircraft for shoreline mapping, flown over mixed terrain including populated beaches. Contract scope is the air vehicle segment; the ground control station is government-furnished and external. The design comprises:</w:t>
      </w:r>
    </w:p>
    <w:p>
      <w:pPr>
        <w:pStyle w:val="ListParagraph"/>
        <w:numPr>
          <w:ilvl w:val="0"/>
          <w:numId w:val="2"/>
        </w:numPr>
        <w:spacing w:after="80" w:line="276"/>
      </w:pPr>
      <w:r>
        <w:rPr>
          <w:rFonts w:ascii="Calibri" w:cs="Calibri" w:eastAsia="Calibri" w:hAnsi="Calibri"/>
          <w:sz w:val="22"/>
          <w:szCs w:val="22"/>
        </w:rPr>
        <w:t xml:space="preserve">An air vehicle with three subsystems: flight control (a flight control computer executing flight software), propulsion (an electric motor, a motor controller with supplier-developed firmware updated quarterly, and a quick-swap propeller with a declared blade life), and recovery (a ballistic parachute subsystem required by the safety case for flight over people, with lifed pyrotechnic cartridges).</w:t>
      </w:r>
    </w:p>
    <w:p>
      <w:pPr>
        <w:pStyle w:val="ListParagraph"/>
        <w:numPr>
          <w:ilvl w:val="0"/>
          <w:numId w:val="2"/>
        </w:numPr>
        <w:spacing w:after="80" w:line="276"/>
      </w:pPr>
      <w:r>
        <w:rPr>
          <w:rFonts w:ascii="Calibri" w:cs="Calibri" w:eastAsia="Calibri" w:hAnsi="Calibri"/>
          <w:sz w:val="22"/>
          <w:szCs w:val="22"/>
        </w:rPr>
        <w:t xml:space="preserve">A mapping payload built around a commercial camera module controlled via a vendor item control drawing.</w:t>
      </w:r>
    </w:p>
    <w:p>
      <w:pPr>
        <w:pStyle w:val="ListParagraph"/>
        <w:numPr>
          <w:ilvl w:val="0"/>
          <w:numId w:val="2"/>
        </w:numPr>
        <w:spacing w:after="80" w:line="276"/>
      </w:pPr>
      <w:r>
        <w:rPr>
          <w:rFonts w:ascii="Calibri" w:cs="Calibri" w:eastAsia="Calibri" w:hAnsi="Calibri"/>
          <w:sz w:val="22"/>
          <w:szCs w:val="22"/>
        </w:rPr>
        <w:t xml:space="preserve">A propulsion battery pack (lithium-ion) that is charged and stored under special handling requirements.</w:t>
      </w:r>
    </w:p>
    <w:p>
      <w:pPr>
        <w:pStyle w:val="ListParagraph"/>
        <w:numPr>
          <w:ilvl w:val="0"/>
          <w:numId w:val="2"/>
        </w:numPr>
        <w:spacing w:after="80" w:line="276"/>
      </w:pPr>
      <w:r>
        <w:rPr>
          <w:rFonts w:ascii="Calibri" w:cs="Calibri" w:eastAsia="Calibri" w:hAnsi="Calibri"/>
          <w:sz w:val="22"/>
          <w:szCs w:val="22"/>
        </w:rPr>
        <w:t xml:space="preserve">The motor controller ships in two connector builds: baseline (units 1–12) and revised (units 13 on), functionally identical, with distinct callouts in the controller interface document.</w:t>
      </w:r>
    </w:p>
    <w:p>
      <w:pPr>
        <w:pStyle w:val="ListParagraph"/>
        <w:numPr>
          <w:ilvl w:val="0"/>
          <w:numId w:val="2"/>
        </w:numPr>
        <w:spacing w:after="80" w:line="276"/>
      </w:pPr>
      <w:r>
        <w:rPr>
          <w:rFonts w:ascii="Calibri" w:cs="Calibri" w:eastAsia="Calibri" w:hAnsi="Calibri"/>
          <w:sz w:val="22"/>
          <w:szCs w:val="22"/>
        </w:rPr>
        <w:t xml:space="preserve">The hazard analysis lists two hazard controls relevant here: the recovery subsystem (protecting people on the ground) and the battery management function (thermal runaway prevention).</w:t>
      </w:r>
    </w:p>
    <w:p>
      <w:pPr>
        <w:pStyle w:val="Heading2"/>
        <w:spacing w:after="120" w:before="260"/>
      </w:pPr>
      <w:r>
        <w:rPr>
          <w:rFonts w:ascii="Calibri" w:cs="Calibri" w:eastAsia="Calibri" w:hAnsi="Calibri"/>
        </w:rPr>
        <w:t xml:space="preserve">Your Tasks</w:t>
      </w:r>
    </w:p>
    <w:p>
      <w:pPr>
        <w:pStyle w:val="ListParagraph"/>
        <w:numPr>
          <w:ilvl w:val="0"/>
          <w:numId w:val="2"/>
        </w:numPr>
        <w:spacing w:after="80" w:line="276"/>
      </w:pPr>
      <w:r>
        <w:rPr>
          <w:rFonts w:ascii="Calibri" w:cs="Calibri" w:eastAsia="Calibri" w:hAnsi="Calibri"/>
          <w:sz w:val="22"/>
          <w:szCs w:val="22"/>
        </w:rPr>
        <w:t xml:space="preserve">Task 1: Produce the CI index for the air vehicle segment using the CI index spreadsheet template — hierarchy, types, control designation, safety-critical flags, and the variant mapping where applicable.</w:t>
      </w:r>
    </w:p>
    <w:p>
      <w:pPr>
        <w:pStyle w:val="ListParagraph"/>
        <w:numPr>
          <w:ilvl w:val="0"/>
          <w:numId w:val="2"/>
        </w:numPr>
        <w:spacing w:after="80" w:line="276"/>
      </w:pPr>
      <w:r>
        <w:rPr>
          <w:rFonts w:ascii="Calibri" w:cs="Calibri" w:eastAsia="Calibri" w:hAnsi="Calibri"/>
          <w:sz w:val="22"/>
          <w:szCs w:val="22"/>
        </w:rPr>
        <w:t xml:space="preserve">Task 2: Produce the interface register using the interface register template — every boundary your structure implies, external boundary included, no-interface determinations where warranted, and variant applicability where warranted.</w:t>
      </w:r>
    </w:p>
    <w:p>
      <w:pPr>
        <w:pStyle w:val="ListParagraph"/>
        <w:numPr>
          <w:ilvl w:val="0"/>
          <w:numId w:val="2"/>
        </w:numPr>
        <w:spacing w:after="80" w:line="276"/>
      </w:pPr>
      <w:r>
        <w:rPr>
          <w:rFonts w:ascii="Calibri" w:cs="Calibri" w:eastAsia="Calibri" w:hAnsi="Calibri"/>
          <w:sz w:val="22"/>
          <w:szCs w:val="22"/>
        </w:rPr>
        <w:t xml:space="preserve">Task 3: Complete one selection criteria checklist in full for the item of your choice; the annotated example in Appendix A of this course uses the recovery subsystem.</w:t>
      </w:r>
    </w:p>
    <w:p>
      <w:pPr>
        <w:pStyle w:val="Heading2"/>
        <w:spacing w:after="120" w:before="260"/>
      </w:pPr>
      <w:r>
        <w:rPr>
          <w:rFonts w:ascii="Calibri" w:cs="Calibri" w:eastAsia="Calibri" w:hAnsi="Calibri"/>
        </w:rPr>
        <w:t xml:space="preserve">Self-Grading</w:t>
      </w:r>
    </w:p>
    <w:p>
      <w:pPr>
        <w:spacing w:after="120" w:line="276"/>
      </w:pPr>
      <w:r>
        <w:rPr>
          <w:rFonts w:ascii="Calibri" w:cs="Calibri" w:eastAsia="Calibri" w:hAnsi="Calibri"/>
          <w:sz w:val="22"/>
          <w:szCs w:val="22"/>
        </w:rPr>
        <w:t xml:space="preserve">Compare your artifacts against the two gold-standard files listed on the References page. The gold standards carry notes explaining every non-obvious entry — read the notes even where your entry matched. Expect legitimate variation in identifier formats and in one or two level-of-selection calls (the motor is the intended judgment call); expect zero variation in: the safety-critical designations, the firmware’s separate identity, the variant mapping, the external boundary, and the presence of a signed disposition for every boundary.</w:t>
      </w:r>
    </w:p>
    <w:p>
      <w:pPr>
        <w:pStyle w:val="Heading2"/>
        <w:spacing w:after="120" w:before="260"/>
      </w:pPr>
      <w:r>
        <w:rPr>
          <w:rFonts w:ascii="Calibri" w:cs="Calibri" w:eastAsia="Calibri" w:hAnsi="Calibri"/>
        </w:rPr>
        <w:t xml:space="preserve">Final Quiz</w:t>
      </w:r>
    </w:p>
    <w:p>
      <w:pPr>
        <w:spacing w:after="120" w:line="276"/>
      </w:pPr>
      <w:r>
        <w:rPr>
          <w:rFonts w:ascii="Calibri" w:cs="Calibri" w:eastAsia="Calibri" w:hAnsi="Calibri"/>
          <w:sz w:val="22"/>
          <w:szCs w:val="22"/>
        </w:rPr>
        <w:t xml:space="preserve">Written to require the capstone. Answer, then check Appendix B.</w:t>
      </w:r>
    </w:p>
    <w:p>
      <w:pPr>
        <w:pStyle w:val="ListParagraph"/>
        <w:numPr>
          <w:ilvl w:val="0"/>
          <w:numId w:val="2"/>
        </w:numPr>
        <w:spacing w:after="80" w:line="276"/>
      </w:pPr>
      <w:r>
        <w:rPr>
          <w:rFonts w:ascii="Calibri" w:cs="Calibri" w:eastAsia="Calibri" w:hAnsi="Calibri"/>
          <w:sz w:val="22"/>
          <w:szCs w:val="22"/>
        </w:rPr>
        <w:t xml:space="preserve">1. How many CIs does your index contain, and which two carry safety-critical flags tied to hazard controls?</w:t>
      </w:r>
    </w:p>
    <w:p>
      <w:pPr>
        <w:pStyle w:val="ListParagraph"/>
        <w:numPr>
          <w:ilvl w:val="0"/>
          <w:numId w:val="2"/>
        </w:numPr>
        <w:spacing w:after="80" w:line="276"/>
      </w:pPr>
      <w:r>
        <w:rPr>
          <w:rFonts w:ascii="Calibri" w:cs="Calibri" w:eastAsia="Calibri" w:hAnsi="Calibri"/>
          <w:sz w:val="22"/>
          <w:szCs w:val="22"/>
        </w:rPr>
        <w:t xml:space="preserve">2. How many part numbers does the motor controller CI map to, and where is that mapping recorded?</w:t>
      </w:r>
    </w:p>
    <w:p>
      <w:pPr>
        <w:pStyle w:val="ListParagraph"/>
        <w:numPr>
          <w:ilvl w:val="0"/>
          <w:numId w:val="2"/>
        </w:numPr>
        <w:spacing w:after="80" w:line="276"/>
      </w:pPr>
      <w:r>
        <w:rPr>
          <w:rFonts w:ascii="Calibri" w:cs="Calibri" w:eastAsia="Calibri" w:hAnsi="Calibri"/>
          <w:sz w:val="22"/>
          <w:szCs w:val="22"/>
        </w:rPr>
        <w:t xml:space="preserve">3. How many rows does your interface register need for the controller-to-harness/motor interface, and why?</w:t>
      </w:r>
    </w:p>
    <w:p>
      <w:pPr>
        <w:pStyle w:val="ListParagraph"/>
        <w:numPr>
          <w:ilvl w:val="0"/>
          <w:numId w:val="2"/>
        </w:numPr>
        <w:spacing w:after="80" w:line="276"/>
      </w:pPr>
      <w:r>
        <w:rPr>
          <w:rFonts w:ascii="Calibri" w:cs="Calibri" w:eastAsia="Calibri" w:hAnsi="Calibri"/>
          <w:sz w:val="22"/>
          <w:szCs w:val="22"/>
        </w:rPr>
        <w:t xml:space="preserve">4. Which boundaries in your register carry no-interface determinations, and what makes those rows valid?</w:t>
      </w:r>
    </w:p>
    <w:p>
      <w:pPr>
        <w:pStyle w:val="ListParagraph"/>
        <w:numPr>
          <w:ilvl w:val="0"/>
          <w:numId w:val="2"/>
        </w:numPr>
        <w:spacing w:after="80" w:line="276"/>
      </w:pPr>
      <w:r>
        <w:rPr>
          <w:rFonts w:ascii="Calibri" w:cs="Calibri" w:eastAsia="Calibri" w:hAnsi="Calibri"/>
          <w:sz w:val="22"/>
          <w:szCs w:val="22"/>
        </w:rPr>
        <w:t xml:space="preserve">5. The camera module is commercial. What is the control mechanism recorded in its index row?</w:t>
      </w:r>
    </w:p>
    <w:p>
      <w:pPr>
        <w:pStyle w:val="ListParagraph"/>
        <w:numPr>
          <w:ilvl w:val="0"/>
          <w:numId w:val="2"/>
        </w:numPr>
        <w:spacing w:after="80" w:line="276"/>
      </w:pPr>
      <w:r>
        <w:rPr>
          <w:rFonts w:ascii="Calibri" w:cs="Calibri" w:eastAsia="Calibri" w:hAnsi="Calibri"/>
          <w:sz w:val="22"/>
          <w:szCs w:val="22"/>
        </w:rPr>
        <w:t xml:space="preserve">6. Name the two capstone facts that would trigger re-identification within the first year of production.</w:t>
      </w:r>
    </w:p>
    <w:p>
      <w:r>
        <w:br w:type="page"/>
      </w:r>
    </w:p>
    <w:p>
      <w:pPr>
        <w:pStyle w:val="Heading1"/>
        <w:spacing w:after="160" w:before="320"/>
      </w:pPr>
      <w:r>
        <w:rPr>
          <w:rFonts w:ascii="Calibri" w:cs="Calibri" w:eastAsia="Calibri" w:hAnsi="Calibri"/>
        </w:rPr>
        <w:t xml:space="preserve">Appendix A — Annotated Selection Checklist: Recovery Subsystem</w:t>
      </w:r>
    </w:p>
    <w:p>
      <w:pPr>
        <w:spacing w:after="120" w:line="276"/>
      </w:pPr>
      <w:r>
        <w:rPr>
          <w:rFonts w:ascii="Calibri" w:cs="Calibri" w:eastAsia="Calibri" w:hAnsi="Calibri"/>
          <w:sz w:val="22"/>
          <w:szCs w:val="22"/>
        </w:rPr>
        <w:t xml:space="preserve">A completed example of Task 3, with the reasoning shown the way your own rationale should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Checklist field</w:t>
            </w:r>
          </w:p>
        </w:tc>
        <w:tc>
          <w:tcPr>
            <w:tcW w:type="dxa" w:w="6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Entry and reasoning</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Candidate item</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Ballistic parachute recovery subsystem, air vehicle segment</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End-use function gate</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PASS — performs the emergency recovery function; exists as a hazard control for flight over people.</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Criterion (a) critical to function</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 — nominal flight does not depend on it. Note the discipline: it is tempting to mark (a) for any important item, but this item’s importance is entirely consequence-of-failure, which is (b)’s territory. Accurate criterion attribution keeps the record meaningful.</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Criterion (b) failure consequence</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YES — the subsystem is the barrier between a failed aircraft and people on the beach; its failure defeats the hazard control. Hazard analysis reference recorded. Safety-floor item: applies regardless of contract flow-down.</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Criterion (c) technology</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 — ballistic recovery is mature.</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Criteria (d)–(f)</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 — no customer direction on this item; no separate type designation need; financial risk real but subsumed by (b).</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Criterion (g) logistics</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YES — repack intervals, lifed pyrotechnic cartridges with consumed-life tracking, handling and storage requirements, technical manual coverage.</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Verdict</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DESIGNATE. Criteria (b) and (g) fired; rationale above; hazard control reference attached; system safety informed of designation (concurrence would be required only for the reverse decision).</w:t>
            </w:r>
          </w:p>
        </w:tc>
      </w:tr>
    </w:tbl>
    <w:p>
      <w:r>
        <w:br w:type="page"/>
      </w:r>
    </w:p>
    <w:p>
      <w:pPr>
        <w:pStyle w:val="Heading1"/>
        <w:spacing w:after="160" w:before="320"/>
      </w:pPr>
      <w:r>
        <w:rPr>
          <w:rFonts w:ascii="Calibri" w:cs="Calibri" w:eastAsia="Calibri" w:hAnsi="Calibri"/>
        </w:rPr>
        <w:t xml:space="preserve">Appendix B — Final Quiz Answers</w:t>
      </w:r>
    </w:p>
    <w:p>
      <w:pPr>
        <w:pStyle w:val="ListParagraph"/>
        <w:numPr>
          <w:ilvl w:val="0"/>
          <w:numId w:val="2"/>
        </w:numPr>
        <w:spacing w:after="80" w:line="276"/>
      </w:pPr>
      <w:r>
        <w:rPr>
          <w:rFonts w:ascii="Calibri" w:cs="Calibri" w:eastAsia="Calibri" w:hAnsi="Calibri"/>
          <w:sz w:val="22"/>
          <w:szCs w:val="22"/>
        </w:rPr>
        <w:t xml:space="preserve">1. The gold standard contains thirteen CI rows (segment root; air vehicle; flight control subsystem; flight control computer; flight software; propulsion subsystem; motor controller; controller firmware; propeller; recovery subsystem; mapping payload; camera module; battery pack — count yours against the gold file; minor structural variation is acceptable, and the motor’s status is the intended judgment call). The two safety-critical flags tied to the hazard controls named in the scenario: the recovery subsystem and the battery pack. The gold file additionally flags the flight control computer, flight software, and propeller, each with a note explaining why the flag is defensible rather than mandatory — if you flagged only the non-negotiable pair, that is a pass; if you missed either of the pair, that is the finding to study.</w:t>
      </w:r>
    </w:p>
    <w:p>
      <w:pPr>
        <w:pStyle w:val="ListParagraph"/>
        <w:numPr>
          <w:ilvl w:val="0"/>
          <w:numId w:val="2"/>
        </w:numPr>
        <w:spacing w:after="80" w:line="276"/>
      </w:pPr>
      <w:r>
        <w:rPr>
          <w:rFonts w:ascii="Calibri" w:cs="Calibri" w:eastAsia="Calibri" w:hAnsi="Calibri"/>
          <w:sz w:val="22"/>
          <w:szCs w:val="22"/>
        </w:rPr>
        <w:t xml:space="preserve">2. Two part numbers (baseline and revised connector builds), recorded on the CI index’s variant mapping sheet with effectivity (units 1–12 / 13 on) and the per-variant interface callout — not as two CIs, and not as a footnote in the row.</w:t>
      </w:r>
    </w:p>
    <w:p>
      <w:pPr>
        <w:pStyle w:val="ListParagraph"/>
        <w:numPr>
          <w:ilvl w:val="0"/>
          <w:numId w:val="2"/>
        </w:numPr>
        <w:spacing w:after="80" w:line="276"/>
      </w:pPr>
      <w:r>
        <w:rPr>
          <w:rFonts w:ascii="Calibri" w:cs="Calibri" w:eastAsia="Calibri" w:hAnsi="Calibri"/>
          <w:sz w:val="22"/>
          <w:szCs w:val="22"/>
        </w:rPr>
        <w:t xml:space="preserve">3. Two rows — one per distinct interface callout, each marked with the variant it applies to. Same interface document, two interface definitions.</w:t>
      </w:r>
    </w:p>
    <w:p>
      <w:pPr>
        <w:pStyle w:val="ListParagraph"/>
        <w:numPr>
          <w:ilvl w:val="0"/>
          <w:numId w:val="2"/>
        </w:numPr>
        <w:spacing w:after="80" w:line="276"/>
      </w:pPr>
      <w:r>
        <w:rPr>
          <w:rFonts w:ascii="Calibri" w:cs="Calibri" w:eastAsia="Calibri" w:hAnsi="Calibri"/>
          <w:sz w:val="22"/>
          <w:szCs w:val="22"/>
        </w:rPr>
        <w:t xml:space="preserve">4. The gold register carries no-interface determinations for flight-software↔payload-camera (all payload traffic routes through the flight control computer) and recovery↔propulsion (no functional interface; physical adjacency only). Valid because each is an explicit determination signed by systems engineering — an unsigned or absent row would be a coverage defect.</w:t>
      </w:r>
    </w:p>
    <w:p>
      <w:pPr>
        <w:pStyle w:val="ListParagraph"/>
        <w:numPr>
          <w:ilvl w:val="0"/>
          <w:numId w:val="2"/>
        </w:numPr>
        <w:spacing w:after="80" w:line="276"/>
      </w:pPr>
      <w:r>
        <w:rPr>
          <w:rFonts w:ascii="Calibri" w:cs="Calibri" w:eastAsia="Calibri" w:hAnsi="Calibri"/>
          <w:sz w:val="22"/>
          <w:szCs w:val="22"/>
        </w:rPr>
        <w:t xml:space="preserve">5. Vendor item control drawing, with vendor change/discontinuance notification as the change-control mechanism; designation at your level of control, vendor internals uncontrolled.</w:t>
      </w:r>
    </w:p>
    <w:p>
      <w:pPr>
        <w:pStyle w:val="ListParagraph"/>
        <w:numPr>
          <w:ilvl w:val="0"/>
          <w:numId w:val="2"/>
        </w:numPr>
        <w:spacing w:after="80" w:line="276"/>
      </w:pPr>
      <w:r>
        <w:rPr>
          <w:rFonts w:ascii="Calibri" w:cs="Calibri" w:eastAsia="Calibri" w:hAnsi="Calibri"/>
          <w:sz w:val="22"/>
          <w:szCs w:val="22"/>
        </w:rPr>
        <w:t xml:space="preserve">6. The quarterly firmware releases (each a version change; a cadence or team change would re-open the one-CI-or-several question) and the connector-build transition at unit 13 (a variant effectivity event; a further non-interchangeable change would mean another part number). A third acceptable answer: any change of the controller supplier — a source change is a standing re-identification and risk trigger.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CI Identification Self-Paced Course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5"/>
      <w:szCs w:val="25"/>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2026-07-19T02:23:47.988Z</dcterms:created>
  <dcterms:modified xsi:type="dcterms:W3CDTF">2026-07-19T02:23:47.988Z</dcterms:modified>
</cp:coreProperties>
</file>

<file path=docProps/custom.xml><?xml version="1.0" encoding="utf-8"?>
<Properties xmlns="http://schemas.openxmlformats.org/officeDocument/2006/custom-properties" xmlns:vt="http://schemas.openxmlformats.org/officeDocument/2006/docPropsVTypes"/>
</file>