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4530C"/>
          <w:sz w:val="16"/>
          <w:szCs w:val="16"/>
        </w:rPr>
        <w:t xml:space="preserve">OPTIONS PAPER  ·  FOR THE SMS SENIOR TECHNICAL FELLOW</w:t>
      </w:r>
    </w:p>
    <w:p>
      <w:pPr>
        <w:spacing w:after="80" w:line="300"/>
      </w:pPr>
      <w:r>
        <w:rPr>
          <w:rFonts w:ascii="Cambria" w:cs="Cambria" w:eastAsia="Cambria" w:hAnsi="Cambria"/>
          <w:b/>
          <w:bCs/>
          <w:color w:val="132A4E"/>
          <w:sz w:val="30"/>
          <w:szCs w:val="30"/>
        </w:rPr>
        <w:t xml:space="preserve">Treating Ground Rules and Assumptions as Requirement Objects</w:t>
      </w:r>
    </w:p>
    <w:p>
      <w:pPr>
        <w:pBdr>
          <w:bottom w:val="single" w:color="D3DEEF" w:sz="4" w:space="8"/>
        </w:pBdr>
        <w:spacing w:after="130"/>
      </w:pPr>
      <w:r>
        <w:rPr>
          <w:rFonts w:ascii="Calibri" w:cs="Calibri" w:eastAsia="Calibri" w:hAnsi="Calibri"/>
          <w:i/>
          <w:iCs/>
          <w:color w:val="4A5568"/>
          <w:sz w:val="18"/>
          <w:szCs w:val="18"/>
        </w:rPr>
        <w:t xml:space="preserve">An alternative to the standalone assumption register, raised in technical review. High-level costs and benefits only.</w:t>
      </w:r>
    </w:p>
    <w:p>
      <w:pPr>
        <w:spacing w:after="70" w:before="60"/>
      </w:pPr>
      <w:r>
        <w:rPr>
          <w:rFonts w:ascii="Cambria" w:cs="Cambria" w:eastAsia="Cambria" w:hAnsi="Cambria"/>
          <w:b/>
          <w:bCs/>
          <w:color w:val="132A4E"/>
          <w:sz w:val="21"/>
          <w:szCs w:val="21"/>
        </w:rPr>
        <w:t xml:space="preserve">The idea</w:t>
      </w:r>
    </w:p>
    <w:p>
      <w:pPr>
        <w:spacing w:after="100" w:line="250"/>
      </w:pPr>
      <w:r>
        <w:rPr>
          <w:rFonts w:ascii="Calibri" w:cs="Calibri" w:eastAsia="Calibri" w:hAnsi="Calibri"/>
          <w:color w:val="1A2333"/>
          <w:sz w:val="18"/>
          <w:szCs w:val="18"/>
        </w:rPr>
        <w:t xml:space="preserve">Rather than building a separate assumption register, apply requirements engineering discipline to assumptions: an identifier, a statement written to be individually checkable, a verification method, a traceable link to what it affects, and a defined lifecycle state. Assumptions then live alongside requirements in the same tooling and inherit the same rigor, reviews and change awareness.</w:t>
      </w:r>
    </w:p>
    <w:p>
      <w:pPr>
        <w:spacing w:after="70" w:before="150"/>
      </w:pPr>
      <w:r>
        <w:rPr>
          <w:rFonts w:ascii="Cambria" w:cs="Cambria" w:eastAsia="Cambria" w:hAnsi="Cambria"/>
          <w:b/>
          <w:bCs/>
          <w:color w:val="132A4E"/>
          <w:sz w:val="21"/>
          <w:szCs w:val="21"/>
        </w:rPr>
        <w:t xml:space="preserve">Benefits and costs</w:t>
      </w:r>
    </w:p>
    <w:tbl>
      <w:tblPr>
        <w:tblW w:type="dxa" w:w="9880"/>
        <w:tblBorders>
          <w:top w:val="single" w:color="D3DEEF" w:sz="2"/>
          <w:left w:val="single" w:color="D3DEEF" w:sz="2"/>
          <w:bottom w:val="single" w:color="D3DEEF" w:sz="2"/>
          <w:right w:val="single" w:color="D3DEEF" w:sz="2"/>
          <w:insideH w:val="single" w:color="D3DEEF" w:sz="2"/>
          <w:insideV w:val="single" w:color="D3DEEF" w:sz="2"/>
        </w:tblBorders>
      </w:tblPr>
      <w:tblGrid>
        <w:gridCol w:w="4940"/>
        <w:gridCol w:w="4940"/>
      </w:tblGrid>
      <w:tr>
        <w:tc>
          <w:tcPr>
            <w:tcW w:type="dxa" w:w="4940"/>
            <w:shd w:fill="E4F1EE" w:color="auto" w:val="clear"/>
            <w:tcMar>
              <w:top w:type="dxa" w:w="75"/>
              <w:left w:type="dxa" w:w="120"/>
              <w:bottom w:type="dxa" w:w="75"/>
              <w:right w:type="dxa" w:w="120"/>
            </w:tcMar>
          </w:tcPr>
          <w:p>
            <w:pPr>
              <w:spacing w:after="90"/>
            </w:pPr>
            <w:r>
              <w:rPr>
                <w:rFonts w:ascii="Calibri" w:cs="Calibri" w:eastAsia="Calibri" w:hAnsi="Calibri"/>
                <w:b/>
                <w:bCs/>
                <w:color w:val="0F6B62"/>
                <w:sz w:val="19"/>
                <w:szCs w:val="19"/>
              </w:rPr>
              <w:t xml:space="preserve">What this buys</w:t>
            </w:r>
          </w:p>
          <w:p>
            <w:pPr>
              <w:spacing w:after="75" w:line="240"/>
            </w:pPr>
            <w:r>
              <w:rPr>
                <w:rFonts w:ascii="Calibri" w:cs="Calibri" w:eastAsia="Calibri" w:hAnsi="Calibri"/>
                <w:b/>
                <w:bCs/>
                <w:color w:val="132A4E"/>
                <w:sz w:val="17"/>
                <w:szCs w:val="17"/>
              </w:rPr>
              <w:t xml:space="preserve">Proven discipline, not a new one.  </w:t>
            </w:r>
            <w:r>
              <w:rPr>
                <w:rFonts w:ascii="Calibri" w:cs="Calibri" w:eastAsia="Calibri" w:hAnsi="Calibri"/>
                <w:color w:val="1A2333"/>
                <w:sz w:val="17"/>
                <w:szCs w:val="17"/>
              </w:rPr>
              <w:t xml:space="preserve">Requirements quality criteria already demand atomic, unambiguous, verifiable statements. An assumption written to that standard is automatically checkable, which is the property the problem turns on.</w:t>
            </w:r>
          </w:p>
          <w:p>
            <w:pPr>
              <w:spacing w:after="75" w:line="240"/>
            </w:pPr>
            <w:r>
              <w:rPr>
                <w:rFonts w:ascii="Calibri" w:cs="Calibri" w:eastAsia="Calibri" w:hAnsi="Calibri"/>
                <w:b/>
                <w:bCs/>
                <w:color w:val="132A4E"/>
                <w:sz w:val="17"/>
                <w:szCs w:val="17"/>
              </w:rPr>
              <w:t xml:space="preserve">Change awareness is already built.  </w:t>
            </w:r>
            <w:r>
              <w:rPr>
                <w:rFonts w:ascii="Calibri" w:cs="Calibri" w:eastAsia="Calibri" w:hAnsi="Calibri"/>
                <w:color w:val="1A2333"/>
                <w:sz w:val="17"/>
                <w:szCs w:val="17"/>
              </w:rPr>
              <w:t xml:space="preserve">Requirements tooling already flags downstream objects when an upstream one changes. That is same-day detection, replacing the periodic manual sweep the register approach needs.</w:t>
            </w:r>
          </w:p>
          <w:p>
            <w:pPr>
              <w:spacing w:after="75" w:line="240"/>
            </w:pPr>
            <w:r>
              <w:rPr>
                <w:rFonts w:ascii="Calibri" w:cs="Calibri" w:eastAsia="Calibri" w:hAnsi="Calibri"/>
                <w:b/>
                <w:bCs/>
                <w:color w:val="132A4E"/>
                <w:sz w:val="17"/>
                <w:szCs w:val="17"/>
              </w:rPr>
              <w:t xml:space="preserve">A clean way to shrink the problem.  </w:t>
            </w:r>
            <w:r>
              <w:rPr>
                <w:rFonts w:ascii="Calibri" w:cs="Calibri" w:eastAsia="Calibri" w:hAnsi="Calibri"/>
                <w:color w:val="1A2333"/>
                <w:sz w:val="17"/>
                <w:szCs w:val="17"/>
              </w:rPr>
              <w:t xml:space="preserve">Many assumptions can be converted into requirements and levied on the responsible party, removing them from the population needing ongoing control. This is the main affordability lever.</w:t>
            </w:r>
          </w:p>
          <w:p>
            <w:pPr>
              <w:spacing w:after="75" w:line="240"/>
            </w:pPr>
            <w:r>
              <w:rPr>
                <w:rFonts w:ascii="Calibri" w:cs="Calibri" w:eastAsia="Calibri" w:hAnsi="Calibri"/>
                <w:b/>
                <w:bCs/>
                <w:color w:val="132A4E"/>
                <w:sz w:val="17"/>
                <w:szCs w:val="17"/>
              </w:rPr>
              <w:t xml:space="preserve">Familiar governance.  </w:t>
            </w:r>
            <w:r>
              <w:rPr>
                <w:rFonts w:ascii="Calibri" w:cs="Calibri" w:eastAsia="Calibri" w:hAnsi="Calibri"/>
                <w:color w:val="1A2333"/>
                <w:sz w:val="17"/>
                <w:szCs w:val="17"/>
              </w:rPr>
              <w:t xml:space="preserve">Review boards, approval routes, baselines and metrics already exist. No new forum to stand up and far less to explain to a program.</w:t>
            </w:r>
          </w:p>
        </w:tc>
        <w:tc>
          <w:tcPr>
            <w:tcW w:type="dxa" w:w="4940"/>
            <w:shd w:fill="FBEBDC" w:color="auto" w:val="clear"/>
            <w:tcMar>
              <w:top w:type="dxa" w:w="75"/>
              <w:left w:type="dxa" w:w="120"/>
              <w:bottom w:type="dxa" w:w="75"/>
              <w:right w:type="dxa" w:w="120"/>
            </w:tcMar>
          </w:tcPr>
          <w:p>
            <w:pPr>
              <w:spacing w:after="90"/>
            </w:pPr>
            <w:r>
              <w:rPr>
                <w:rFonts w:ascii="Calibri" w:cs="Calibri" w:eastAsia="Calibri" w:hAnsi="Calibri"/>
                <w:b/>
                <w:bCs/>
                <w:color w:val="B4530C"/>
                <w:sz w:val="19"/>
                <w:szCs w:val="19"/>
              </w:rPr>
              <w:t xml:space="preserve">What it costs, and what to watch</w:t>
            </w:r>
          </w:p>
          <w:p>
            <w:pPr>
              <w:spacing w:after="75" w:line="240"/>
            </w:pPr>
            <w:r>
              <w:rPr>
                <w:rFonts w:ascii="Calibri" w:cs="Calibri" w:eastAsia="Calibri" w:hAnsi="Calibri"/>
                <w:b/>
                <w:bCs/>
                <w:color w:val="132A4E"/>
                <w:sz w:val="17"/>
                <w:szCs w:val="17"/>
              </w:rPr>
              <w:t xml:space="preserve">Directionality is inverted.  </w:t>
            </w:r>
            <w:r>
              <w:rPr>
                <w:rFonts w:ascii="Calibri" w:cs="Calibri" w:eastAsia="Calibri" w:hAnsi="Calibri"/>
                <w:color w:val="1A2333"/>
                <w:sz w:val="17"/>
                <w:szCs w:val="17"/>
              </w:rPr>
              <w:t xml:space="preserve">A requirement is imposed and must be satisfied. An assumption is accepted and can fail. Housed together, people treat assumptions as satisfiable, and an inconvenient one gets narrowed until it technically holds. This is the main risk, and it is quiet.</w:t>
            </w:r>
          </w:p>
          <w:p>
            <w:pPr>
              <w:spacing w:after="75" w:line="240"/>
            </w:pPr>
            <w:r>
              <w:rPr>
                <w:rFonts w:ascii="Calibri" w:cs="Calibri" w:eastAsia="Calibri" w:hAnsi="Calibri"/>
                <w:b/>
                <w:bCs/>
                <w:color w:val="132A4E"/>
                <w:sz w:val="17"/>
                <w:szCs w:val="17"/>
              </w:rPr>
              <w:t xml:space="preserve">Not everything is verifiable.  </w:t>
            </w:r>
            <w:r>
              <w:rPr>
                <w:rFonts w:ascii="Calibri" w:cs="Calibri" w:eastAsia="Calibri" w:hAnsi="Calibri"/>
                <w:color w:val="1A2333"/>
                <w:sz w:val="17"/>
                <w:szCs w:val="17"/>
              </w:rPr>
              <w:t xml:space="preserve">Assumed procedural compliance, inspection detection rates and fleet utilization close by no test. A monitored state is needed alongside verified, or verifications get recorded that never happened.</w:t>
            </w:r>
          </w:p>
          <w:p>
            <w:pPr>
              <w:spacing w:after="75" w:line="240"/>
            </w:pPr>
            <w:r>
              <w:rPr>
                <w:rFonts w:ascii="Calibri" w:cs="Calibri" w:eastAsia="Calibri" w:hAnsi="Calibri"/>
                <w:b/>
                <w:bCs/>
                <w:color w:val="132A4E"/>
                <w:sz w:val="17"/>
                <w:szCs w:val="17"/>
              </w:rPr>
              <w:t xml:space="preserve">Coverage stops at the model boundary.  </w:t>
            </w:r>
            <w:r>
              <w:rPr>
                <w:rFonts w:ascii="Calibri" w:cs="Calibri" w:eastAsia="Calibri" w:hAnsi="Calibri"/>
                <w:color w:val="1A2333"/>
                <w:sz w:val="17"/>
                <w:szCs w:val="17"/>
              </w:rPr>
              <w:t xml:space="preserve">Requirements tooling holds engineering requirements. Maintenance documents, MELs and training curricula are generally not in it, so automated detection reaches one of three control regimes.</w:t>
            </w:r>
          </w:p>
          <w:p>
            <w:pPr>
              <w:spacing w:after="75" w:line="240"/>
            </w:pPr>
            <w:r>
              <w:rPr>
                <w:rFonts w:ascii="Calibri" w:cs="Calibri" w:eastAsia="Calibri" w:hAnsi="Calibri"/>
                <w:b/>
                <w:bCs/>
                <w:color w:val="132A4E"/>
                <w:sz w:val="17"/>
                <w:szCs w:val="17"/>
              </w:rPr>
              <w:t xml:space="preserve">Word choice has cost implications.  </w:t>
            </w:r>
            <w:r>
              <w:rPr>
                <w:rFonts w:ascii="Calibri" w:cs="Calibri" w:eastAsia="Calibri" w:hAnsi="Calibri"/>
                <w:color w:val="1A2333"/>
                <w:sz w:val="17"/>
                <w:szCs w:val="17"/>
              </w:rPr>
              <w:t xml:space="preserve">Calling it verification invites the question of whether this evidence enters the certification evidence set. Decide deliberately rather than by drift.</w:t>
            </w:r>
          </w:p>
        </w:tc>
      </w:tr>
    </w:tbl>
    <w:p>
      <w:pPr>
        <w:spacing w:after="70" w:before="150"/>
      </w:pPr>
      <w:r>
        <w:rPr>
          <w:rFonts w:ascii="Cambria" w:cs="Cambria" w:eastAsia="Cambria" w:hAnsi="Cambria"/>
          <w:b/>
          <w:bCs/>
          <w:color w:val="132A4E"/>
          <w:sz w:val="21"/>
          <w:szCs w:val="21"/>
        </w:rPr>
        <w:t xml:space="preserve">How it could be implemented on MBSE programs</w:t>
      </w:r>
    </w:p>
    <w:p>
      <w:pPr>
        <w:spacing w:after="100" w:line="250"/>
      </w:pPr>
      <w:r>
        <w:rPr>
          <w:rFonts w:ascii="Calibri" w:cs="Calibri" w:eastAsia="Calibri" w:hAnsi="Calibri"/>
          <w:color w:val="1A2333"/>
          <w:sz w:val="18"/>
          <w:szCs w:val="18"/>
        </w:rPr>
        <w:t xml:space="preserve">Cameo and MSOSA support custom requirement types as a standard extension mechanism, so an assumption type can be created that inherits requirement tables, matrices, relation maps and reporting without bespoke development. Two additions make it fit this problem:</w:t>
      </w:r>
    </w:p>
    <w:p>
      <w:pPr>
        <w:spacing w:after="60" w:line="240"/>
        <w:ind w:left="260"/>
      </w:pPr>
      <w:r>
        <w:rPr>
          <w:rFonts w:ascii="Calibri" w:cs="Calibri" w:eastAsia="Calibri" w:hAnsi="Calibri"/>
          <w:b/>
          <w:bCs/>
          <w:color w:val="132A4E"/>
          <w:sz w:val="17"/>
          <w:szCs w:val="17"/>
        </w:rPr>
        <w:t xml:space="preserve">Model validation rules </w:t>
      </w:r>
      <w:r>
        <w:rPr>
          <w:rFonts w:ascii="Calibri" w:cs="Calibri" w:eastAsia="Calibri" w:hAnsi="Calibri"/>
          <w:color w:val="1A2333"/>
          <w:sz w:val="17"/>
          <w:szCs w:val="17"/>
        </w:rPr>
        <w:t xml:space="preserve">that fail the model when an assumption lacks a rationale, a risk acceptor, or a link to what makes it true. This turns the record schema from a convention into something enforced.</w:t>
      </w:r>
    </w:p>
    <w:p>
      <w:pPr>
        <w:spacing w:after="120" w:line="240"/>
        <w:ind w:left="260"/>
      </w:pPr>
      <w:r>
        <w:rPr>
          <w:rFonts w:ascii="Calibri" w:cs="Calibri" w:eastAsia="Calibri" w:hAnsi="Calibri"/>
          <w:b/>
          <w:bCs/>
          <w:color w:val="132A4E"/>
          <w:sz w:val="17"/>
          <w:szCs w:val="17"/>
        </w:rPr>
        <w:t xml:space="preserve">Stub elements for externally controlled documents </w:t>
      </w:r>
      <w:r>
        <w:rPr>
          <w:rFonts w:ascii="Calibri" w:cs="Calibri" w:eastAsia="Calibri" w:hAnsi="Calibri"/>
          <w:color w:val="1A2333"/>
          <w:sz w:val="17"/>
          <w:szCs w:val="17"/>
        </w:rPr>
        <w:t xml:space="preserve">carrying an identifier and a current revision, maintained manually. One small task per document, and everything downstream becomes automatic. This pulls the maintenance and training regimes into the tool without modeling their content.</w:t>
      </w:r>
    </w:p>
    <w:tbl>
      <w:tblPr>
        <w:tblW w:type="dxa" w:w="9880"/>
        <w:tblBorders>
          <w:top w:val="single" w:color="D3DEEF" w:sz="2"/>
          <w:left w:val="single" w:color="ECC8AE" w:sz="18"/>
          <w:bottom w:val="single" w:color="D3DEEF" w:sz="2"/>
          <w:right w:val="single" w:color="D3DEEF" w:sz="2"/>
          <w:insideH w:val="none"/>
          <w:insideV w:val="none"/>
        </w:tblBorders>
      </w:tblPr>
      <w:tblGrid>
        <w:gridCol w:w="9880"/>
      </w:tblGrid>
      <w:tr>
        <w:tc>
          <w:tcPr>
            <w:tcW w:type="dxa" w:w="9880"/>
            <w:shd w:fill="EDF1F8" w:color="auto" w:val="clear"/>
            <w:tcMar>
              <w:top w:type="dxa" w:w="75"/>
              <w:left w:type="dxa" w:w="120"/>
              <w:bottom w:type="dxa" w:w="75"/>
              <w:right w:type="dxa" w:w="120"/>
            </w:tcMar>
          </w:tcPr>
          <w:p>
            <w:pPr>
              <w:spacing w:after="70"/>
            </w:pPr>
            <w:r>
              <w:rPr>
                <w:rFonts w:ascii="Calibri" w:cs="Calibri" w:eastAsia="Calibri" w:hAnsi="Calibri"/>
                <w:b/>
                <w:bCs/>
                <w:color w:val="B4530C"/>
                <w:sz w:val="18"/>
                <w:szCs w:val="18"/>
              </w:rPr>
              <w:t xml:space="preserve">Two questions that decide whether this works in practice</w:t>
            </w:r>
          </w:p>
          <w:p>
            <w:pPr>
              <w:spacing w:after="60" w:line="250"/>
            </w:pPr>
            <w:r>
              <w:rPr>
                <w:rFonts w:ascii="Calibri" w:cs="Calibri" w:eastAsia="Calibri" w:hAnsi="Calibri"/>
                <w:color w:val="1A2333"/>
                <w:sz w:val="17"/>
                <w:szCs w:val="17"/>
              </w:rPr>
              <w:t xml:space="preserve">Do change notifications and validation warnings actually get worked on our programs, or mass-cleared? If already ignored, this inherits a dead control and gives false assurance, which is worse than an honest manual process.</w:t>
            </w:r>
          </w:p>
          <w:p>
            <w:pPr>
              <w:spacing w:after="60" w:line="250"/>
            </w:pPr>
            <w:r>
              <w:rPr>
                <w:rFonts w:ascii="Calibri" w:cs="Calibri" w:eastAsia="Calibri" w:hAnsi="Calibri"/>
                <w:color w:val="1A2333"/>
                <w:sz w:val="17"/>
                <w:szCs w:val="17"/>
              </w:rPr>
              <w:t xml:space="preserve">Does the model represent the operator, the maintenance organization and the training organization? If not, assumptions about people have nothing to point at inside the tool.</w:t>
            </w:r>
          </w:p>
        </w:tc>
      </w:tr>
    </w:tbl>
    <w:p>
      <w:pPr>
        <w:spacing w:after="70" w:before="150"/>
      </w:pPr>
      <w:r>
        <w:rPr>
          <w:rFonts w:ascii="Cambria" w:cs="Cambria" w:eastAsia="Cambria" w:hAnsi="Cambria"/>
          <w:b/>
          <w:bCs/>
          <w:color w:val="132A4E"/>
          <w:sz w:val="21"/>
          <w:szCs w:val="21"/>
        </w:rPr>
        <w:t xml:space="preserve">Assessment</w:t>
      </w:r>
    </w:p>
    <w:p>
      <w:pPr>
        <w:spacing w:after="100" w:line="250"/>
      </w:pPr>
      <w:r>
        <w:rPr>
          <w:rFonts w:ascii="Calibri" w:cs="Calibri" w:eastAsia="Calibri" w:hAnsi="Calibri"/>
          <w:color w:val="1A2333"/>
          <w:sz w:val="18"/>
          <w:szCs w:val="18"/>
        </w:rPr>
        <w:t xml:space="preserve">This is the stronger framework for the engineering portion of the problem and should be adopted as the primary structure. It does not replace three elements of the register proposal, which are needed either way: the named risk acceptor on the receiving program, the tiering test that scopes what gets controlled, and explicit handling of the two control regimes outside engineering.</w:t>
      </w:r>
    </w:p>
    <w:p>
      <w:pPr>
        <w:spacing w:after="100" w:line="250"/>
      </w:pPr>
      <w:r>
        <w:rPr>
          <w:rFonts w:ascii="Calibri" w:cs="Calibri" w:eastAsia="Calibri" w:hAnsi="Calibri"/>
          <w:color w:val="1A2333"/>
          <w:sz w:val="18"/>
          <w:szCs w:val="18"/>
        </w:rPr>
        <w:t xml:space="preserve">Its principal limitation is timing. Assumptions are created at proposal, when most programs have no mature model, and that is the state where capture matters most. The schema therefore has to work in a spreadsheet too, with the model as the preferred implementation rather than the only one. Without that fallback, the practice starts working two years after the point where it is cheapest.</w:t>
      </w:r>
    </w:p>
    <w:sectPr>
      <w:footerReference w:type="default" r:id="rId7"/>
      <w:pgSz w:w="12240" w:h="15840" w:orient="portrait"/>
      <w:pgMar w:top="900" w:right="1180" w:bottom="72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right"/>
    </w:pPr>
    <w:r>
      <w:rPr>
        <w:rFonts w:ascii="Calibri" w:cs="Calibri" w:eastAsia="Calibri" w:hAnsi="Calibri"/>
        <w:color w:val="4A5568"/>
        <w:sz w:val="15"/>
        <w:szCs w:val="15"/>
      </w:rPr>
      <w:t xml:space="preserve">Discussion draft   ·   Page </w:t>
    </w:r>
    <w:r>
      <w:rPr>
        <w:rFonts w:ascii="Calibri" w:cs="Calibri" w:eastAsia="Calibri" w:hAnsi="Calibri"/>
        <w:color w:val="4A556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3"/>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Treating Ground Rules and Assumptions as Requirement Objects</dc:title>
  <dc:creator>Options paper</dc:creator>
  <cp:lastModifiedBy>Un-named</cp:lastModifiedBy>
  <cp:revision>1</cp:revision>
  <dcterms:created xsi:type="dcterms:W3CDTF">2026-08-06T11:37:38.699Z</dcterms:created>
  <dcterms:modified xsi:type="dcterms:W3CDTF">2026-08-06T11:37:38.699Z</dcterms:modified>
</cp:coreProperties>
</file>

<file path=docProps/custom.xml><?xml version="1.0" encoding="utf-8"?>
<Properties xmlns="http://schemas.openxmlformats.org/officeDocument/2006/custom-properties" xmlns:vt="http://schemas.openxmlformats.org/officeDocument/2006/docPropsVTypes"/>
</file>