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BE"/>
          <w:sz w:val="36"/>
          <w:szCs w:val="36"/>
        </w:rPr>
        <w:t xml:space="preserve">OUTPUT SYSTEMS</w:t>
      </w:r>
    </w:p>
    <w:p>
      <w:pPr>
        <w:spacing w:after="80"/>
        <w:jc w:val="center"/>
      </w:pPr>
      <w:r>
        <w:rPr>
          <w:rFonts w:ascii="Arial" w:cs="Arial" w:eastAsia="Arial" w:hAnsi="Arial"/>
          <w:color w:val="555555"/>
          <w:sz w:val="22"/>
          <w:szCs w:val="22"/>
        </w:rPr>
        <w:t xml:space="preserve">Intelligent Customer Interaction Systems</w:t>
      </w:r>
    </w:p>
    <w:p>
      <w:pPr>
        <w:pBdr>
          <w:bottom w:val="single" w:color="1B4FBE" w:sz="4" w:space="1"/>
        </w:pBdr>
        <w:spacing w:after="200"/>
      </w:pPr>
      <w:r>
        <w:t xml:space="preserve"/>
      </w:r>
    </w:p>
    <w:p>
      <w:pPr>
        <w:spacing w:after="80"/>
        <w:jc w:val="center"/>
      </w:pPr>
      <w:r>
        <w:rPr>
          <w:rFonts w:ascii="Arial" w:cs="Arial" w:eastAsia="Arial" w:hAnsi="Arial"/>
          <w:b/>
          <w:bCs/>
          <w:color w:val="111827"/>
          <w:sz w:val="44"/>
          <w:szCs w:val="44"/>
        </w:rPr>
        <w:t xml:space="preserve">Immigration Lawyer Demo</w:t>
      </w:r>
    </w:p>
    <w:p>
      <w:pPr>
        <w:spacing w:after="80"/>
        <w:jc w:val="center"/>
      </w:pPr>
      <w:r>
        <w:rPr>
          <w:rFonts w:ascii="Arial" w:cs="Arial" w:eastAsia="Arial" w:hAnsi="Arial"/>
          <w:color w:val="555555"/>
          <w:sz w:val="24"/>
          <w:szCs w:val="24"/>
        </w:rPr>
        <w:t xml:space="preserve">Privacy and Data Compliance Document</w:t>
      </w:r>
    </w:p>
    <w:p>
      <w:pPr>
        <w:spacing w:after="80"/>
        <w:jc w:val="center"/>
      </w:pPr>
      <w:r>
        <w:rPr>
          <w:rFonts w:ascii="Arial" w:cs="Arial" w:eastAsia="Arial" w:hAnsi="Arial"/>
          <w:color w:val="888888"/>
          <w:sz w:val="20"/>
          <w:szCs w:val="20"/>
        </w:rPr>
        <w:t xml:space="preserve">Document 4 of 5</w:t>
      </w:r>
    </w:p>
    <w:p>
      <w:pPr>
        <w:pBdr>
          <w:bottom w:val="single" w:color="1B4FBE" w:sz="4" w:space="1"/>
        </w:pBdr>
        <w:spacing w:after="200"/>
      </w:pPr>
      <w:r>
        <w:t xml:space="preserve"/>
      </w:r>
    </w:p>
    <w:p>
      <w:pPr>
        <w:spacing w:after="120"/>
      </w:pPr>
      <w:r>
        <w:t xml:space="preserve"/>
      </w:r>
    </w:p>
    <w:p>
      <w:pPr>
        <w:pStyle w:val="Heading1"/>
      </w:pPr>
      <w:r>
        <w:t xml:space="preserve">Overview</w:t>
      </w:r>
    </w:p>
    <w:p>
      <w:pPr>
        <w:spacing w:after="160"/>
      </w:pPr>
      <w:r>
        <w:t xml:space="preserve">This document serves two purposes. First, it gives Claude Code the technical and compliance architecture to build the data layer of the immigration chat system correctly. Second, it gives the chat system the content it needs to answer privacy questions from both visitors and immigration law professionals accurately and confidently. Every architectural decision in this document is mandatory and must be implemented exactly as specified.</w:t>
      </w:r>
    </w:p>
    <w:p>
      <w:pPr>
        <w:spacing w:after="120"/>
      </w:pPr>
      <w:r>
        <w:t xml:space="preserve"/>
      </w:r>
    </w:p>
    <w:p>
      <w:pPr>
        <w:pStyle w:val="Heading1"/>
      </w:pPr>
      <w:r>
        <w:t xml:space="preserve">Section 1: Two-Bucket Data Architecture</w:t>
      </w:r>
    </w:p>
    <w:p>
      <w:pPr>
        <w:pStyle w:val="Heading2"/>
      </w:pPr>
      <w:r>
        <w:t xml:space="preserve">The Core Principle</w:t>
      </w:r>
    </w:p>
    <w:p>
      <w:pPr>
        <w:spacing w:after="160"/>
      </w:pPr>
      <w:r>
        <w:t xml:space="preserve">All data generated by the immigration chat system is separated into two completely independent buckets. These buckets share no database relationship of any kind. This separation is fundamental to the system's privacy design and is not optional.</w:t>
      </w:r>
    </w:p>
    <w:p>
      <w:pPr>
        <w:spacing w:after="120"/>
      </w:pPr>
      <w:r>
        <w:t xml:space="preserve"/>
      </w:r>
    </w:p>
    <w:p>
      <w:pPr>
        <w:pStyle w:val="Heading2"/>
      </w:pPr>
      <w:r>
        <w:t xml:space="preserve">Bucket A: Anonymized Conversation Intelligence</w:t>
      </w:r>
    </w:p>
    <w:p>
      <w:pPr>
        <w:pStyle w:val="ListParagraph"/>
        <w:numPr>
          <w:ilvl w:val="0"/>
          <w:numId w:val="2"/>
        </w:numPr>
        <w:spacing w:after="100"/>
      </w:pPr>
      <w:r>
        <w:rPr>
          <w:b w:val="false"/>
          <w:bCs w:val="false"/>
        </w:rPr>
        <w:t xml:space="preserve">Contains: questions asked, topics explored, interaction patterns, urgency signals detected, conversation flow data, drop-off points, and mode selections.</w:t>
      </w:r>
    </w:p>
    <w:p>
      <w:pPr>
        <w:pStyle w:val="ListParagraph"/>
        <w:numPr>
          <w:ilvl w:val="0"/>
          <w:numId w:val="2"/>
        </w:numPr>
        <w:spacing w:after="100"/>
      </w:pPr>
      <w:r>
        <w:rPr>
          <w:b w:val="false"/>
          <w:bCs w:val="false"/>
        </w:rPr>
        <w:t xml:space="preserve">Does not contain: any personal information of any kind. No names, no email addresses, no phone numbers, no immigration status details, no document numbers.</w:t>
      </w:r>
    </w:p>
    <w:p>
      <w:pPr>
        <w:pStyle w:val="ListParagraph"/>
        <w:numPr>
          <w:ilvl w:val="0"/>
          <w:numId w:val="2"/>
        </w:numPr>
        <w:spacing w:after="100"/>
      </w:pPr>
      <w:r>
        <w:rPr>
          <w:b w:val="false"/>
          <w:bCs w:val="false"/>
        </w:rPr>
        <w:t xml:space="preserve">Purpose: powers the Output Two intelligence dashboard and the monthly performance report.</w:t>
      </w:r>
    </w:p>
    <w:p>
      <w:pPr>
        <w:pStyle w:val="ListParagraph"/>
        <w:numPr>
          <w:ilvl w:val="0"/>
          <w:numId w:val="2"/>
        </w:numPr>
        <w:spacing w:after="100"/>
      </w:pPr>
      <w:r>
        <w:rPr>
          <w:b w:val="false"/>
          <w:bCs w:val="false"/>
        </w:rPr>
        <w:t xml:space="preserve">Storage: separate Supabase table with no foreign key relationship to Bucket B.</w:t>
      </w:r>
    </w:p>
    <w:p>
      <w:pPr>
        <w:pStyle w:val="ListParagraph"/>
        <w:numPr>
          <w:ilvl w:val="0"/>
          <w:numId w:val="2"/>
        </w:numPr>
        <w:spacing w:after="100"/>
      </w:pPr>
      <w:r>
        <w:rPr>
          <w:b w:val="false"/>
          <w:bCs w:val="false"/>
        </w:rPr>
        <w:t xml:space="preserve">Retention: held for the duration of the client engagement plus the agreed reporting period.</w:t>
      </w:r>
    </w:p>
    <w:p>
      <w:pPr>
        <w:pStyle w:val="ListParagraph"/>
        <w:numPr>
          <w:ilvl w:val="0"/>
          <w:numId w:val="2"/>
        </w:numPr>
        <w:spacing w:after="100"/>
      </w:pPr>
      <w:r>
        <w:rPr>
          <w:b w:val="false"/>
          <w:bCs w:val="false"/>
        </w:rPr>
        <w:t xml:space="preserve">Access: Output Systems analytics layer only. The law firm accesses aggregated insights through the dashboard, not raw conversation records.</w:t>
      </w:r>
    </w:p>
    <w:p>
      <w:pPr>
        <w:spacing w:after="120"/>
      </w:pPr>
      <w:r>
        <w:t xml:space="preserve"/>
      </w:r>
    </w:p>
    <w:p>
      <w:pPr>
        <w:pStyle w:val="Heading2"/>
      </w:pPr>
      <w:r>
        <w:t xml:space="preserve">Bucket B: Lead and Contact Data</w:t>
      </w:r>
    </w:p>
    <w:p>
      <w:pPr>
        <w:pStyle w:val="ListParagraph"/>
        <w:numPr>
          <w:ilvl w:val="0"/>
          <w:numId w:val="2"/>
        </w:numPr>
        <w:spacing w:after="100"/>
      </w:pPr>
      <w:r>
        <w:rPr>
          <w:b w:val="false"/>
          <w:bCs w:val="false"/>
        </w:rPr>
        <w:t xml:space="preserve">Contains: first name, last name, email address, phone number, preferred contact method, brief matter description, consent record with timestamp, urgency flag if applicable, and language preference if noted.</w:t>
      </w:r>
    </w:p>
    <w:p>
      <w:pPr>
        <w:pStyle w:val="ListParagraph"/>
        <w:numPr>
          <w:ilvl w:val="0"/>
          <w:numId w:val="2"/>
        </w:numPr>
        <w:spacing w:after="100"/>
      </w:pPr>
      <w:r>
        <w:rPr>
          <w:b w:val="false"/>
          <w:bCs w:val="false"/>
        </w:rPr>
        <w:t xml:space="preserve">Does not contain: immigration status, document numbers, detailed case information, case notes, visa history, or any information that constitutes legal case file content.</w:t>
      </w:r>
    </w:p>
    <w:p>
      <w:pPr>
        <w:pStyle w:val="ListParagraph"/>
        <w:numPr>
          <w:ilvl w:val="0"/>
          <w:numId w:val="2"/>
        </w:numPr>
        <w:spacing w:after="100"/>
      </w:pPr>
      <w:r>
        <w:rPr>
          <w:b w:val="false"/>
          <w:bCs w:val="false"/>
        </w:rPr>
        <w:t xml:space="preserve">Purpose: enables the law firm's intake team to follow up with prospective clients.</w:t>
      </w:r>
    </w:p>
    <w:p>
      <w:pPr>
        <w:pStyle w:val="ListParagraph"/>
        <w:numPr>
          <w:ilvl w:val="0"/>
          <w:numId w:val="2"/>
        </w:numPr>
        <w:spacing w:after="100"/>
      </w:pPr>
      <w:r>
        <w:rPr>
          <w:b w:val="false"/>
          <w:bCs w:val="false"/>
        </w:rPr>
        <w:t xml:space="preserve">Storage: separate Supabase table with row-level security. No relationship to Bucket A.</w:t>
      </w:r>
    </w:p>
    <w:p>
      <w:pPr>
        <w:pStyle w:val="ListParagraph"/>
        <w:numPr>
          <w:ilvl w:val="0"/>
          <w:numId w:val="2"/>
        </w:numPr>
        <w:spacing w:after="100"/>
      </w:pPr>
      <w:r>
        <w:rPr>
          <w:b w:val="false"/>
          <w:bCs w:val="false"/>
        </w:rPr>
        <w:t xml:space="preserve">Retention: held until the firm's intake process is complete or until deletion is requested.</w:t>
      </w:r>
    </w:p>
    <w:p>
      <w:pPr>
        <w:pStyle w:val="ListParagraph"/>
        <w:numPr>
          <w:ilvl w:val="0"/>
          <w:numId w:val="2"/>
        </w:numPr>
        <w:spacing w:after="100"/>
      </w:pPr>
      <w:r>
        <w:rPr>
          <w:b w:val="false"/>
          <w:bCs w:val="false"/>
        </w:rPr>
        <w:t xml:space="preserve">Access: the law firm's authorized intake team only.</w:t>
      </w:r>
    </w:p>
    <w:p>
      <w:pPr>
        <w:spacing w:after="120"/>
      </w:pPr>
      <w:r>
        <w:t xml:space="preserve"/>
      </w:r>
    </w:p>
    <w:p>
      <w:pPr>
        <w:pStyle w:val="Heading2"/>
      </w:pPr>
      <w:r>
        <w:t xml:space="preserve">What Is Never Stored</w:t>
      </w:r>
    </w:p>
    <w:p>
      <w:pPr>
        <w:pStyle w:val="ListParagraph"/>
        <w:numPr>
          <w:ilvl w:val="0"/>
          <w:numId w:val="2"/>
        </w:numPr>
        <w:spacing w:after="100"/>
      </w:pPr>
      <w:r>
        <w:rPr>
          <w:b w:val="false"/>
          <w:bCs w:val="false"/>
        </w:rPr>
        <w:t xml:space="preserve">No conversation transcripts are ever written to any database.</w:t>
      </w:r>
    </w:p>
    <w:p>
      <w:pPr>
        <w:pStyle w:val="ListParagraph"/>
        <w:numPr>
          <w:ilvl w:val="0"/>
          <w:numId w:val="2"/>
        </w:numPr>
        <w:spacing w:after="100"/>
      </w:pPr>
      <w:r>
        <w:rPr>
          <w:b w:val="false"/>
          <w:bCs w:val="false"/>
        </w:rPr>
        <w:t xml:space="preserve">No immigration status information is stored.</w:t>
      </w:r>
    </w:p>
    <w:p>
      <w:pPr>
        <w:pStyle w:val="ListParagraph"/>
        <w:numPr>
          <w:ilvl w:val="0"/>
          <w:numId w:val="2"/>
        </w:numPr>
        <w:spacing w:after="100"/>
      </w:pPr>
      <w:r>
        <w:rPr>
          <w:b w:val="false"/>
          <w:bCs w:val="false"/>
        </w:rPr>
        <w:t xml:space="preserve">No document numbers, passport numbers, visa numbers, or government identification numbers are stored.</w:t>
      </w:r>
    </w:p>
    <w:p>
      <w:pPr>
        <w:pStyle w:val="ListParagraph"/>
        <w:numPr>
          <w:ilvl w:val="0"/>
          <w:numId w:val="2"/>
        </w:numPr>
        <w:spacing w:after="100"/>
      </w:pPr>
      <w:r>
        <w:rPr>
          <w:b w:val="false"/>
          <w:bCs w:val="false"/>
        </w:rPr>
        <w:t xml:space="preserve">No health information is stored.</w:t>
      </w:r>
    </w:p>
    <w:p>
      <w:pPr>
        <w:pStyle w:val="ListParagraph"/>
        <w:numPr>
          <w:ilvl w:val="0"/>
          <w:numId w:val="2"/>
        </w:numPr>
        <w:spacing w:after="100"/>
      </w:pPr>
      <w:r>
        <w:rPr>
          <w:b w:val="false"/>
          <w:bCs w:val="false"/>
        </w:rPr>
        <w:t xml:space="preserve">No financial information is stored.</w:t>
      </w:r>
    </w:p>
    <w:p>
      <w:pPr>
        <w:spacing w:after="120"/>
      </w:pPr>
      <w:r>
        <w:t xml:space="preserve"/>
      </w:r>
    </w:p>
    <w:p>
      <w:pPr>
        <w:pStyle w:val="Heading1"/>
      </w:pPr>
      <w:r>
        <w:t xml:space="preserve">Section 2: Cookie Consent</w:t>
      </w:r>
    </w:p>
    <w:p>
      <w:pPr>
        <w:pStyle w:val="Heading2"/>
      </w:pPr>
      <w:r>
        <w:t xml:space="preserve">The Cookie Consent Notice</w:t>
      </w:r>
    </w:p>
    <w:p>
      <w:pPr>
        <w:spacing w:after="160"/>
      </w:pPr>
      <w:r>
        <w:t xml:space="preserve">The following notice appears at the start of every session before any interaction begins. It must be accepted or declined before the system responds to any message.</w:t>
      </w:r>
    </w:p>
    <w:p>
      <w:pPr>
        <w:spacing w:after="120"/>
      </w:pPr>
      <w:r>
        <w:t xml:space="preserve"/>
      </w:r>
    </w:p>
    <w:p>
      <w:pPr>
        <w:pBdr>
          <w:top w:val="single" w:color="1B4FBE" w:sz="4"/>
          <w:bottom w:val="single" w:color="1B4FBE" w:sz="4"/>
          <w:left w:val="single" w:color="1B4FBE" w:sz="4"/>
          <w:right w:val="single" w:color="1B4FBE" w:sz="4"/>
        </w:pBdr>
        <w:spacing w:after="100"/>
      </w:pPr>
      <w:r>
        <w:rPr>
          <w:sz w:val="20"/>
          <w:szCs w:val="20"/>
        </w:rPr>
        <w:t xml:space="preserve">Cookie Notice: This website uses cookies to enable the chat feature to function. We do not use advertising cookies or tracking cookies. By continuing, you agree to our use of functional cookies only. You can close this chat at any time.</w:t>
      </w:r>
    </w:p>
    <w:p>
      <w:pPr>
        <w:spacing w:after="120"/>
      </w:pPr>
      <w:r>
        <w:t xml:space="preserve"/>
      </w:r>
    </w:p>
    <w:p>
      <w:pPr>
        <w:pStyle w:val="ListParagraph"/>
        <w:numPr>
          <w:ilvl w:val="0"/>
          <w:numId w:val="2"/>
        </w:numPr>
        <w:spacing w:after="100"/>
      </w:pPr>
      <w:r>
        <w:rPr>
          <w:b w:val="false"/>
          <w:bCs w:val="false"/>
        </w:rPr>
        <w:t xml:space="preserve">If the visitor accepts: the session proceeds normally.</w:t>
      </w:r>
    </w:p>
    <w:p>
      <w:pPr>
        <w:pStyle w:val="ListParagraph"/>
        <w:numPr>
          <w:ilvl w:val="0"/>
          <w:numId w:val="2"/>
        </w:numPr>
        <w:spacing w:after="100"/>
      </w:pPr>
      <w:r>
        <w:rPr>
          <w:b w:val="false"/>
          <w:bCs w:val="false"/>
        </w:rPr>
        <w:t xml:space="preserve">If the visitor declines: the system acknowledges the choice, explains that the chat requires functional cookies to operate, and offers the firm's direct contact information as an alternative.</w:t>
      </w:r>
    </w:p>
    <w:p>
      <w:pPr>
        <w:pStyle w:val="ListParagraph"/>
        <w:numPr>
          <w:ilvl w:val="0"/>
          <w:numId w:val="2"/>
        </w:numPr>
        <w:spacing w:after="100"/>
      </w:pPr>
      <w:r>
        <w:rPr>
          <w:b w:val="false"/>
          <w:bCs w:val="false"/>
        </w:rPr>
        <w:t xml:space="preserve">Cookie preference is enforced throughout the session. No cookies beyond functional session cookies are set under any circumstances.</w:t>
      </w:r>
    </w:p>
    <w:p>
      <w:pPr>
        <w:spacing w:after="120"/>
      </w:pPr>
      <w:r>
        <w:t xml:space="preserve"/>
      </w:r>
    </w:p>
    <w:p>
      <w:pPr>
        <w:pStyle w:val="Heading1"/>
      </w:pPr>
      <w:r>
        <w:t xml:space="preserve">Section 3: PIPEDA Compliance</w:t>
      </w:r>
    </w:p>
    <w:p>
      <w:pPr>
        <w:pStyle w:val="Heading2"/>
      </w:pPr>
      <w:r>
        <w:t xml:space="preserve">What PIPEDA Requires</w:t>
      </w:r>
    </w:p>
    <w:p>
      <w:pPr>
        <w:pStyle w:val="ListParagraph"/>
        <w:numPr>
          <w:ilvl w:val="0"/>
          <w:numId w:val="2"/>
        </w:numPr>
        <w:spacing w:after="100"/>
      </w:pPr>
      <w:r>
        <w:rPr>
          <w:b w:val="false"/>
          <w:bCs w:val="false"/>
        </w:rPr>
        <w:t xml:space="preserve">The Personal Information Protection and Electronic Documents Act governs how private sector organizations in Canada collect, use, and disclose personal information in the course of commercial activity.</w:t>
      </w:r>
    </w:p>
    <w:p>
      <w:pPr>
        <w:pStyle w:val="ListParagraph"/>
        <w:numPr>
          <w:ilvl w:val="0"/>
          <w:numId w:val="2"/>
        </w:numPr>
        <w:spacing w:after="100"/>
      </w:pPr>
      <w:r>
        <w:rPr>
          <w:b w:val="false"/>
          <w:bCs w:val="false"/>
        </w:rPr>
        <w:t xml:space="preserve">Core principles: accountability, identifying purposes, consent, limiting collection, limiting use and disclosure, accuracy, safeguards, openness, individual access, and challenging compliance.</w:t>
      </w:r>
    </w:p>
    <w:p>
      <w:pPr>
        <w:spacing w:after="120"/>
      </w:pPr>
      <w:r>
        <w:t xml:space="preserve"/>
      </w:r>
    </w:p>
    <w:p>
      <w:pPr>
        <w:pStyle w:val="Heading2"/>
      </w:pPr>
      <w:r>
        <w:t xml:space="preserve">How This System Complies</w:t>
      </w:r>
    </w:p>
    <w:p>
      <w:pPr>
        <w:pStyle w:val="ListParagraph"/>
        <w:numPr>
          <w:ilvl w:val="0"/>
          <w:numId w:val="2"/>
        </w:numPr>
        <w:spacing w:after="100"/>
      </w:pPr>
      <w:r>
        <w:rPr>
          <w:b w:val="false"/>
          <w:bCs w:val="false"/>
        </w:rPr>
        <w:t xml:space="preserve">Purpose identification: personal information is collected only for the clearly stated purpose of connecting the visitor with the law firm for a consultation.</w:t>
      </w:r>
    </w:p>
    <w:p>
      <w:pPr>
        <w:pStyle w:val="ListParagraph"/>
        <w:numPr>
          <w:ilvl w:val="0"/>
          <w:numId w:val="2"/>
        </w:numPr>
        <w:spacing w:after="100"/>
      </w:pPr>
      <w:r>
        <w:rPr>
          <w:b w:val="false"/>
          <w:bCs w:val="false"/>
        </w:rPr>
        <w:t xml:space="preserve">Consent: explicit consent is obtained before any personal information is passed to the firm.</w:t>
      </w:r>
    </w:p>
    <w:p>
      <w:pPr>
        <w:pStyle w:val="ListParagraph"/>
        <w:numPr>
          <w:ilvl w:val="0"/>
          <w:numId w:val="2"/>
        </w:numPr>
        <w:spacing w:after="100"/>
      </w:pPr>
      <w:r>
        <w:rPr>
          <w:b w:val="false"/>
          <w:bCs w:val="false"/>
        </w:rPr>
        <w:t xml:space="preserve">Limiting collection: the system collects only the minimum information necessary for the stated purpose.</w:t>
      </w:r>
    </w:p>
    <w:p>
      <w:pPr>
        <w:pStyle w:val="ListParagraph"/>
        <w:numPr>
          <w:ilvl w:val="0"/>
          <w:numId w:val="2"/>
        </w:numPr>
        <w:spacing w:after="100"/>
      </w:pPr>
      <w:r>
        <w:rPr>
          <w:b w:val="false"/>
          <w:bCs w:val="false"/>
        </w:rPr>
        <w:t xml:space="preserve">Limiting use: data is used only for the purpose for which it was collected.</w:t>
      </w:r>
    </w:p>
    <w:p>
      <w:pPr>
        <w:pStyle w:val="ListParagraph"/>
        <w:numPr>
          <w:ilvl w:val="0"/>
          <w:numId w:val="2"/>
        </w:numPr>
        <w:spacing w:after="100"/>
      </w:pPr>
      <w:r>
        <w:rPr>
          <w:b w:val="false"/>
          <w:bCs w:val="false"/>
        </w:rPr>
        <w:t xml:space="preserve">Safeguards: data is encrypted in transit and at rest. Access is role-controlled.</w:t>
      </w:r>
    </w:p>
    <w:p>
      <w:pPr>
        <w:pStyle w:val="ListParagraph"/>
        <w:numPr>
          <w:ilvl w:val="0"/>
          <w:numId w:val="2"/>
        </w:numPr>
        <w:spacing w:after="100"/>
      </w:pPr>
      <w:r>
        <w:rPr>
          <w:b w:val="false"/>
          <w:bCs w:val="false"/>
        </w:rPr>
        <w:t xml:space="preserve">Openness: the system explains its data practices clearly in plain language during the conversation.</w:t>
      </w:r>
    </w:p>
    <w:p>
      <w:pPr>
        <w:spacing w:after="120"/>
      </w:pPr>
      <w:r>
        <w:t xml:space="preserve"/>
      </w:r>
    </w:p>
    <w:p>
      <w:pPr>
        <w:pStyle w:val="Heading2"/>
      </w:pPr>
      <w:r>
        <w:t xml:space="preserve">Law Firm Responsibilities Under PIPEDA</w:t>
      </w:r>
    </w:p>
    <w:p>
      <w:pPr>
        <w:pStyle w:val="ListParagraph"/>
        <w:numPr>
          <w:ilvl w:val="0"/>
          <w:numId w:val="2"/>
        </w:numPr>
        <w:spacing w:after="100"/>
      </w:pPr>
      <w:r>
        <w:rPr>
          <w:b w:val="false"/>
          <w:bCs w:val="false"/>
        </w:rPr>
        <w:t xml:space="preserve">The deploying law firm is responsible for maintaining a privacy policy on its website that accurately describes how visitor data is collected and used.</w:t>
      </w:r>
    </w:p>
    <w:p>
      <w:pPr>
        <w:pStyle w:val="ListParagraph"/>
        <w:numPr>
          <w:ilvl w:val="0"/>
          <w:numId w:val="2"/>
        </w:numPr>
        <w:spacing w:after="100"/>
      </w:pPr>
      <w:r>
        <w:rPr>
          <w:b w:val="false"/>
          <w:bCs w:val="false"/>
        </w:rPr>
        <w:t xml:space="preserve">The firm is responsible for honoring data deletion requests from visitors.</w:t>
      </w:r>
    </w:p>
    <w:p>
      <w:pPr>
        <w:pStyle w:val="ListParagraph"/>
        <w:numPr>
          <w:ilvl w:val="0"/>
          <w:numId w:val="2"/>
        </w:numPr>
        <w:spacing w:after="100"/>
      </w:pPr>
      <w:r>
        <w:rPr>
          <w:b w:val="false"/>
          <w:bCs w:val="false"/>
        </w:rPr>
        <w:t xml:space="preserve">The firm is responsible for ensuring its follow-up communications comply with PIPEDA and applicable provincial privacy legislation.</w:t>
      </w:r>
    </w:p>
    <w:p>
      <w:pPr>
        <w:spacing w:after="120"/>
      </w:pPr>
      <w:r>
        <w:t xml:space="preserve"/>
      </w:r>
    </w:p>
    <w:p>
      <w:pPr>
        <w:pStyle w:val="Heading1"/>
      </w:pPr>
      <w:r>
        <w:t xml:space="preserve">Section 4: CASL Compliance</w:t>
      </w:r>
    </w:p>
    <w:p>
      <w:pPr>
        <w:pStyle w:val="Heading2"/>
      </w:pPr>
      <w:r>
        <w:t xml:space="preserve">What CASL Requires</w:t>
      </w:r>
    </w:p>
    <w:p>
      <w:pPr>
        <w:pStyle w:val="ListParagraph"/>
        <w:numPr>
          <w:ilvl w:val="0"/>
          <w:numId w:val="2"/>
        </w:numPr>
        <w:spacing w:after="100"/>
      </w:pPr>
      <w:r>
        <w:rPr>
          <w:b w:val="false"/>
          <w:bCs w:val="false"/>
        </w:rPr>
        <w:t xml:space="preserve">Canada's Anti-Spam Legislation governs the sending of commercial electronic messages and requires express or implied consent before sending email, SMS, or other electronic communications for commercial purposes.</w:t>
      </w:r>
    </w:p>
    <w:p>
      <w:pPr>
        <w:pStyle w:val="ListParagraph"/>
        <w:numPr>
          <w:ilvl w:val="0"/>
          <w:numId w:val="2"/>
        </w:numPr>
        <w:spacing w:after="100"/>
      </w:pPr>
      <w:r>
        <w:rPr>
          <w:b w:val="false"/>
          <w:bCs w:val="false"/>
        </w:rPr>
        <w:t xml:space="preserve">Express consent requires an active, affirmative opt-in. Pre-checked boxes do not satisfy CASL requirements.</w:t>
      </w:r>
    </w:p>
    <w:p>
      <w:pPr>
        <w:spacing w:after="120"/>
      </w:pPr>
      <w:r>
        <w:t xml:space="preserve"/>
      </w:r>
    </w:p>
    <w:p>
      <w:pPr>
        <w:pStyle w:val="Heading2"/>
      </w:pPr>
      <w:r>
        <w:t xml:space="preserve">How This System Satisfies CASL Express Consent</w:t>
      </w:r>
    </w:p>
    <w:p>
      <w:pPr>
        <w:pStyle w:val="ListParagraph"/>
        <w:numPr>
          <w:ilvl w:val="0"/>
          <w:numId w:val="2"/>
        </w:numPr>
        <w:spacing w:after="100"/>
      </w:pPr>
      <w:r>
        <w:rPr>
          <w:b w:val="false"/>
          <w:bCs w:val="false"/>
        </w:rPr>
        <w:t xml:space="preserve">At the point of contact information submission, the system presents a clear consent statement that the visitor must actively confirm.</w:t>
      </w:r>
    </w:p>
    <w:p>
      <w:pPr>
        <w:pStyle w:val="ListParagraph"/>
        <w:numPr>
          <w:ilvl w:val="0"/>
          <w:numId w:val="2"/>
        </w:numPr>
        <w:spacing w:after="100"/>
      </w:pPr>
      <w:r>
        <w:rPr>
          <w:b w:val="false"/>
          <w:bCs w:val="false"/>
        </w:rPr>
        <w:t xml:space="preserve">Consent language example: By submitting your information, you consent to being contacted by [Firm Name] by phone and email to discuss your immigration matter. You may withdraw this consent at any time.</w:t>
      </w:r>
    </w:p>
    <w:p>
      <w:pPr>
        <w:pStyle w:val="ListParagraph"/>
        <w:numPr>
          <w:ilvl w:val="0"/>
          <w:numId w:val="2"/>
        </w:numPr>
        <w:spacing w:after="100"/>
      </w:pPr>
      <w:r>
        <w:rPr>
          <w:b w:val="false"/>
          <w:bCs w:val="false"/>
        </w:rPr>
        <w:t xml:space="preserve">The consent record is timestamped and stored in Bucket B alongside the contact information.</w:t>
      </w:r>
    </w:p>
    <w:p>
      <w:pPr>
        <w:pStyle w:val="ListParagraph"/>
        <w:numPr>
          <w:ilvl w:val="0"/>
          <w:numId w:val="2"/>
        </w:numPr>
        <w:spacing w:after="100"/>
      </w:pPr>
      <w:r>
        <w:rPr>
          <w:b w:val="false"/>
          <w:bCs w:val="false"/>
        </w:rPr>
        <w:t xml:space="preserve">No marketing or commercial electronic messages are sent by the system itself.</w:t>
      </w:r>
    </w:p>
    <w:p>
      <w:pPr>
        <w:spacing w:after="120"/>
      </w:pPr>
      <w:r>
        <w:t xml:space="preserve"/>
      </w:r>
    </w:p>
    <w:p>
      <w:pPr>
        <w:pStyle w:val="Heading2"/>
      </w:pPr>
      <w:r>
        <w:t xml:space="preserve">Law Firm Responsibilities Under CASL</w:t>
      </w:r>
    </w:p>
    <w:p>
      <w:pPr>
        <w:pStyle w:val="ListParagraph"/>
        <w:numPr>
          <w:ilvl w:val="0"/>
          <w:numId w:val="2"/>
        </w:numPr>
        <w:spacing w:after="100"/>
      </w:pPr>
      <w:r>
        <w:rPr>
          <w:b w:val="false"/>
          <w:bCs w:val="false"/>
        </w:rPr>
        <w:t xml:space="preserve">All follow-up emails and text messages sent by the firm must include the firm's identification information, a reason for the message, and a clear and functional unsubscribe mechanism.</w:t>
      </w:r>
    </w:p>
    <w:p>
      <w:pPr>
        <w:pStyle w:val="ListParagraph"/>
        <w:numPr>
          <w:ilvl w:val="0"/>
          <w:numId w:val="2"/>
        </w:numPr>
        <w:spacing w:after="100"/>
      </w:pPr>
      <w:r>
        <w:rPr>
          <w:b w:val="false"/>
          <w:bCs w:val="false"/>
        </w:rPr>
        <w:t xml:space="preserve">Unsubscribe requests must be honored within ten business days.</w:t>
      </w:r>
    </w:p>
    <w:p>
      <w:pPr>
        <w:pStyle w:val="ListParagraph"/>
        <w:numPr>
          <w:ilvl w:val="0"/>
          <w:numId w:val="2"/>
        </w:numPr>
        <w:spacing w:after="100"/>
      </w:pPr>
      <w:r>
        <w:rPr>
          <w:b w:val="false"/>
          <w:bCs w:val="false"/>
        </w:rPr>
        <w:t xml:space="preserve">The firm is responsible for its own CASL compliance in all outbound commercial communications.</w:t>
      </w:r>
    </w:p>
    <w:p>
      <w:pPr>
        <w:spacing w:after="120"/>
      </w:pPr>
      <w:r>
        <w:t xml:space="preserve"/>
      </w:r>
    </w:p>
    <w:p>
      <w:pPr>
        <w:pStyle w:val="Heading1"/>
      </w:pPr>
      <w:r>
        <w:t xml:space="preserve">Section 5: GDPR Compliance</w:t>
      </w:r>
    </w:p>
    <w:p>
      <w:pPr>
        <w:pStyle w:val="Heading2"/>
      </w:pPr>
      <w:r>
        <w:t xml:space="preserve">When GDPR Applies</w:t>
      </w:r>
    </w:p>
    <w:p>
      <w:pPr>
        <w:pStyle w:val="ListParagraph"/>
        <w:numPr>
          <w:ilvl w:val="0"/>
          <w:numId w:val="2"/>
        </w:numPr>
        <w:spacing w:after="100"/>
      </w:pPr>
      <w:r>
        <w:rPr>
          <w:b w:val="false"/>
          <w:bCs w:val="false"/>
        </w:rPr>
        <w:t xml:space="preserve">GDPR applies when the system is accessed by a visitor who is located in the European Union or European Economic Area, regardless of where the law firm is located.</w:t>
      </w:r>
    </w:p>
    <w:p>
      <w:pPr>
        <w:pStyle w:val="ListParagraph"/>
        <w:numPr>
          <w:ilvl w:val="0"/>
          <w:numId w:val="2"/>
        </w:numPr>
        <w:spacing w:after="100"/>
      </w:pPr>
      <w:r>
        <w:rPr>
          <w:b w:val="false"/>
          <w:bCs w:val="false"/>
        </w:rPr>
        <w:t xml:space="preserve">Immigration law firms in Canada and the US occasionally receive website visitors who are currently located in the EU. This system is designed to handle those visitors compliantly.</w:t>
      </w:r>
    </w:p>
    <w:p>
      <w:pPr>
        <w:spacing w:after="120"/>
      </w:pPr>
      <w:r>
        <w:t xml:space="preserve"/>
      </w:r>
    </w:p>
    <w:p>
      <w:pPr>
        <w:pStyle w:val="Heading2"/>
      </w:pPr>
      <w:r>
        <w:t xml:space="preserve">Lawful Basis for Processing</w:t>
      </w:r>
    </w:p>
    <w:p>
      <w:pPr>
        <w:pStyle w:val="ListParagraph"/>
        <w:numPr>
          <w:ilvl w:val="0"/>
          <w:numId w:val="2"/>
        </w:numPr>
        <w:spacing w:after="100"/>
      </w:pPr>
      <w:r>
        <w:rPr>
          <w:b w:val="false"/>
          <w:bCs w:val="false"/>
        </w:rPr>
        <w:t xml:space="preserve">The lawful basis for processing personal data from EU visitors is consent, collected explicitly at the point of contact information submission.</w:t>
      </w:r>
    </w:p>
    <w:p>
      <w:pPr>
        <w:pStyle w:val="ListParagraph"/>
        <w:numPr>
          <w:ilvl w:val="0"/>
          <w:numId w:val="2"/>
        </w:numPr>
        <w:spacing w:after="100"/>
      </w:pPr>
      <w:r>
        <w:rPr>
          <w:b w:val="false"/>
          <w:bCs w:val="false"/>
        </w:rPr>
        <w:t xml:space="preserve">Consent must be freely given, specific, informed, and unambiguous. The system's consent collection process satisfies these requirements.</w:t>
      </w:r>
    </w:p>
    <w:p>
      <w:pPr>
        <w:spacing w:after="120"/>
      </w:pPr>
      <w:r>
        <w:t xml:space="preserve"/>
      </w:r>
    </w:p>
    <w:p>
      <w:pPr>
        <w:pStyle w:val="Heading2"/>
      </w:pPr>
      <w:r>
        <w:t xml:space="preserve">EU Visitor Rights Honored</w:t>
      </w:r>
    </w:p>
    <w:p>
      <w:pPr>
        <w:pStyle w:val="ListParagraph"/>
        <w:numPr>
          <w:ilvl w:val="0"/>
          <w:numId w:val="2"/>
        </w:numPr>
        <w:spacing w:after="100"/>
      </w:pPr>
      <w:r>
        <w:rPr>
          <w:b w:val="false"/>
          <w:bCs w:val="false"/>
        </w:rPr>
        <w:t xml:space="preserve">Right to be informed: the system explains what data is collected, why, and what happens to it before any data is submitted.</w:t>
      </w:r>
    </w:p>
    <w:p>
      <w:pPr>
        <w:pStyle w:val="ListParagraph"/>
        <w:numPr>
          <w:ilvl w:val="0"/>
          <w:numId w:val="2"/>
        </w:numPr>
        <w:spacing w:after="100"/>
      </w:pPr>
      <w:r>
        <w:rPr>
          <w:b w:val="false"/>
          <w:bCs w:val="false"/>
        </w:rPr>
        <w:t xml:space="preserve">Right to access: visitors can request access to their personal data by contacting the firm directly.</w:t>
      </w:r>
    </w:p>
    <w:p>
      <w:pPr>
        <w:pStyle w:val="ListParagraph"/>
        <w:numPr>
          <w:ilvl w:val="0"/>
          <w:numId w:val="2"/>
        </w:numPr>
        <w:spacing w:after="100"/>
      </w:pPr>
      <w:r>
        <w:rPr>
          <w:b w:val="false"/>
          <w:bCs w:val="false"/>
        </w:rPr>
        <w:t xml:space="preserve">Right to erasure: visitors can request deletion of their data. The firm processes deletion requests within thirty days.</w:t>
      </w:r>
    </w:p>
    <w:p>
      <w:pPr>
        <w:pStyle w:val="ListParagraph"/>
        <w:numPr>
          <w:ilvl w:val="0"/>
          <w:numId w:val="2"/>
        </w:numPr>
        <w:spacing w:after="100"/>
      </w:pPr>
      <w:r>
        <w:rPr>
          <w:b w:val="false"/>
          <w:bCs w:val="false"/>
        </w:rPr>
        <w:t xml:space="preserve">Right to withdraw consent: consent can be withdrawn at any time by contacting the firm.</w:t>
      </w:r>
    </w:p>
    <w:p>
      <w:pPr>
        <w:spacing w:after="120"/>
      </w:pPr>
      <w:r>
        <w:t xml:space="preserve"/>
      </w:r>
    </w:p>
    <w:p>
      <w:pPr>
        <w:pStyle w:val="Heading1"/>
      </w:pPr>
      <w:r>
        <w:t xml:space="preserve">Section 6: US Privacy Frameworks</w:t>
      </w:r>
    </w:p>
    <w:p>
      <w:pPr>
        <w:pStyle w:val="Heading2"/>
      </w:pPr>
      <w:r>
        <w:t xml:space="preserve">CCPA and CPRA</w:t>
      </w:r>
    </w:p>
    <w:p>
      <w:pPr>
        <w:pStyle w:val="ListParagraph"/>
        <w:numPr>
          <w:ilvl w:val="0"/>
          <w:numId w:val="2"/>
        </w:numPr>
        <w:spacing w:after="100"/>
      </w:pPr>
      <w:r>
        <w:rPr>
          <w:b w:val="false"/>
          <w:bCs w:val="false"/>
        </w:rPr>
        <w:t xml:space="preserve">The California Consumer Privacy Act and California Privacy Rights Act apply to California residents whose data is processed by businesses meeting certain thresholds.</w:t>
      </w:r>
    </w:p>
    <w:p>
      <w:pPr>
        <w:pStyle w:val="ListParagraph"/>
        <w:numPr>
          <w:ilvl w:val="0"/>
          <w:numId w:val="2"/>
        </w:numPr>
        <w:spacing w:after="100"/>
      </w:pPr>
      <w:r>
        <w:rPr>
          <w:b w:val="false"/>
          <w:bCs w:val="false"/>
        </w:rPr>
        <w:t xml:space="preserve">Immigration law firms should confirm with their legal counsel whether CCPA or CPRA applies to their specific situation.</w:t>
      </w:r>
    </w:p>
    <w:p>
      <w:pPr>
        <w:pStyle w:val="ListParagraph"/>
        <w:numPr>
          <w:ilvl w:val="0"/>
          <w:numId w:val="2"/>
        </w:numPr>
        <w:spacing w:after="100"/>
      </w:pPr>
      <w:r>
        <w:rPr>
          <w:b w:val="false"/>
          <w:bCs w:val="false"/>
        </w:rPr>
        <w:t xml:space="preserve">This system is designed to align with CCPA and CPRA principles: transparent disclosure of data practices, no sale of personal information, and honoring deletion requests.</w:t>
      </w:r>
    </w:p>
    <w:p>
      <w:pPr>
        <w:spacing w:after="120"/>
      </w:pPr>
      <w:r>
        <w:t xml:space="preserve"/>
      </w:r>
    </w:p>
    <w:p>
      <w:pPr>
        <w:pStyle w:val="Heading2"/>
      </w:pPr>
      <w:r>
        <w:t xml:space="preserve">TCPA</w:t>
      </w:r>
    </w:p>
    <w:p>
      <w:pPr>
        <w:pStyle w:val="ListParagraph"/>
        <w:numPr>
          <w:ilvl w:val="0"/>
          <w:numId w:val="2"/>
        </w:numPr>
        <w:spacing w:after="100"/>
      </w:pPr>
      <w:r>
        <w:rPr>
          <w:b w:val="false"/>
          <w:bCs w:val="false"/>
        </w:rPr>
        <w:t xml:space="preserve">The Telephone Consumer Protection Act governs telephone and text message marketing communications in the United States.</w:t>
      </w:r>
    </w:p>
    <w:p>
      <w:pPr>
        <w:pStyle w:val="ListParagraph"/>
        <w:numPr>
          <w:ilvl w:val="0"/>
          <w:numId w:val="2"/>
        </w:numPr>
        <w:spacing w:after="100"/>
      </w:pPr>
      <w:r>
        <w:rPr>
          <w:b w:val="false"/>
          <w:bCs w:val="false"/>
        </w:rPr>
        <w:t xml:space="preserve">The system does not initiate telephone or text message communications. Any follow-up calls or texts made by the law firm must comply with applicable TCPA requirements.</w:t>
      </w:r>
    </w:p>
    <w:p>
      <w:pPr>
        <w:spacing w:after="120"/>
      </w:pPr>
      <w:r>
        <w:t xml:space="preserve"/>
      </w:r>
    </w:p>
    <w:p>
      <w:pPr>
        <w:pStyle w:val="Heading2"/>
      </w:pPr>
      <w:r>
        <w:t xml:space="preserve">CAN-SPAM</w:t>
      </w:r>
    </w:p>
    <w:p>
      <w:pPr>
        <w:pStyle w:val="ListParagraph"/>
        <w:numPr>
          <w:ilvl w:val="0"/>
          <w:numId w:val="2"/>
        </w:numPr>
        <w:spacing w:after="100"/>
      </w:pPr>
      <w:r>
        <w:rPr>
          <w:b w:val="false"/>
          <w:bCs w:val="false"/>
        </w:rPr>
        <w:t xml:space="preserve">CAN-SPAM governs commercial email communications in the United States.</w:t>
      </w:r>
    </w:p>
    <w:p>
      <w:pPr>
        <w:pStyle w:val="ListParagraph"/>
        <w:numPr>
          <w:ilvl w:val="0"/>
          <w:numId w:val="2"/>
        </w:numPr>
        <w:spacing w:after="100"/>
      </w:pPr>
      <w:r>
        <w:rPr>
          <w:b w:val="false"/>
          <w:bCs w:val="false"/>
        </w:rPr>
        <w:t xml:space="preserve">Any follow-up email communications from the law firm to US-based visitors must comply with CAN-SPAM including proper identification, subject line accuracy, and opt-out mechanisms.</w:t>
      </w:r>
    </w:p>
    <w:p>
      <w:pPr>
        <w:spacing w:after="120"/>
      </w:pPr>
      <w:r>
        <w:t xml:space="preserve"/>
      </w:r>
    </w:p>
    <w:p>
      <w:pPr>
        <w:pStyle w:val="Heading2"/>
      </w:pPr>
      <w:r>
        <w:t xml:space="preserve">HIPAA Considerations</w:t>
      </w:r>
    </w:p>
    <w:p>
      <w:pPr>
        <w:pStyle w:val="ListParagraph"/>
        <w:numPr>
          <w:ilvl w:val="0"/>
          <w:numId w:val="2"/>
        </w:numPr>
        <w:spacing w:after="100"/>
      </w:pPr>
      <w:r>
        <w:rPr>
          <w:b w:val="false"/>
          <w:bCs w:val="false"/>
        </w:rPr>
        <w:t xml:space="preserve">HIPAA does not directly apply to immigration law firms or to this system.</w:t>
      </w:r>
    </w:p>
    <w:p>
      <w:pPr>
        <w:pStyle w:val="ListParagraph"/>
        <w:numPr>
          <w:ilvl w:val="0"/>
          <w:numId w:val="2"/>
        </w:numPr>
        <w:spacing w:after="100"/>
      </w:pPr>
      <w:r>
        <w:rPr>
          <w:b w:val="false"/>
          <w:bCs w:val="false"/>
        </w:rPr>
        <w:t xml:space="preserve">However, immigration matters occasionally involve medical documentation such as medical examination results or documentation of a disability or health condition that affects inadmissibility.</w:t>
      </w:r>
    </w:p>
    <w:p>
      <w:pPr>
        <w:pStyle w:val="ListParagraph"/>
        <w:numPr>
          <w:ilvl w:val="0"/>
          <w:numId w:val="2"/>
        </w:numPr>
        <w:spacing w:after="100"/>
      </w:pPr>
      <w:r>
        <w:rPr>
          <w:b w:val="false"/>
          <w:bCs w:val="false"/>
        </w:rPr>
        <w:t xml:space="preserve">This system never collects health-related information in the chat. Health matters are always directed to the confidential lawyer consultation. This approach reflects similar caution to HIPAA principles even where HIPAA does not technically apply.</w:t>
      </w:r>
    </w:p>
    <w:p>
      <w:pPr>
        <w:spacing w:after="120"/>
      </w:pPr>
      <w:r>
        <w:t xml:space="preserve"/>
      </w:r>
    </w:p>
    <w:p>
      <w:pPr>
        <w:pStyle w:val="Heading1"/>
      </w:pPr>
      <w:r>
        <w:t xml:space="preserve">Section 7: PII Definition and Minimization</w:t>
      </w:r>
    </w:p>
    <w:p>
      <w:pPr>
        <w:pStyle w:val="Heading2"/>
      </w:pPr>
      <w:r>
        <w:t xml:space="preserve">What Counts as PII in the Immigration Context</w:t>
      </w:r>
    </w:p>
    <w:p>
      <w:pPr>
        <w:pStyle w:val="ListParagraph"/>
        <w:numPr>
          <w:ilvl w:val="0"/>
          <w:numId w:val="2"/>
        </w:numPr>
        <w:spacing w:after="100"/>
      </w:pPr>
      <w:r>
        <w:rPr>
          <w:b w:val="false"/>
          <w:bCs w:val="false"/>
        </w:rPr>
        <w:t xml:space="preserve">Name in combination with contact information.</w:t>
      </w:r>
    </w:p>
    <w:p>
      <w:pPr>
        <w:pStyle w:val="ListParagraph"/>
        <w:numPr>
          <w:ilvl w:val="0"/>
          <w:numId w:val="2"/>
        </w:numPr>
        <w:spacing w:after="100"/>
      </w:pPr>
      <w:r>
        <w:rPr>
          <w:b w:val="false"/>
          <w:bCs w:val="false"/>
        </w:rPr>
        <w:t xml:space="preserve">Passport numbers, visa numbers, permit numbers, or any government-issued identification numbers.</w:t>
      </w:r>
    </w:p>
    <w:p>
      <w:pPr>
        <w:pStyle w:val="ListParagraph"/>
        <w:numPr>
          <w:ilvl w:val="0"/>
          <w:numId w:val="2"/>
        </w:numPr>
        <w:spacing w:after="100"/>
      </w:pPr>
      <w:r>
        <w:rPr>
          <w:b w:val="false"/>
          <w:bCs w:val="false"/>
        </w:rPr>
        <w:t xml:space="preserve">Date of birth.</w:t>
      </w:r>
    </w:p>
    <w:p>
      <w:pPr>
        <w:pStyle w:val="ListParagraph"/>
        <w:numPr>
          <w:ilvl w:val="0"/>
          <w:numId w:val="2"/>
        </w:numPr>
        <w:spacing w:after="100"/>
      </w:pPr>
      <w:r>
        <w:rPr>
          <w:b w:val="false"/>
          <w:bCs w:val="false"/>
        </w:rPr>
        <w:t xml:space="preserve">Social Insurance Number or equivalent government identifier.</w:t>
      </w:r>
    </w:p>
    <w:p>
      <w:pPr>
        <w:pStyle w:val="ListParagraph"/>
        <w:numPr>
          <w:ilvl w:val="0"/>
          <w:numId w:val="2"/>
        </w:numPr>
        <w:spacing w:after="100"/>
      </w:pPr>
      <w:r>
        <w:rPr>
          <w:b w:val="false"/>
          <w:bCs w:val="false"/>
        </w:rPr>
        <w:t xml:space="preserve">Immigration status details.</w:t>
      </w:r>
    </w:p>
    <w:p>
      <w:pPr>
        <w:pStyle w:val="ListParagraph"/>
        <w:numPr>
          <w:ilvl w:val="0"/>
          <w:numId w:val="2"/>
        </w:numPr>
        <w:spacing w:after="100"/>
      </w:pPr>
      <w:r>
        <w:rPr>
          <w:b w:val="false"/>
          <w:bCs w:val="false"/>
        </w:rPr>
        <w:t xml:space="preserve">Country of origin in combination with identifying details.</w:t>
      </w:r>
    </w:p>
    <w:p>
      <w:pPr>
        <w:pStyle w:val="ListParagraph"/>
        <w:numPr>
          <w:ilvl w:val="0"/>
          <w:numId w:val="2"/>
        </w:numPr>
        <w:spacing w:after="100"/>
      </w:pPr>
      <w:r>
        <w:rPr>
          <w:b w:val="false"/>
          <w:bCs w:val="false"/>
        </w:rPr>
        <w:t xml:space="preserve">Prior refusal or removal history with identifying details.</w:t>
      </w:r>
    </w:p>
    <w:p>
      <w:pPr>
        <w:pStyle w:val="ListParagraph"/>
        <w:numPr>
          <w:ilvl w:val="0"/>
          <w:numId w:val="2"/>
        </w:numPr>
        <w:spacing w:after="100"/>
      </w:pPr>
      <w:r>
        <w:rPr>
          <w:b w:val="false"/>
          <w:bCs w:val="false"/>
        </w:rPr>
        <w:t xml:space="preserve">Details of a pending immigration proceeding.</w:t>
      </w:r>
    </w:p>
    <w:p>
      <w:pPr>
        <w:spacing w:after="120"/>
      </w:pPr>
      <w:r>
        <w:t xml:space="preserve"/>
      </w:r>
    </w:p>
    <w:p>
      <w:pPr>
        <w:pStyle w:val="Heading2"/>
      </w:pPr>
      <w:r>
        <w:t xml:space="preserve">What the System Collects</w:t>
      </w:r>
    </w:p>
    <w:p>
      <w:pPr>
        <w:pStyle w:val="ListParagraph"/>
        <w:numPr>
          <w:ilvl w:val="0"/>
          <w:numId w:val="2"/>
        </w:numPr>
        <w:spacing w:after="100"/>
      </w:pPr>
      <w:r>
        <w:rPr>
          <w:b w:val="false"/>
          <w:bCs w:val="false"/>
        </w:rPr>
        <w:t xml:space="preserve">First name and last name.</w:t>
      </w:r>
    </w:p>
    <w:p>
      <w:pPr>
        <w:pStyle w:val="ListParagraph"/>
        <w:numPr>
          <w:ilvl w:val="0"/>
          <w:numId w:val="2"/>
        </w:numPr>
        <w:spacing w:after="100"/>
      </w:pPr>
      <w:r>
        <w:rPr>
          <w:b w:val="false"/>
          <w:bCs w:val="false"/>
        </w:rPr>
        <w:t xml:space="preserve">Email address.</w:t>
      </w:r>
    </w:p>
    <w:p>
      <w:pPr>
        <w:pStyle w:val="ListParagraph"/>
        <w:numPr>
          <w:ilvl w:val="0"/>
          <w:numId w:val="2"/>
        </w:numPr>
        <w:spacing w:after="100"/>
      </w:pPr>
      <w:r>
        <w:rPr>
          <w:b w:val="false"/>
          <w:bCs w:val="false"/>
        </w:rPr>
        <w:t xml:space="preserve">Phone number.</w:t>
      </w:r>
    </w:p>
    <w:p>
      <w:pPr>
        <w:pStyle w:val="ListParagraph"/>
        <w:numPr>
          <w:ilvl w:val="0"/>
          <w:numId w:val="2"/>
        </w:numPr>
        <w:spacing w:after="100"/>
      </w:pPr>
      <w:r>
        <w:rPr>
          <w:b w:val="false"/>
          <w:bCs w:val="false"/>
        </w:rPr>
        <w:t xml:space="preserve">Preferred contact method.</w:t>
      </w:r>
    </w:p>
    <w:p>
      <w:pPr>
        <w:pStyle w:val="ListParagraph"/>
        <w:numPr>
          <w:ilvl w:val="0"/>
          <w:numId w:val="2"/>
        </w:numPr>
        <w:spacing w:after="100"/>
      </w:pPr>
      <w:r>
        <w:rPr>
          <w:b w:val="false"/>
          <w:bCs w:val="false"/>
        </w:rPr>
        <w:t xml:space="preserve">General description of the immigration matter in the visitor's own words, limited to what they choose to share.</w:t>
      </w:r>
    </w:p>
    <w:p>
      <w:pPr>
        <w:pStyle w:val="ListParagraph"/>
        <w:numPr>
          <w:ilvl w:val="0"/>
          <w:numId w:val="2"/>
        </w:numPr>
        <w:spacing w:after="100"/>
      </w:pPr>
      <w:r>
        <w:rPr>
          <w:b w:val="false"/>
          <w:bCs w:val="false"/>
        </w:rPr>
        <w:t xml:space="preserve">Consent record with timestamp.</w:t>
      </w:r>
    </w:p>
    <w:p>
      <w:pPr>
        <w:pStyle w:val="ListParagraph"/>
        <w:numPr>
          <w:ilvl w:val="0"/>
          <w:numId w:val="2"/>
        </w:numPr>
        <w:spacing w:after="100"/>
      </w:pPr>
      <w:r>
        <w:rPr>
          <w:b w:val="false"/>
          <w:bCs w:val="false"/>
        </w:rPr>
        <w:t xml:space="preserve">Urgency flag where applicable.</w:t>
      </w:r>
    </w:p>
    <w:p>
      <w:pPr>
        <w:pStyle w:val="ListParagraph"/>
        <w:numPr>
          <w:ilvl w:val="0"/>
          <w:numId w:val="2"/>
        </w:numPr>
        <w:spacing w:after="100"/>
      </w:pPr>
      <w:r>
        <w:rPr>
          <w:b w:val="false"/>
          <w:bCs w:val="false"/>
        </w:rPr>
        <w:t xml:space="preserve">Language preference where noted.</w:t>
      </w:r>
    </w:p>
    <w:p>
      <w:pPr>
        <w:spacing w:after="120"/>
      </w:pPr>
      <w:r>
        <w:t xml:space="preserve"/>
      </w:r>
    </w:p>
    <w:p>
      <w:pPr>
        <w:pStyle w:val="Heading2"/>
      </w:pPr>
      <w:r>
        <w:t xml:space="preserve">What the System Never Collects</w:t>
      </w:r>
    </w:p>
    <w:p>
      <w:pPr>
        <w:pStyle w:val="ListParagraph"/>
        <w:numPr>
          <w:ilvl w:val="0"/>
          <w:numId w:val="2"/>
        </w:numPr>
        <w:spacing w:after="100"/>
      </w:pPr>
      <w:r>
        <w:rPr>
          <w:b w:val="false"/>
          <w:bCs w:val="false"/>
        </w:rPr>
        <w:t xml:space="preserve">Everything else listed in the PII definition above.</w:t>
      </w:r>
    </w:p>
    <w:p>
      <w:pPr>
        <w:pStyle w:val="ListParagraph"/>
        <w:numPr>
          <w:ilvl w:val="0"/>
          <w:numId w:val="2"/>
        </w:numPr>
        <w:spacing w:after="100"/>
      </w:pPr>
      <w:r>
        <w:rPr>
          <w:b w:val="false"/>
          <w:bCs w:val="false"/>
        </w:rPr>
        <w:t xml:space="preserve">The system actively deflects collection of any of these items if a visitor attempts to share them.</w:t>
      </w:r>
    </w:p>
    <w:p>
      <w:pPr>
        <w:spacing w:after="120"/>
      </w:pPr>
      <w:r>
        <w:t xml:space="preserve"/>
      </w:r>
    </w:p>
    <w:p>
      <w:pPr>
        <w:pStyle w:val="Heading1"/>
      </w:pPr>
      <w:r>
        <w:t xml:space="preserve">Section 8: Visitor Protections Summary</w:t>
      </w:r>
    </w:p>
    <w:p>
      <w:pPr>
        <w:pStyle w:val="ListParagraph"/>
        <w:numPr>
          <w:ilvl w:val="0"/>
          <w:numId w:val="2"/>
        </w:numPr>
        <w:spacing w:after="100"/>
      </w:pPr>
      <w:r>
        <w:rPr>
          <w:b w:val="false"/>
          <w:bCs w:val="false"/>
        </w:rPr>
        <w:t xml:space="preserve">The system identifies itself as an AI-powered system, not a human or a lawyer.</w:t>
      </w:r>
    </w:p>
    <w:p>
      <w:pPr>
        <w:pStyle w:val="ListParagraph"/>
        <w:numPr>
          <w:ilvl w:val="0"/>
          <w:numId w:val="2"/>
        </w:numPr>
        <w:spacing w:after="100"/>
      </w:pPr>
      <w:r>
        <w:rPr>
          <w:b w:val="false"/>
          <w:bCs w:val="false"/>
        </w:rPr>
        <w:t xml:space="preserve">It never gives legal advice and always directs visitors to a licensed professional for situation-specific guidance.</w:t>
      </w:r>
    </w:p>
    <w:p>
      <w:pPr>
        <w:pStyle w:val="ListParagraph"/>
        <w:numPr>
          <w:ilvl w:val="0"/>
          <w:numId w:val="2"/>
        </w:numPr>
        <w:spacing w:after="100"/>
      </w:pPr>
      <w:r>
        <w:rPr>
          <w:b w:val="false"/>
          <w:bCs w:val="false"/>
        </w:rPr>
        <w:t xml:space="preserve">It collects the minimum personal information necessary and explains what will be done with it before collecting it.</w:t>
      </w:r>
    </w:p>
    <w:p>
      <w:pPr>
        <w:pStyle w:val="ListParagraph"/>
        <w:numPr>
          <w:ilvl w:val="0"/>
          <w:numId w:val="2"/>
        </w:numPr>
        <w:spacing w:after="100"/>
      </w:pPr>
      <w:r>
        <w:rPr>
          <w:b w:val="false"/>
          <w:bCs w:val="false"/>
        </w:rPr>
        <w:t xml:space="preserve">It obtains explicit consent before passing any information to the firm.</w:t>
      </w:r>
    </w:p>
    <w:p>
      <w:pPr>
        <w:pStyle w:val="ListParagraph"/>
        <w:numPr>
          <w:ilvl w:val="0"/>
          <w:numId w:val="2"/>
        </w:numPr>
        <w:spacing w:after="100"/>
      </w:pPr>
      <w:r>
        <w:rPr>
          <w:b w:val="false"/>
          <w:bCs w:val="false"/>
        </w:rPr>
        <w:t xml:space="preserve">It never stores sensitive immigration information, document numbers, health information, or financial information.</w:t>
      </w:r>
    </w:p>
    <w:p>
      <w:pPr>
        <w:pStyle w:val="ListParagraph"/>
        <w:numPr>
          <w:ilvl w:val="0"/>
          <w:numId w:val="2"/>
        </w:numPr>
        <w:spacing w:after="100"/>
      </w:pPr>
      <w:r>
        <w:rPr>
          <w:b w:val="false"/>
          <w:bCs w:val="false"/>
        </w:rPr>
        <w:t xml:space="preserve">It never shares visitor information with any third party other than the law firm that deployed it.</w:t>
      </w:r>
    </w:p>
    <w:p>
      <w:pPr>
        <w:pStyle w:val="ListParagraph"/>
        <w:numPr>
          <w:ilvl w:val="0"/>
          <w:numId w:val="2"/>
        </w:numPr>
        <w:spacing w:after="100"/>
      </w:pPr>
      <w:r>
        <w:rPr>
          <w:b w:val="false"/>
          <w:bCs w:val="false"/>
        </w:rPr>
        <w:t xml:space="preserve">Conversation transcripts are never stored.</w:t>
      </w:r>
    </w:p>
    <w:p>
      <w:pPr>
        <w:spacing w:after="120"/>
      </w:pPr>
      <w:r>
        <w:t xml:space="preserve"/>
      </w:r>
    </w:p>
    <w:p>
      <w:pPr>
        <w:pStyle w:val="Heading1"/>
      </w:pPr>
      <w:r>
        <w:t xml:space="preserve">Section 9: Firm and Output Systems Responsibility Boundary</w:t>
      </w:r>
    </w:p>
    <w:p>
      <w:pPr>
        <w:pStyle w:val="Heading2"/>
      </w:pPr>
      <w:r>
        <w:t xml:space="preserve">Output Systems Is Responsible For</w:t>
      </w:r>
    </w:p>
    <w:p>
      <w:pPr>
        <w:pStyle w:val="ListParagraph"/>
        <w:numPr>
          <w:ilvl w:val="0"/>
          <w:numId w:val="2"/>
        </w:numPr>
        <w:spacing w:after="100"/>
      </w:pPr>
      <w:r>
        <w:rPr>
          <w:b w:val="false"/>
          <w:bCs w:val="false"/>
        </w:rPr>
        <w:t xml:space="preserve">Building and maintaining the technical system including the chat interface, the knowledge base, the data architecture, and the intelligence dashboard.</w:t>
      </w:r>
    </w:p>
    <w:p>
      <w:pPr>
        <w:pStyle w:val="ListParagraph"/>
        <w:numPr>
          <w:ilvl w:val="0"/>
          <w:numId w:val="2"/>
        </w:numPr>
        <w:spacing w:after="100"/>
      </w:pPr>
      <w:r>
        <w:rPr>
          <w:b w:val="false"/>
          <w:bCs w:val="false"/>
        </w:rPr>
        <w:t xml:space="preserve">Ensuring the system enforces behavioral rules including disclaimer enforcement, PII deflection, and urgency detection.</w:t>
      </w:r>
    </w:p>
    <w:p>
      <w:pPr>
        <w:pStyle w:val="ListParagraph"/>
        <w:numPr>
          <w:ilvl w:val="0"/>
          <w:numId w:val="2"/>
        </w:numPr>
        <w:spacing w:after="100"/>
      </w:pPr>
      <w:r>
        <w:rPr>
          <w:b w:val="false"/>
          <w:bCs w:val="false"/>
        </w:rPr>
        <w:t xml:space="preserve">Ensuring data is stored securely and in accordance with the architecture described in this document.</w:t>
      </w:r>
    </w:p>
    <w:p>
      <w:pPr>
        <w:pStyle w:val="ListParagraph"/>
        <w:numPr>
          <w:ilvl w:val="0"/>
          <w:numId w:val="2"/>
        </w:numPr>
        <w:spacing w:after="100"/>
      </w:pPr>
      <w:r>
        <w:rPr>
          <w:b w:val="false"/>
          <w:bCs w:val="false"/>
        </w:rPr>
        <w:t xml:space="preserve">Delivering monthly performance reports and maintaining the knowledge base.</w:t>
      </w:r>
    </w:p>
    <w:p>
      <w:pPr>
        <w:spacing w:after="120"/>
      </w:pPr>
      <w:r>
        <w:t xml:space="preserve"/>
      </w:r>
    </w:p>
    <w:p>
      <w:pPr>
        <w:pStyle w:val="Heading2"/>
      </w:pPr>
      <w:r>
        <w:t xml:space="preserve">The Deploying Law Firm Is Responsible For</w:t>
      </w:r>
    </w:p>
    <w:p>
      <w:pPr>
        <w:pStyle w:val="ListParagraph"/>
        <w:numPr>
          <w:ilvl w:val="0"/>
          <w:numId w:val="2"/>
        </w:numPr>
        <w:spacing w:after="100"/>
      </w:pPr>
      <w:r>
        <w:rPr>
          <w:b w:val="false"/>
          <w:bCs w:val="false"/>
        </w:rPr>
        <w:t xml:space="preserve">Reviewing and approving all system content, disclaimers, and consent language before launch.</w:t>
      </w:r>
    </w:p>
    <w:p>
      <w:pPr>
        <w:pStyle w:val="ListParagraph"/>
        <w:numPr>
          <w:ilvl w:val="0"/>
          <w:numId w:val="2"/>
        </w:numPr>
        <w:spacing w:after="100"/>
      </w:pPr>
      <w:r>
        <w:rPr>
          <w:b w:val="false"/>
          <w:bCs w:val="false"/>
        </w:rPr>
        <w:t xml:space="preserve">Maintaining a privacy policy on its website that accurately describes the system's data practices.</w:t>
      </w:r>
    </w:p>
    <w:p>
      <w:pPr>
        <w:pStyle w:val="ListParagraph"/>
        <w:numPr>
          <w:ilvl w:val="0"/>
          <w:numId w:val="2"/>
        </w:numPr>
        <w:spacing w:after="100"/>
      </w:pPr>
      <w:r>
        <w:rPr>
          <w:b w:val="false"/>
          <w:bCs w:val="false"/>
        </w:rPr>
        <w:t xml:space="preserve">Ensuring its follow-up communications comply with CASL, CAN-SPAM, TCPA, and any other applicable communications law.</w:t>
      </w:r>
    </w:p>
    <w:p>
      <w:pPr>
        <w:pStyle w:val="ListParagraph"/>
        <w:numPr>
          <w:ilvl w:val="0"/>
          <w:numId w:val="2"/>
        </w:numPr>
        <w:spacing w:after="100"/>
      </w:pPr>
      <w:r>
        <w:rPr>
          <w:b w:val="false"/>
          <w:bCs w:val="false"/>
        </w:rPr>
        <w:t xml:space="preserve">Honoring visitor data access and deletion requests.</w:t>
      </w:r>
    </w:p>
    <w:p>
      <w:pPr>
        <w:pStyle w:val="ListParagraph"/>
        <w:numPr>
          <w:ilvl w:val="0"/>
          <w:numId w:val="2"/>
        </w:numPr>
        <w:spacing w:after="100"/>
      </w:pPr>
      <w:r>
        <w:rPr>
          <w:b w:val="false"/>
          <w:bCs w:val="false"/>
        </w:rPr>
        <w:t xml:space="preserve">Ensuring the system content remains accurate and compliant with current immigration law and Law Society rules.</w:t>
      </w:r>
    </w:p>
    <w:p>
      <w:pPr>
        <w:pStyle w:val="ListParagraph"/>
        <w:numPr>
          <w:ilvl w:val="0"/>
          <w:numId w:val="2"/>
        </w:numPr>
        <w:spacing w:after="100"/>
      </w:pPr>
      <w:r>
        <w:rPr>
          <w:b w:val="false"/>
          <w:bCs w:val="false"/>
        </w:rPr>
        <w:t xml:space="preserve">All lawyer-client relationship formation, legal advice, representation, and professional obligations.</w:t>
      </w:r>
    </w:p>
    <w:p>
      <w:pPr>
        <w:spacing w:after="120"/>
      </w:pPr>
      <w:r>
        <w:t xml:space="preserve"/>
      </w:r>
    </w:p>
    <w:p>
      <w:pPr>
        <w:pStyle w:val="Heading1"/>
      </w:pPr>
      <w:r>
        <w:t xml:space="preserve">Section 10: Privacy Q&amp;A for Professional Mode</w:t>
      </w:r>
    </w:p>
    <w:p>
      <w:pPr>
        <w:spacing w:after="60" w:before="160"/>
      </w:pPr>
      <w:r>
        <w:rPr>
          <w:b/>
          <w:bCs/>
          <w:color w:val="1B4FBE"/>
          <w:sz w:val="22"/>
          <w:szCs w:val="22"/>
        </w:rPr>
        <w:t xml:space="preserve">Where is our client data stored and does it leave Canada?</w:t>
      </w:r>
    </w:p>
    <w:p>
      <w:pPr>
        <w:spacing w:after="140"/>
      </w:pPr>
      <w:r>
        <w:rPr>
          <w:sz w:val="22"/>
          <w:szCs w:val="22"/>
        </w:rPr>
        <w:t xml:space="preserve">Client data is stored in Canadian cloud infrastructure and does not leave Canada. This satisfies Canadian data sovereignty requirements.</w:t>
      </w:r>
    </w:p>
    <w:p>
      <w:pPr>
        <w:spacing w:after="60" w:before="160"/>
      </w:pPr>
      <w:r>
        <w:rPr>
          <w:b/>
          <w:bCs/>
          <w:color w:val="1B4FBE"/>
          <w:sz w:val="22"/>
          <w:szCs w:val="22"/>
        </w:rPr>
        <w:t xml:space="preserve">Is this system PIPEDA compliant?</w:t>
      </w:r>
    </w:p>
    <w:p>
      <w:pPr>
        <w:spacing w:after="140"/>
      </w:pPr>
      <w:r>
        <w:rPr>
          <w:sz w:val="22"/>
          <w:szCs w:val="22"/>
        </w:rPr>
        <w:t xml:space="preserve">Yes. The system is built to comply with PIPEDA. It collects only minimum necessary information, obtains explicit consent before passing data to your firm, and uses data only for the stated purpose.</w:t>
      </w:r>
    </w:p>
    <w:p>
      <w:pPr>
        <w:spacing w:after="60" w:before="160"/>
      </w:pPr>
      <w:r>
        <w:rPr>
          <w:b/>
          <w:bCs/>
          <w:color w:val="1B4FBE"/>
          <w:sz w:val="22"/>
          <w:szCs w:val="22"/>
        </w:rPr>
        <w:t xml:space="preserve">Does the system satisfy CASL express consent requirements?</w:t>
      </w:r>
    </w:p>
    <w:p>
      <w:pPr>
        <w:spacing w:after="140"/>
      </w:pPr>
      <w:r>
        <w:rPr>
          <w:sz w:val="22"/>
          <w:szCs w:val="22"/>
        </w:rPr>
        <w:t xml:space="preserve">Yes. The system collects active, affirmative consent with a timestamped consent record before passing any contact information to your firm.</w:t>
      </w:r>
    </w:p>
    <w:p>
      <w:pPr>
        <w:spacing w:after="60" w:before="160"/>
      </w:pPr>
      <w:r>
        <w:rPr>
          <w:b/>
          <w:bCs/>
          <w:color w:val="1B4FBE"/>
          <w:sz w:val="22"/>
          <w:szCs w:val="22"/>
        </w:rPr>
        <w:t xml:space="preserve">Does Output Systems use our client data to train AI models?</w:t>
      </w:r>
    </w:p>
    <w:p>
      <w:pPr>
        <w:spacing w:after="140"/>
      </w:pPr>
      <w:r>
        <w:rPr>
          <w:sz w:val="22"/>
          <w:szCs w:val="22"/>
        </w:rPr>
        <w:t xml:space="preserve">No. Your firm's data is kept in your own database environment and is not used to train any AI model or shared with any external system.</w:t>
      </w:r>
    </w:p>
    <w:p>
      <w:pPr>
        <w:spacing w:after="60" w:before="160"/>
      </w:pPr>
      <w:r>
        <w:rPr>
          <w:b/>
          <w:bCs/>
          <w:color w:val="1B4FBE"/>
          <w:sz w:val="22"/>
          <w:szCs w:val="22"/>
        </w:rPr>
        <w:t xml:space="preserve">Does the system store conversation transcripts?</w:t>
      </w:r>
    </w:p>
    <w:p>
      <w:pPr>
        <w:spacing w:after="140"/>
      </w:pPr>
      <w:r>
        <w:rPr>
          <w:sz w:val="22"/>
          <w:szCs w:val="22"/>
        </w:rPr>
        <w:t xml:space="preserve">No. Conversation transcripts are never written to any database. The intelligence layer captures anonymized patterns and signals, not the content of individual conversations.</w:t>
      </w:r>
    </w:p>
    <w:p>
      <w:pPr>
        <w:spacing w:after="60" w:before="160"/>
      </w:pPr>
      <w:r>
        <w:rPr>
          <w:b/>
          <w:bCs/>
          <w:color w:val="1B4FBE"/>
          <w:sz w:val="22"/>
          <w:szCs w:val="22"/>
        </w:rPr>
        <w:t xml:space="preserve">Can visitors request deletion of their data?</w:t>
      </w:r>
    </w:p>
    <w:p>
      <w:pPr>
        <w:spacing w:after="140"/>
      </w:pPr>
      <w:r>
        <w:rPr>
          <w:sz w:val="22"/>
          <w:szCs w:val="22"/>
        </w:rPr>
        <w:t xml:space="preserve">Yes. Data deletion requests are processed by your firm within thirty days. Output Systems supports this process on the technical side.</w:t>
      </w:r>
    </w:p>
    <w:p>
      <w:pPr>
        <w:spacing w:after="60" w:before="160"/>
      </w:pPr>
      <w:r>
        <w:rPr>
          <w:b/>
          <w:bCs/>
          <w:color w:val="1B4FBE"/>
          <w:sz w:val="22"/>
          <w:szCs w:val="22"/>
        </w:rPr>
        <w:t xml:space="preserve">Does this system create any implied solicitor-client relationship?</w:t>
      </w:r>
    </w:p>
    <w:p>
      <w:pPr>
        <w:spacing w:after="140"/>
      </w:pPr>
      <w:r>
        <w:rPr>
          <w:sz w:val="22"/>
          <w:szCs w:val="22"/>
        </w:rPr>
        <w:t xml:space="preserve">No. The system displays clear disclaimers at every appropriate point that the interaction is for general information and intake purposes only. A solicitor-client relationship begins only with a signed retainer.</w:t>
      </w:r>
    </w:p>
    <w:p>
      <w:pPr>
        <w:spacing w:after="120"/>
      </w:pPr>
      <w:r>
        <w:t xml:space="preserve"/>
      </w:r>
    </w:p>
    <w:p>
      <w:pPr>
        <w:pStyle w:val="Heading1"/>
      </w:pPr>
      <w:r>
        <w:t xml:space="preserve">Section 11: Privacy Q&amp;A for Visitor Mode</w:t>
      </w:r>
    </w:p>
    <w:p>
      <w:pPr>
        <w:spacing w:after="60" w:before="160"/>
      </w:pPr>
      <w:r>
        <w:rPr>
          <w:b/>
          <w:bCs/>
          <w:color w:val="1B4FBE"/>
          <w:sz w:val="22"/>
          <w:szCs w:val="22"/>
        </w:rPr>
        <w:t xml:space="preserve">Is this chat confidential?</w:t>
      </w:r>
    </w:p>
    <w:p>
      <w:pPr>
        <w:spacing w:after="140"/>
      </w:pPr>
      <w:r>
        <w:rPr>
          <w:sz w:val="22"/>
          <w:szCs w:val="22"/>
        </w:rPr>
        <w:t xml:space="preserve">This chat provides general information and does not store sensitive personal details. For a fully confidential conversation about your specific situation, that happens with the immigration lawyer directly.</w:t>
      </w:r>
    </w:p>
    <w:p>
      <w:pPr>
        <w:spacing w:after="60" w:before="160"/>
      </w:pPr>
      <w:r>
        <w:rPr>
          <w:b/>
          <w:bCs/>
          <w:color w:val="1B4FBE"/>
          <w:sz w:val="22"/>
          <w:szCs w:val="22"/>
        </w:rPr>
        <w:t xml:space="preserve">Will my information be shared with the government?</w:t>
      </w:r>
    </w:p>
    <w:p>
      <w:pPr>
        <w:spacing w:after="140"/>
      </w:pPr>
      <w:r>
        <w:rPr>
          <w:sz w:val="22"/>
          <w:szCs w:val="22"/>
        </w:rPr>
        <w:t xml:space="preserve">No. The information you share in this chat is passed only to the law firm's intake team for the purpose of scheduling your consultation. It is not shared with any government authority.</w:t>
      </w:r>
    </w:p>
    <w:p>
      <w:pPr>
        <w:spacing w:after="60" w:before="160"/>
      </w:pPr>
      <w:r>
        <w:rPr>
          <w:b/>
          <w:bCs/>
          <w:color w:val="1B4FBE"/>
          <w:sz w:val="22"/>
          <w:szCs w:val="22"/>
        </w:rPr>
        <w:t xml:space="preserve">What happens to the information I submit?</w:t>
      </w:r>
    </w:p>
    <w:p>
      <w:pPr>
        <w:spacing w:after="140"/>
      </w:pPr>
      <w:r>
        <w:rPr>
          <w:sz w:val="22"/>
          <w:szCs w:val="22"/>
        </w:rPr>
        <w:t xml:space="preserve">If you submit your contact information, it is passed securely to the firm's intake team so they can contact you to schedule a consultation. It is used only for that purpose.</w:t>
      </w:r>
    </w:p>
    <w:p>
      <w:pPr>
        <w:spacing w:after="60" w:before="160"/>
      </w:pPr>
      <w:r>
        <w:rPr>
          <w:b/>
          <w:bCs/>
          <w:color w:val="1B4FBE"/>
          <w:sz w:val="22"/>
          <w:szCs w:val="22"/>
        </w:rPr>
        <w:t xml:space="preserve">Do I have to share personal information to use this chat?</w:t>
      </w:r>
    </w:p>
    <w:p>
      <w:pPr>
        <w:spacing w:after="140"/>
      </w:pPr>
      <w:r>
        <w:rPr>
          <w:sz w:val="22"/>
          <w:szCs w:val="22"/>
        </w:rPr>
        <w:t xml:space="preserve">No. You can ask general immigration questions without sharing any personal information. Personal details are only needed when you are ready to connect with the lawyer.</w:t>
      </w:r>
    </w:p>
    <w:p>
      <w:pPr>
        <w:spacing w:after="60" w:before="160"/>
      </w:pPr>
      <w:r>
        <w:rPr>
          <w:b/>
          <w:bCs/>
          <w:color w:val="1B4FBE"/>
          <w:sz w:val="22"/>
          <w:szCs w:val="22"/>
        </w:rPr>
        <w:t xml:space="preserve">Can I ask to have my information deleted?</w:t>
      </w:r>
    </w:p>
    <w:p>
      <w:pPr>
        <w:spacing w:after="140"/>
      </w:pPr>
      <w:r>
        <w:rPr>
          <w:sz w:val="22"/>
          <w:szCs w:val="22"/>
        </w:rPr>
        <w:t xml:space="preserve">Yes. If you would like your information removed, you can contact the firm directly and request deletion. This will be processed within thirty days.</w:t>
      </w:r>
    </w:p>
    <w:p>
      <w:pPr>
        <w:spacing w:after="120"/>
      </w:pPr>
      <w:r>
        <w:t xml:space="preserve"/>
      </w:r>
    </w:p>
    <w:p>
      <w:pPr>
        <w:pStyle w:val="Heading1"/>
      </w:pPr>
      <w:r>
        <w:t xml:space="preserve">Section 12: Note for Claude Code</w:t>
      </w:r>
    </w:p>
    <w:p>
      <w:pPr>
        <w:spacing w:after="160"/>
      </w:pPr>
      <w:r>
        <w:t xml:space="preserve">The following architectural decisions are mandatory and must be implemented exactly as specified.</w:t>
      </w:r>
    </w:p>
    <w:p>
      <w:pPr>
        <w:pStyle w:val="ListParagraph"/>
        <w:numPr>
          <w:ilvl w:val="0"/>
          <w:numId w:val="2"/>
        </w:numPr>
        <w:spacing w:after="100"/>
      </w:pPr>
      <w:r>
        <w:rPr>
          <w:b w:val="false"/>
          <w:bCs w:val="false"/>
        </w:rPr>
        <w:t xml:space="preserve">Bucket A and Bucket B must be separate Supabase tables with no foreign key relationship between them.</w:t>
      </w:r>
    </w:p>
    <w:p>
      <w:pPr>
        <w:pStyle w:val="ListParagraph"/>
        <w:numPr>
          <w:ilvl w:val="0"/>
          <w:numId w:val="2"/>
        </w:numPr>
        <w:spacing w:after="100"/>
      </w:pPr>
      <w:r>
        <w:rPr>
          <w:b w:val="false"/>
          <w:bCs w:val="false"/>
        </w:rPr>
        <w:t xml:space="preserve">No conversation transcript content is ever written to any database table.</w:t>
      </w:r>
    </w:p>
    <w:p>
      <w:pPr>
        <w:pStyle w:val="ListParagraph"/>
        <w:numPr>
          <w:ilvl w:val="0"/>
          <w:numId w:val="2"/>
        </w:numPr>
        <w:spacing w:after="100"/>
      </w:pPr>
      <w:r>
        <w:rPr>
          <w:b w:val="false"/>
          <w:bCs w:val="false"/>
        </w:rPr>
        <w:t xml:space="preserve">Row-level security must be enabled on both tables.</w:t>
      </w:r>
    </w:p>
    <w:p>
      <w:pPr>
        <w:pStyle w:val="ListParagraph"/>
        <w:numPr>
          <w:ilvl w:val="0"/>
          <w:numId w:val="2"/>
        </w:numPr>
        <w:spacing w:after="100"/>
      </w:pPr>
      <w:r>
        <w:rPr>
          <w:b w:val="false"/>
          <w:bCs w:val="false"/>
        </w:rPr>
        <w:t xml:space="preserve">All data must be encrypted in transit and at rest.</w:t>
      </w:r>
    </w:p>
    <w:p>
      <w:pPr>
        <w:pStyle w:val="ListParagraph"/>
        <w:numPr>
          <w:ilvl w:val="0"/>
          <w:numId w:val="2"/>
        </w:numPr>
        <w:spacing w:after="100"/>
      </w:pPr>
      <w:r>
        <w:rPr>
          <w:b w:val="false"/>
          <w:bCs w:val="false"/>
        </w:rPr>
        <w:t xml:space="preserve">Cookie consent must be obtained and recorded before any interaction begins.</w:t>
      </w:r>
    </w:p>
    <w:p>
      <w:pPr>
        <w:pStyle w:val="ListParagraph"/>
        <w:numPr>
          <w:ilvl w:val="0"/>
          <w:numId w:val="2"/>
        </w:numPr>
        <w:spacing w:after="100"/>
      </w:pPr>
      <w:r>
        <w:rPr>
          <w:b w:val="false"/>
          <w:bCs w:val="false"/>
        </w:rPr>
        <w:t xml:space="preserve">Consent for data submission must be obtained and timestamped before any contact information is passed to the firm.</w:t>
      </w:r>
    </w:p>
    <w:p>
      <w:pPr>
        <w:pStyle w:val="ListParagraph"/>
        <w:numPr>
          <w:ilvl w:val="0"/>
          <w:numId w:val="2"/>
        </w:numPr>
        <w:spacing w:after="100"/>
      </w:pPr>
      <w:r>
        <w:rPr>
          <w:b w:val="false"/>
          <w:bCs w:val="false"/>
        </w:rPr>
        <w:t xml:space="preserve">PII deflection logic must be active throughout every conversation. If a visitor shares document numbers, passport numbers, immigration status details, or other sensitive data, the system must redirect immediately and not store that information.</w:t>
      </w:r>
    </w:p>
    <w:p>
      <w:pPr>
        <w:pStyle w:val="ListParagraph"/>
        <w:numPr>
          <w:ilvl w:val="0"/>
          <w:numId w:val="2"/>
        </w:numPr>
        <w:spacing w:after="100"/>
      </w:pPr>
      <w:r>
        <w:rPr>
          <w:b w:val="false"/>
          <w:bCs w:val="false"/>
        </w:rPr>
        <w:t xml:space="preserve">Urgency flag field in Bucket B must be populated whenever an escalation trigger is detected.</w:t>
      </w:r>
    </w:p>
    <w:p>
      <w:pPr>
        <w:pStyle w:val="ListParagraph"/>
        <w:numPr>
          <w:ilvl w:val="0"/>
          <w:numId w:val="2"/>
        </w:numPr>
        <w:spacing w:after="100"/>
      </w:pPr>
      <w:r>
        <w:rPr>
          <w:b w:val="false"/>
          <w:bCs w:val="false"/>
        </w:rPr>
        <w:t xml:space="preserve">Language preference field in Bucket B must be populated whenever a non-English language preference is identified.</w:t>
      </w:r>
    </w:p>
    <w:p>
      <w:pPr>
        <w:spacing w:after="120"/>
      </w:pPr>
      <w:r>
        <w:t xml:space="preserve"/>
      </w:r>
    </w:p>
    <w:p>
      <w:pPr>
        <w:pBdr>
          <w:bottom w:val="single" w:color="1B4FBE" w:sz="4" w:space="1"/>
        </w:pBdr>
        <w:spacing w:after="200"/>
      </w:pPr>
      <w:r>
        <w:t xml:space="preserve"/>
      </w:r>
    </w:p>
    <w:p>
      <w:pPr>
        <w:spacing w:after="160"/>
      </w:pPr>
      <w:r>
        <w:rPr>
          <w:color w:val="888888"/>
          <w:sz w:val="18"/>
          <w:szCs w:val="18"/>
        </w:rPr>
        <w:t xml:space="preserve">Output Systems | output.systems | connect@output.systems | 647 622 3799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B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4FB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2026-06-15T07:59:12.033Z</dcterms:created>
  <dcterms:modified xsi:type="dcterms:W3CDTF">2026-06-15T07:59:12.033Z</dcterms:modified>
</cp:coreProperties>
</file>

<file path=docProps/custom.xml><?xml version="1.0" encoding="utf-8"?>
<Properties xmlns="http://schemas.openxmlformats.org/officeDocument/2006/custom-properties" xmlns:vt="http://schemas.openxmlformats.org/officeDocument/2006/docPropsVTypes"/>
</file>