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7e4c6"/>
          <w:sz w:val="56"/>
          <w:szCs w:val="56"/>
        </w:rPr>
        <w:t xml:space="preserve">Mortgage Knowledge Corpus</w:t>
      </w:r>
    </w:p>
    <w:p>
      <w:pPr>
        <w:spacing w:after="120" w:before="0"/>
        <w:jc w:val="center"/>
      </w:pPr>
      <w:r>
        <w:rPr>
          <w:rFonts w:ascii="Arial" w:cs="Arial" w:eastAsia="Arial" w:hAnsi="Arial"/>
          <w:color w:val="555555"/>
          <w:sz w:val="28"/>
          <w:szCs w:val="28"/>
        </w:rPr>
        <w:t xml:space="preserve">Canadian and Ontario Mortgage Reference</w:t>
      </w:r>
    </w:p>
    <w:p>
      <w:pPr>
        <w:spacing w:after="800" w:before="0"/>
        <w:jc w:val="center"/>
      </w:pPr>
      <w:r>
        <w:rPr>
          <w:rFonts w:ascii="Arial" w:cs="Arial" w:eastAsia="Arial" w:hAnsi="Arial"/>
          <w:color w:val="888888"/>
          <w:sz w:val="22"/>
          <w:szCs w:val="22"/>
        </w:rPr>
        <w:t xml:space="preserve">Chat Agent Knowledge Base | Output Systems | 2026</w:t>
      </w:r>
    </w:p>
    <w:p>
      <w:pPr>
        <w:spacing w:after="120" w:before="40"/>
      </w:pPr>
      <w:r>
        <w:rPr>
          <w:rFonts w:ascii="Arial" w:cs="Arial" w:eastAsia="Arial" w:hAnsi="Arial"/>
          <w:i/>
          <w:iCs/>
          <w:color w:val="777777"/>
          <w:sz w:val="20"/>
          <w:szCs w:val="20"/>
        </w:rPr>
        <w:t xml:space="preserve">General educational reference only. Not mortgage, financial, legal, or tax advice. A licensed Ontario mortgage broker must review every individual borrower situation.</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 Alternative Lending (B Lenders) - Canada and Ontario</w:t>
      </w:r>
    </w:p>
    <w:p>
      <w:pPr>
        <w:pStyle w:val="Heading2"/>
        <w:spacing w:after="100" w:before="280"/>
      </w:pPr>
      <w:r>
        <w:rPr>
          <w:rFonts w:ascii="Arial" w:cs="Arial" w:eastAsia="Arial" w:hAnsi="Arial"/>
          <w:b/>
          <w:bCs/>
          <w:color w:val="0a5c7a"/>
          <w:sz w:val="26"/>
          <w:szCs w:val="26"/>
        </w:rPr>
        <w:t xml:space="preserve">What B Lending Is</w:t>
      </w:r>
    </w:p>
    <w:p>
      <w:pPr>
        <w:pStyle w:val="ListParagraph"/>
        <w:numPr>
          <w:ilvl w:val="0"/>
          <w:numId w:val="2"/>
        </w:numPr>
        <w:spacing w:after="60" w:before="60"/>
      </w:pPr>
      <w:r>
        <w:rPr>
          <w:rFonts w:ascii="Arial" w:cs="Arial" w:eastAsia="Arial" w:hAnsi="Arial"/>
          <w:sz w:val="22"/>
          <w:szCs w:val="22"/>
        </w:rPr>
        <w:t xml:space="preserve">B Lenders are non-prime institutional lenders including trust companies and certain credit unions that serve borrowers who do not meet standard A bank criteria</w:t>
      </w:r>
    </w:p>
    <w:p>
      <w:pPr>
        <w:pStyle w:val="ListParagraph"/>
        <w:numPr>
          <w:ilvl w:val="0"/>
          <w:numId w:val="2"/>
        </w:numPr>
        <w:spacing w:after="60" w:before="60"/>
      </w:pPr>
      <w:r>
        <w:rPr>
          <w:rFonts w:ascii="Arial" w:cs="Arial" w:eastAsia="Arial" w:hAnsi="Arial"/>
          <w:b/>
          <w:bCs/>
          <w:sz w:val="22"/>
          <w:szCs w:val="22"/>
        </w:rPr>
        <w:t xml:space="preserve">Equitable Bank, Home Trust, Community Trust</w:t>
      </w:r>
      <w:r>
        <w:rPr>
          <w:rFonts w:ascii="Arial" w:cs="Arial" w:eastAsia="Arial" w:hAnsi="Arial"/>
          <w:sz w:val="22"/>
          <w:szCs w:val="22"/>
        </w:rPr>
        <w:t xml:space="preserve">Common B Lenders in Ontario: </w:t>
      </w:r>
    </w:p>
    <w:p>
      <w:pPr>
        <w:pStyle w:val="ListParagraph"/>
        <w:numPr>
          <w:ilvl w:val="0"/>
          <w:numId w:val="2"/>
        </w:numPr>
        <w:spacing w:after="60" w:before="60"/>
      </w:pPr>
      <w:r>
        <w:rPr>
          <w:rFonts w:ascii="Arial" w:cs="Arial" w:eastAsia="Arial" w:hAnsi="Arial"/>
          <w:sz w:val="22"/>
          <w:szCs w:val="22"/>
        </w:rPr>
        <w:t xml:space="preserve">B Lenders fill the gap between prime banks (A Lenders) and private individual investors</w:t>
      </w:r>
    </w:p>
    <w:p>
      <w:pPr>
        <w:pStyle w:val="ListParagraph"/>
        <w:numPr>
          <w:ilvl w:val="0"/>
          <w:numId w:val="2"/>
        </w:numPr>
        <w:spacing w:after="60" w:before="60"/>
      </w:pPr>
      <w:r>
        <w:rPr>
          <w:rFonts w:ascii="Arial" w:cs="Arial" w:eastAsia="Arial" w:hAnsi="Arial"/>
          <w:sz w:val="22"/>
          <w:szCs w:val="22"/>
        </w:rPr>
        <w:t xml:space="preserve">Federally regulated B Lenders (e.g. Equitable Bank, Home Trust) are overseen by OSFI</w:t>
      </w:r>
    </w:p>
    <w:p>
      <w:pPr>
        <w:pStyle w:val="ListParagraph"/>
        <w:numPr>
          <w:ilvl w:val="0"/>
          <w:numId w:val="2"/>
        </w:numPr>
        <w:spacing w:after="60" w:before="60"/>
      </w:pPr>
      <w:r>
        <w:rPr>
          <w:rFonts w:ascii="Arial" w:cs="Arial" w:eastAsia="Arial" w:hAnsi="Arial"/>
          <w:sz w:val="22"/>
          <w:szCs w:val="22"/>
        </w:rPr>
        <w:t xml:space="preserve">Provincially regulated B Lenders (e.g. Ontario credit unions) follow provincial guidelines and have more flexibility on qualifying rules</w:t>
      </w:r>
    </w:p>
    <w:p>
      <w:pPr>
        <w:pStyle w:val="ListParagraph"/>
        <w:numPr>
          <w:ilvl w:val="0"/>
          <w:numId w:val="2"/>
        </w:numPr>
        <w:spacing w:after="60" w:before="60"/>
      </w:pPr>
      <w:r>
        <w:rPr>
          <w:rFonts w:ascii="Arial" w:cs="Arial" w:eastAsia="Arial" w:hAnsi="Arial"/>
          <w:sz w:val="22"/>
          <w:szCs w:val="22"/>
        </w:rPr>
        <w:t xml:space="preserve">B Lenders are a legal, regulated, and widely used part of the Canadian mortgage market</w:t>
      </w:r>
    </w:p>
    <w:p>
      <w:pPr>
        <w:pStyle w:val="ListParagraph"/>
        <w:numPr>
          <w:ilvl w:val="0"/>
          <w:numId w:val="2"/>
        </w:numPr>
        <w:spacing w:after="60" w:before="60"/>
      </w:pPr>
      <w:r>
        <w:rPr>
          <w:rFonts w:ascii="Arial" w:cs="Arial" w:eastAsia="Arial" w:hAnsi="Arial"/>
          <w:sz w:val="22"/>
          <w:szCs w:val="22"/>
        </w:rPr>
        <w:t xml:space="preserve">The B Lender market has grown significantly since OSFI tightened A Lender rules in 2016 and 2018</w:t>
      </w:r>
    </w:p>
    <w:p>
      <w:pPr>
        <w:pStyle w:val="Heading2"/>
        <w:spacing w:after="100" w:before="280"/>
      </w:pPr>
      <w:r>
        <w:rPr>
          <w:rFonts w:ascii="Arial" w:cs="Arial" w:eastAsia="Arial" w:hAnsi="Arial"/>
          <w:b/>
          <w:bCs/>
          <w:color w:val="0a5c7a"/>
          <w:sz w:val="26"/>
          <w:szCs w:val="26"/>
        </w:rPr>
        <w:t xml:space="preserve">Who Uses B Lenders</w:t>
      </w:r>
    </w:p>
    <w:p>
      <w:pPr>
        <w:pStyle w:val="ListParagraph"/>
        <w:numPr>
          <w:ilvl w:val="0"/>
          <w:numId w:val="2"/>
        </w:numPr>
        <w:spacing w:after="60" w:before="60"/>
      </w:pPr>
      <w:r>
        <w:rPr>
          <w:rFonts w:ascii="Arial" w:cs="Arial" w:eastAsia="Arial" w:hAnsi="Arial"/>
          <w:sz w:val="22"/>
          <w:szCs w:val="22"/>
        </w:rPr>
        <w:t xml:space="preserve">Self-employed borrowers and business owners with low declared taxable income</w:t>
      </w:r>
    </w:p>
    <w:p>
      <w:pPr>
        <w:pStyle w:val="ListParagraph"/>
        <w:numPr>
          <w:ilvl w:val="0"/>
          <w:numId w:val="2"/>
        </w:numPr>
        <w:spacing w:after="60" w:before="60"/>
      </w:pPr>
      <w:r>
        <w:rPr>
          <w:rFonts w:ascii="Arial" w:cs="Arial" w:eastAsia="Arial" w:hAnsi="Arial"/>
          <w:sz w:val="22"/>
          <w:szCs w:val="22"/>
        </w:rPr>
        <w:t xml:space="preserve">Freelancers, contractors, and gig workers with non-traditional income documentation</w:t>
      </w:r>
    </w:p>
    <w:p>
      <w:pPr>
        <w:pStyle w:val="ListParagraph"/>
        <w:numPr>
          <w:ilvl w:val="0"/>
          <w:numId w:val="2"/>
        </w:numPr>
        <w:spacing w:after="60" w:before="60"/>
      </w:pPr>
      <w:r>
        <w:rPr>
          <w:rFonts w:ascii="Arial" w:cs="Arial" w:eastAsia="Arial" w:hAnsi="Arial"/>
          <w:sz w:val="22"/>
          <w:szCs w:val="22"/>
        </w:rPr>
        <w:t xml:space="preserve">Borrowers recovering from a bruised credit score, consumer proposal, or recent bankruptcy discharge</w:t>
      </w:r>
    </w:p>
    <w:p>
      <w:pPr>
        <w:pStyle w:val="ListParagraph"/>
        <w:numPr>
          <w:ilvl w:val="0"/>
          <w:numId w:val="2"/>
        </w:numPr>
        <w:spacing w:after="60" w:before="60"/>
      </w:pPr>
      <w:r>
        <w:rPr>
          <w:rFonts w:ascii="Arial" w:cs="Arial" w:eastAsia="Arial" w:hAnsi="Arial"/>
          <w:sz w:val="22"/>
          <w:szCs w:val="22"/>
        </w:rPr>
        <w:t xml:space="preserve">New immigrants to Canada with limited domestic credit history</w:t>
      </w:r>
    </w:p>
    <w:p>
      <w:pPr>
        <w:pStyle w:val="ListParagraph"/>
        <w:numPr>
          <w:ilvl w:val="0"/>
          <w:numId w:val="2"/>
        </w:numPr>
        <w:spacing w:after="60" w:before="60"/>
      </w:pPr>
      <w:r>
        <w:rPr>
          <w:rFonts w:ascii="Arial" w:cs="Arial" w:eastAsia="Arial" w:hAnsi="Arial"/>
          <w:sz w:val="22"/>
          <w:szCs w:val="22"/>
        </w:rPr>
        <w:t xml:space="preserve">Borrowers with high debt ratios that fall outside A bank TDS caps</w:t>
      </w:r>
    </w:p>
    <w:p>
      <w:pPr>
        <w:pStyle w:val="ListParagraph"/>
        <w:numPr>
          <w:ilvl w:val="0"/>
          <w:numId w:val="2"/>
        </w:numPr>
        <w:spacing w:after="60" w:before="60"/>
      </w:pPr>
      <w:r>
        <w:rPr>
          <w:rFonts w:ascii="Arial" w:cs="Arial" w:eastAsia="Arial" w:hAnsi="Arial"/>
          <w:sz w:val="22"/>
          <w:szCs w:val="22"/>
        </w:rPr>
        <w:t xml:space="preserve">Borrowers with tax arrears that will be paid out of the mortgage proceeds on closing</w:t>
      </w:r>
    </w:p>
    <w:p>
      <w:pPr>
        <w:pStyle w:val="ListParagraph"/>
        <w:numPr>
          <w:ilvl w:val="0"/>
          <w:numId w:val="2"/>
        </w:numPr>
        <w:spacing w:after="60" w:before="60"/>
      </w:pPr>
      <w:r>
        <w:rPr>
          <w:rFonts w:ascii="Arial" w:cs="Arial" w:eastAsia="Arial" w:hAnsi="Arial"/>
          <w:sz w:val="22"/>
          <w:szCs w:val="22"/>
        </w:rPr>
        <w:t xml:space="preserve">Investors who need rental income counted more favorably than A banks allow</w:t>
      </w:r>
    </w:p>
    <w:p>
      <w:pPr>
        <w:pStyle w:val="Heading2"/>
        <w:spacing w:after="100" w:before="280"/>
      </w:pPr>
      <w:r>
        <w:rPr>
          <w:rFonts w:ascii="Arial" w:cs="Arial" w:eastAsia="Arial" w:hAnsi="Arial"/>
          <w:b/>
          <w:bCs/>
          <w:color w:val="0a5c7a"/>
          <w:sz w:val="26"/>
          <w:szCs w:val="26"/>
        </w:rPr>
        <w:t xml:space="preserve">B Lender Rates, Fees, and Terms</w:t>
      </w:r>
    </w:p>
    <w:p>
      <w:pPr>
        <w:pStyle w:val="ListParagraph"/>
        <w:numPr>
          <w:ilvl w:val="0"/>
          <w:numId w:val="2"/>
        </w:numPr>
        <w:spacing w:after="60" w:before="60"/>
      </w:pPr>
      <w:r>
        <w:rPr>
          <w:rFonts w:ascii="Arial" w:cs="Arial" w:eastAsia="Arial" w:hAnsi="Arial"/>
          <w:sz w:val="22"/>
          <w:szCs w:val="22"/>
        </w:rPr>
        <w:t xml:space="preserve">Interest rates are higher than A banks to reflect the elevated risk profile of the borrower or file</w:t>
      </w:r>
    </w:p>
    <w:p>
      <w:pPr>
        <w:pStyle w:val="ListParagraph"/>
        <w:numPr>
          <w:ilvl w:val="0"/>
          <w:numId w:val="2"/>
        </w:numPr>
        <w:spacing w:after="60" w:before="60"/>
      </w:pPr>
      <w:r>
        <w:rPr>
          <w:rFonts w:ascii="Arial" w:cs="Arial" w:eastAsia="Arial" w:hAnsi="Arial"/>
          <w:sz w:val="22"/>
          <w:szCs w:val="22"/>
        </w:rPr>
        <w:t xml:space="preserve">Lender fee typically 1% to 2% of the loan amount, charged upfront or deducted from the advance</w:t>
      </w:r>
    </w:p>
    <w:p>
      <w:pPr>
        <w:pStyle w:val="ListParagraph"/>
        <w:numPr>
          <w:ilvl w:val="0"/>
          <w:numId w:val="2"/>
        </w:numPr>
        <w:spacing w:after="60" w:before="60"/>
      </w:pPr>
      <w:r>
        <w:rPr>
          <w:rFonts w:ascii="Arial" w:cs="Arial" w:eastAsia="Arial" w:hAnsi="Arial"/>
          <w:sz w:val="22"/>
          <w:szCs w:val="22"/>
        </w:rPr>
        <w:t xml:space="preserve">Broker fee typically 1% charged directly to the borrower because B Lenders often do not pay standard finder commissions to brokers</w:t>
      </w:r>
    </w:p>
    <w:p>
      <w:pPr>
        <w:pStyle w:val="ListParagraph"/>
        <w:numPr>
          <w:ilvl w:val="0"/>
          <w:numId w:val="2"/>
        </w:numPr>
        <w:spacing w:after="60" w:before="60"/>
      </w:pPr>
      <w:r>
        <w:rPr>
          <w:rFonts w:ascii="Arial" w:cs="Arial" w:eastAsia="Arial" w:hAnsi="Arial"/>
          <w:sz w:val="22"/>
          <w:szCs w:val="22"/>
        </w:rPr>
        <w:t xml:space="preserve">All fees must be disclosed in writing before the borrower commits to the file</w:t>
      </w:r>
    </w:p>
    <w:p>
      <w:pPr>
        <w:pStyle w:val="ListParagraph"/>
        <w:numPr>
          <w:ilvl w:val="0"/>
          <w:numId w:val="2"/>
        </w:numPr>
        <w:spacing w:after="60" w:before="60"/>
      </w:pPr>
      <w:r>
        <w:rPr>
          <w:rFonts w:ascii="Arial" w:cs="Arial" w:eastAsia="Arial" w:hAnsi="Arial"/>
          <w:sz w:val="22"/>
          <w:szCs w:val="22"/>
        </w:rPr>
        <w:t xml:space="preserve">Terms are short, typically 1 to 3 years, designed as a bridge to prime lending</w:t>
      </w:r>
    </w:p>
    <w:p>
      <w:pPr>
        <w:pStyle w:val="ListParagraph"/>
        <w:numPr>
          <w:ilvl w:val="0"/>
          <w:numId w:val="2"/>
        </w:numPr>
        <w:spacing w:after="60" w:before="60"/>
      </w:pPr>
      <w:r>
        <w:rPr>
          <w:rFonts w:ascii="Arial" w:cs="Arial" w:eastAsia="Arial" w:hAnsi="Arial"/>
          <w:sz w:val="22"/>
          <w:szCs w:val="22"/>
        </w:rPr>
        <w:t xml:space="preserve">Renewal fees of $500 to 1% of the remaining balance are standard at end of term</w:t>
      </w:r>
    </w:p>
    <w:p>
      <w:pPr>
        <w:pStyle w:val="ListParagraph"/>
        <w:numPr>
          <w:ilvl w:val="0"/>
          <w:numId w:val="2"/>
        </w:numPr>
        <w:spacing w:after="60" w:before="60"/>
      </w:pPr>
      <w:r>
        <w:rPr>
          <w:rFonts w:ascii="Arial" w:cs="Arial" w:eastAsia="Arial" w:hAnsi="Arial"/>
          <w:sz w:val="22"/>
          <w:szCs w:val="22"/>
        </w:rPr>
        <w:t xml:space="preserve">Prepayment penalties are simpler than major banks: typically a flat 3-month interest penalty rather than complex IRD calculations</w:t>
      </w:r>
    </w:p>
    <w:p>
      <w:pPr>
        <w:pStyle w:val="ListParagraph"/>
        <w:numPr>
          <w:ilvl w:val="0"/>
          <w:numId w:val="2"/>
        </w:numPr>
        <w:spacing w:after="60" w:before="60"/>
      </w:pPr>
      <w:r>
        <w:rPr>
          <w:rFonts w:ascii="Arial" w:cs="Arial" w:eastAsia="Arial" w:hAnsi="Arial"/>
          <w:sz w:val="22"/>
          <w:szCs w:val="22"/>
        </w:rPr>
        <w:t xml:space="preserve">Exit strategy is essential: the borrower must have a clear plan to move to an A bank or pay out the mortgage at maturity</w:t>
      </w:r>
    </w:p>
    <w:p>
      <w:pPr>
        <w:pStyle w:val="Heading2"/>
        <w:spacing w:after="100" w:before="280"/>
      </w:pPr>
      <w:r>
        <w:rPr>
          <w:rFonts w:ascii="Arial" w:cs="Arial" w:eastAsia="Arial" w:hAnsi="Arial"/>
          <w:b/>
          <w:bCs/>
          <w:color w:val="0a5c7a"/>
          <w:sz w:val="26"/>
          <w:szCs w:val="26"/>
        </w:rPr>
        <w:t xml:space="preserve">B Lender Qualification Rules</w:t>
      </w:r>
    </w:p>
    <w:p>
      <w:pPr>
        <w:pStyle w:val="ListParagraph"/>
        <w:numPr>
          <w:ilvl w:val="0"/>
          <w:numId w:val="2"/>
        </w:numPr>
        <w:spacing w:after="60" w:before="60"/>
      </w:pPr>
      <w:r>
        <w:rPr>
          <w:rFonts w:ascii="Arial" w:cs="Arial" w:eastAsia="Arial" w:hAnsi="Arial"/>
          <w:sz w:val="22"/>
          <w:szCs w:val="22"/>
        </w:rPr>
        <w:t xml:space="preserve">Maximum LTV is 80%, meaning a minimum 20% down payment or equity position is required</w:t>
      </w:r>
    </w:p>
    <w:p>
      <w:pPr>
        <w:pStyle w:val="ListParagraph"/>
        <w:numPr>
          <w:ilvl w:val="0"/>
          <w:numId w:val="2"/>
        </w:numPr>
        <w:spacing w:after="60" w:before="60"/>
      </w:pPr>
      <w:r>
        <w:rPr>
          <w:rFonts w:ascii="Arial" w:cs="Arial" w:eastAsia="Arial" w:hAnsi="Arial"/>
          <w:sz w:val="22"/>
          <w:szCs w:val="22"/>
        </w:rPr>
        <w:t xml:space="preserve">No CMHC, Sagen, or Canada Guaranty mortgage default insurance is available on B mortgages</w:t>
      </w:r>
    </w:p>
    <w:p>
      <w:pPr>
        <w:pStyle w:val="ListParagraph"/>
        <w:numPr>
          <w:ilvl w:val="0"/>
          <w:numId w:val="2"/>
        </w:numPr>
        <w:spacing w:after="60" w:before="60"/>
      </w:pPr>
      <w:r>
        <w:rPr>
          <w:rFonts w:ascii="Arial" w:cs="Arial" w:eastAsia="Arial" w:hAnsi="Arial"/>
          <w:sz w:val="22"/>
          <w:szCs w:val="22"/>
        </w:rPr>
        <w:t xml:space="preserve">TDS (Total Debt Service) limits can flex up to 50% or more, compared to A bank caps of 44%</w:t>
      </w:r>
    </w:p>
    <w:p>
      <w:pPr>
        <w:pStyle w:val="ListParagraph"/>
        <w:numPr>
          <w:ilvl w:val="0"/>
          <w:numId w:val="2"/>
        </w:numPr>
        <w:spacing w:after="60" w:before="60"/>
      </w:pPr>
      <w:r>
        <w:rPr>
          <w:rFonts w:ascii="Arial" w:cs="Arial" w:eastAsia="Arial" w:hAnsi="Arial"/>
          <w:sz w:val="22"/>
          <w:szCs w:val="22"/>
        </w:rPr>
        <w:t xml:space="preserve">GDS (Gross Debt Service) limits also more flexible, often assessed on a full-file basis</w:t>
      </w:r>
    </w:p>
    <w:p>
      <w:pPr>
        <w:pStyle w:val="ListParagraph"/>
        <w:numPr>
          <w:ilvl w:val="0"/>
          <w:numId w:val="2"/>
        </w:numPr>
        <w:spacing w:after="60" w:before="60"/>
      </w:pPr>
      <w:r>
        <w:rPr>
          <w:rFonts w:ascii="Arial" w:cs="Arial" w:eastAsia="Arial" w:hAnsi="Arial"/>
          <w:sz w:val="22"/>
          <w:szCs w:val="22"/>
        </w:rPr>
        <w:t xml:space="preserve">Credit scores accepted typically range from 500 to 620, but the narrative behind the score matters as much as the number</w:t>
      </w:r>
    </w:p>
    <w:p>
      <w:pPr>
        <w:pStyle w:val="ListParagraph"/>
        <w:numPr>
          <w:ilvl w:val="0"/>
          <w:numId w:val="2"/>
        </w:numPr>
        <w:spacing w:after="60" w:before="60"/>
      </w:pPr>
      <w:r>
        <w:rPr>
          <w:rFonts w:ascii="Arial" w:cs="Arial" w:eastAsia="Arial" w:hAnsi="Arial"/>
          <w:sz w:val="22"/>
          <w:szCs w:val="22"/>
        </w:rPr>
        <w:t xml:space="preserve">Federally regulated B Lenders must apply the OSFI stress test; provincially regulated credit unions often have internal alternatives</w:t>
      </w:r>
    </w:p>
    <w:p>
      <w:pPr>
        <w:pStyle w:val="ListParagraph"/>
        <w:numPr>
          <w:ilvl w:val="0"/>
          <w:numId w:val="2"/>
        </w:numPr>
        <w:spacing w:after="60" w:before="60"/>
      </w:pPr>
      <w:r>
        <w:rPr>
          <w:rFonts w:ascii="Arial" w:cs="Arial" w:eastAsia="Arial" w:hAnsi="Arial"/>
          <w:sz w:val="22"/>
          <w:szCs w:val="22"/>
        </w:rPr>
        <w:t xml:space="preserve">Full independent appraisal is mandatory on every B Lender file, no automated valuations accepted</w:t>
      </w:r>
    </w:p>
    <w:p>
      <w:pPr>
        <w:pStyle w:val="ListParagraph"/>
        <w:numPr>
          <w:ilvl w:val="0"/>
          <w:numId w:val="2"/>
        </w:numPr>
        <w:spacing w:after="60" w:before="60"/>
      </w:pPr>
      <w:r>
        <w:rPr>
          <w:rFonts w:ascii="Arial" w:cs="Arial" w:eastAsia="Arial" w:hAnsi="Arial"/>
          <w:sz w:val="22"/>
          <w:szCs w:val="22"/>
        </w:rPr>
        <w:t xml:space="preserve">Appraisal validity is typically 60 to 90 days before a refresh is required</w:t>
      </w:r>
    </w:p>
    <w:p>
      <w:pPr>
        <w:pStyle w:val="ListParagraph"/>
        <w:numPr>
          <w:ilvl w:val="0"/>
          <w:numId w:val="2"/>
        </w:numPr>
        <w:spacing w:after="60" w:before="60"/>
      </w:pPr>
      <w:r>
        <w:rPr>
          <w:rFonts w:ascii="Arial" w:cs="Arial" w:eastAsia="Arial" w:hAnsi="Arial"/>
          <w:sz w:val="22"/>
          <w:szCs w:val="22"/>
        </w:rPr>
        <w:t xml:space="preserve">NOA (Notice of Assessment) is often requested to confirm zero CRA balance even if the income figure is not used for qualification</w:t>
      </w:r>
    </w:p>
    <w:p>
      <w:pPr>
        <w:pStyle w:val="Heading2"/>
        <w:spacing w:after="100" w:before="280"/>
      </w:pPr>
      <w:r>
        <w:rPr>
          <w:rFonts w:ascii="Arial" w:cs="Arial" w:eastAsia="Arial" w:hAnsi="Arial"/>
          <w:b/>
          <w:bCs/>
          <w:color w:val="0a5c7a"/>
          <w:sz w:val="26"/>
          <w:szCs w:val="26"/>
        </w:rPr>
        <w:t xml:space="preserve">Income and Documentation</w:t>
      </w:r>
    </w:p>
    <w:p>
      <w:pPr>
        <w:pStyle w:val="ListParagraph"/>
        <w:numPr>
          <w:ilvl w:val="0"/>
          <w:numId w:val="2"/>
        </w:numPr>
        <w:spacing w:after="60" w:before="60"/>
      </w:pPr>
      <w:r>
        <w:rPr>
          <w:rFonts w:ascii="Arial" w:cs="Arial" w:eastAsia="Arial" w:hAnsi="Arial"/>
          <w:sz w:val="22"/>
          <w:szCs w:val="22"/>
        </w:rPr>
        <w:t xml:space="preserve">Stated income programs allow self-employed borrowers to declare a reasonable income based on industry averages and bank statement cash flow</w:t>
      </w:r>
    </w:p>
    <w:p>
      <w:pPr>
        <w:pStyle w:val="ListParagraph"/>
        <w:numPr>
          <w:ilvl w:val="0"/>
          <w:numId w:val="2"/>
        </w:numPr>
        <w:spacing w:after="60" w:before="60"/>
      </w:pPr>
      <w:r>
        <w:rPr>
          <w:rFonts w:ascii="Arial" w:cs="Arial" w:eastAsia="Arial" w:hAnsi="Arial"/>
          <w:sz w:val="22"/>
          <w:szCs w:val="22"/>
        </w:rPr>
        <w:t xml:space="preserve">Bank statement programs (typically 12 to 24 months) are used to map gross operational revenues for BFS (Business for Self) applicants</w:t>
      </w:r>
    </w:p>
    <w:p>
      <w:pPr>
        <w:pStyle w:val="ListParagraph"/>
        <w:numPr>
          <w:ilvl w:val="0"/>
          <w:numId w:val="2"/>
        </w:numPr>
        <w:spacing w:after="60" w:before="60"/>
      </w:pPr>
      <w:r>
        <w:rPr>
          <w:rFonts w:ascii="Arial" w:cs="Arial" w:eastAsia="Arial" w:hAnsi="Arial"/>
          <w:sz w:val="22"/>
          <w:szCs w:val="22"/>
        </w:rPr>
        <w:t xml:space="preserve">Reasonableness test: the underwriter confirms whether the stated income makes sense for the industry, business type, and size</w:t>
      </w:r>
    </w:p>
    <w:p>
      <w:pPr>
        <w:pStyle w:val="ListParagraph"/>
        <w:numPr>
          <w:ilvl w:val="0"/>
          <w:numId w:val="2"/>
        </w:numPr>
        <w:spacing w:after="60" w:before="60"/>
      </w:pPr>
      <w:r>
        <w:rPr>
          <w:rFonts w:ascii="Arial" w:cs="Arial" w:eastAsia="Arial" w:hAnsi="Arial"/>
          <w:sz w:val="22"/>
          <w:szCs w:val="22"/>
        </w:rPr>
        <w:t xml:space="preserve">Articles of Incorporation and a corporate profile report are required for incorporated borrowers</w:t>
      </w:r>
    </w:p>
    <w:p>
      <w:pPr>
        <w:pStyle w:val="ListParagraph"/>
        <w:numPr>
          <w:ilvl w:val="0"/>
          <w:numId w:val="2"/>
        </w:numPr>
        <w:spacing w:after="60" w:before="60"/>
      </w:pPr>
      <w:r>
        <w:rPr>
          <w:rFonts w:ascii="Arial" w:cs="Arial" w:eastAsia="Arial" w:hAnsi="Arial"/>
          <w:sz w:val="22"/>
          <w:szCs w:val="22"/>
        </w:rPr>
        <w:t xml:space="preserve">Rental income from basement suites or investment properties is treated more favorably, often at 50% to 100% of market rent added to income</w:t>
      </w:r>
    </w:p>
    <w:p>
      <w:pPr>
        <w:pStyle w:val="ListParagraph"/>
        <w:numPr>
          <w:ilvl w:val="0"/>
          <w:numId w:val="2"/>
        </w:numPr>
        <w:spacing w:after="60" w:before="60"/>
      </w:pPr>
      <w:r>
        <w:rPr>
          <w:rFonts w:ascii="Arial" w:cs="Arial" w:eastAsia="Arial" w:hAnsi="Arial"/>
          <w:sz w:val="22"/>
          <w:szCs w:val="22"/>
        </w:rPr>
        <w:t xml:space="preserve">Alt-A programs exist for borrowers with excellent credit but non-traditional income documentation, sitting between A and B tiers</w:t>
      </w:r>
    </w:p>
    <w:p>
      <w:pPr>
        <w:pStyle w:val="ListParagraph"/>
        <w:numPr>
          <w:ilvl w:val="0"/>
          <w:numId w:val="2"/>
        </w:numPr>
        <w:spacing w:after="60" w:before="60"/>
      </w:pPr>
      <w:r>
        <w:rPr>
          <w:rFonts w:ascii="Arial" w:cs="Arial" w:eastAsia="Arial" w:hAnsi="Arial"/>
          <w:sz w:val="22"/>
          <w:szCs w:val="22"/>
        </w:rPr>
        <w:t xml:space="preserve">Asset utilization programs can qualify borrowers using liquid investment portfolios as an income proxy</w:t>
      </w:r>
    </w:p>
    <w:p>
      <w:pPr>
        <w:pStyle w:val="Heading2"/>
        <w:spacing w:after="100" w:before="280"/>
      </w:pPr>
      <w:r>
        <w:rPr>
          <w:rFonts w:ascii="Arial" w:cs="Arial" w:eastAsia="Arial" w:hAnsi="Arial"/>
          <w:b/>
          <w:bCs/>
          <w:color w:val="0a5c7a"/>
          <w:sz w:val="26"/>
          <w:szCs w:val="26"/>
        </w:rPr>
        <w:t xml:space="preserve">Property and Geography</w:t>
      </w:r>
    </w:p>
    <w:p>
      <w:pPr>
        <w:pStyle w:val="ListParagraph"/>
        <w:numPr>
          <w:ilvl w:val="0"/>
          <w:numId w:val="2"/>
        </w:numPr>
        <w:spacing w:after="60" w:before="60"/>
      </w:pPr>
      <w:r>
        <w:rPr>
          <w:rFonts w:ascii="Arial" w:cs="Arial" w:eastAsia="Arial" w:hAnsi="Arial"/>
          <w:sz w:val="22"/>
          <w:szCs w:val="22"/>
        </w:rPr>
        <w:t xml:space="preserve">B Lenders prefer major urban and suburban markets: GTA, Ottawa, Hamilton, London, Kitchener-Waterloo</w:t>
      </w:r>
    </w:p>
    <w:p>
      <w:pPr>
        <w:pStyle w:val="ListParagraph"/>
        <w:numPr>
          <w:ilvl w:val="0"/>
          <w:numId w:val="2"/>
        </w:numPr>
        <w:spacing w:after="60" w:before="60"/>
      </w:pPr>
      <w:r>
        <w:rPr>
          <w:rFonts w:ascii="Arial" w:cs="Arial" w:eastAsia="Arial" w:hAnsi="Arial"/>
          <w:sz w:val="22"/>
          <w:szCs w:val="22"/>
        </w:rPr>
        <w:t xml:space="preserve">Rural and remote Ontario properties face severe LTV restrictions, often 50% to 65%, due to low market liquidity</w:t>
      </w:r>
    </w:p>
    <w:p>
      <w:pPr>
        <w:pStyle w:val="ListParagraph"/>
        <w:numPr>
          <w:ilvl w:val="0"/>
          <w:numId w:val="2"/>
        </w:numPr>
        <w:spacing w:after="60" w:before="60"/>
      </w:pPr>
      <w:r>
        <w:rPr>
          <w:rFonts w:ascii="Arial" w:cs="Arial" w:eastAsia="Arial" w:hAnsi="Arial"/>
          <w:sz w:val="22"/>
          <w:szCs w:val="22"/>
        </w:rPr>
        <w:t xml:space="preserve">Raw land, contaminated properties, specialized commercial structures, and remote hobby farms are typically excluded</w:t>
      </w:r>
    </w:p>
    <w:p>
      <w:pPr>
        <w:pStyle w:val="ListParagraph"/>
        <w:numPr>
          <w:ilvl w:val="0"/>
          <w:numId w:val="2"/>
        </w:numPr>
        <w:spacing w:after="60" w:before="60"/>
      </w:pPr>
      <w:r>
        <w:rPr>
          <w:rFonts w:ascii="Arial" w:cs="Arial" w:eastAsia="Arial" w:hAnsi="Arial"/>
          <w:sz w:val="22"/>
          <w:szCs w:val="22"/>
        </w:rPr>
        <w:t xml:space="preserve">Winterized four-season cottages with year-round municipal road access are generally acceptable</w:t>
      </w:r>
    </w:p>
    <w:p>
      <w:pPr>
        <w:pStyle w:val="ListParagraph"/>
        <w:numPr>
          <w:ilvl w:val="0"/>
          <w:numId w:val="2"/>
        </w:numPr>
        <w:spacing w:after="60" w:before="60"/>
      </w:pPr>
      <w:r>
        <w:rPr>
          <w:rFonts w:ascii="Arial" w:cs="Arial" w:eastAsia="Arial" w:hAnsi="Arial"/>
          <w:sz w:val="22"/>
          <w:szCs w:val="22"/>
        </w:rPr>
        <w:t xml:space="preserve">Title insurance is mandatory on all B Lender closings in Ontario</w:t>
      </w:r>
    </w:p>
    <w:p>
      <w:pPr>
        <w:pStyle w:val="ListParagraph"/>
        <w:numPr>
          <w:ilvl w:val="0"/>
          <w:numId w:val="2"/>
        </w:numPr>
        <w:spacing w:after="60" w:before="60"/>
      </w:pPr>
      <w:r>
        <w:rPr>
          <w:rFonts w:ascii="Arial" w:cs="Arial" w:eastAsia="Arial" w:hAnsi="Arial"/>
          <w:sz w:val="22"/>
          <w:szCs w:val="22"/>
        </w:rPr>
        <w:t xml:space="preserve">Property can be held in an Ontario corporation provided the shareholders personally guarantee the debt</w:t>
      </w:r>
    </w:p>
    <w:p>
      <w:pPr>
        <w:pStyle w:val="ListParagraph"/>
        <w:numPr>
          <w:ilvl w:val="0"/>
          <w:numId w:val="2"/>
        </w:numPr>
        <w:spacing w:after="60" w:before="60"/>
      </w:pPr>
      <w:r>
        <w:rPr>
          <w:rFonts w:ascii="Arial" w:cs="Arial" w:eastAsia="Arial" w:hAnsi="Arial"/>
          <w:sz w:val="22"/>
          <w:szCs w:val="22"/>
        </w:rPr>
        <w:t xml:space="preserve">Outstanding collections and judgments must be paid out of the mortgage proceeds at closing</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2. Private Mortgages - Canada and Ontario</w:t>
      </w:r>
    </w:p>
    <w:p>
      <w:pPr>
        <w:pStyle w:val="Heading2"/>
        <w:spacing w:after="100" w:before="280"/>
      </w:pPr>
      <w:r>
        <w:rPr>
          <w:rFonts w:ascii="Arial" w:cs="Arial" w:eastAsia="Arial" w:hAnsi="Arial"/>
          <w:b/>
          <w:bCs/>
          <w:color w:val="0a5c7a"/>
          <w:sz w:val="26"/>
          <w:szCs w:val="26"/>
        </w:rPr>
        <w:t xml:space="preserve">Structure and Purpose</w:t>
      </w:r>
    </w:p>
    <w:p>
      <w:pPr>
        <w:pStyle w:val="ListParagraph"/>
        <w:numPr>
          <w:ilvl w:val="0"/>
          <w:numId w:val="2"/>
        </w:numPr>
        <w:spacing w:after="60" w:before="60"/>
      </w:pPr>
      <w:r>
        <w:rPr>
          <w:rFonts w:ascii="Arial" w:cs="Arial" w:eastAsia="Arial" w:hAnsi="Arial"/>
          <w:sz w:val="22"/>
          <w:szCs w:val="22"/>
        </w:rPr>
        <w:t xml:space="preserve">Private mortgages are loans funded by individual investors, groups of investors, or Mortgage Investment Corporations (MICs)</w:t>
      </w:r>
    </w:p>
    <w:p>
      <w:pPr>
        <w:pStyle w:val="ListParagraph"/>
        <w:numPr>
          <w:ilvl w:val="0"/>
          <w:numId w:val="2"/>
        </w:numPr>
        <w:spacing w:after="60" w:before="60"/>
      </w:pPr>
      <w:r>
        <w:rPr>
          <w:rFonts w:ascii="Arial" w:cs="Arial" w:eastAsia="Arial" w:hAnsi="Arial"/>
          <w:sz w:val="22"/>
          <w:szCs w:val="22"/>
        </w:rPr>
        <w:t xml:space="preserve">They are short-term instruments, typically 12 months, used when institutional lending is not available or not fast enough</w:t>
      </w:r>
    </w:p>
    <w:p>
      <w:pPr>
        <w:pStyle w:val="ListParagraph"/>
        <w:numPr>
          <w:ilvl w:val="0"/>
          <w:numId w:val="2"/>
        </w:numPr>
        <w:spacing w:after="60" w:before="60"/>
      </w:pPr>
      <w:r>
        <w:rPr>
          <w:rFonts w:ascii="Arial" w:cs="Arial" w:eastAsia="Arial" w:hAnsi="Arial"/>
          <w:sz w:val="22"/>
          <w:szCs w:val="22"/>
        </w:rPr>
        <w:t xml:space="preserve">Payments are almost exclusively interest-only, meaning principal does not reduce during the term</w:t>
      </w:r>
    </w:p>
    <w:p>
      <w:pPr>
        <w:pStyle w:val="ListParagraph"/>
        <w:numPr>
          <w:ilvl w:val="0"/>
          <w:numId w:val="2"/>
        </w:numPr>
        <w:spacing w:after="60" w:before="60"/>
      </w:pPr>
      <w:r>
        <w:rPr>
          <w:rFonts w:ascii="Arial" w:cs="Arial" w:eastAsia="Arial" w:hAnsi="Arial"/>
          <w:sz w:val="22"/>
          <w:szCs w:val="22"/>
        </w:rPr>
        <w:t xml:space="preserve">Private lenders focus primarily on equity and property marketability, not income or credit score</w:t>
      </w:r>
    </w:p>
    <w:p>
      <w:pPr>
        <w:pStyle w:val="ListParagraph"/>
        <w:numPr>
          <w:ilvl w:val="0"/>
          <w:numId w:val="2"/>
        </w:numPr>
        <w:spacing w:after="60" w:before="60"/>
      </w:pPr>
      <w:r>
        <w:rPr>
          <w:rFonts w:ascii="Arial" w:cs="Arial" w:eastAsia="Arial" w:hAnsi="Arial"/>
          <w:sz w:val="22"/>
          <w:szCs w:val="22"/>
        </w:rPr>
        <w:t xml:space="preserve">Exit strategy is the single most critical element of any private mortgage file: how will the borrower pay this out?</w:t>
      </w:r>
    </w:p>
    <w:p>
      <w:pPr>
        <w:pStyle w:val="ListParagraph"/>
        <w:numPr>
          <w:ilvl w:val="0"/>
          <w:numId w:val="2"/>
        </w:numPr>
        <w:spacing w:after="60" w:before="60"/>
      </w:pPr>
      <w:r>
        <w:rPr>
          <w:rFonts w:ascii="Arial" w:cs="Arial" w:eastAsia="Arial" w:hAnsi="Arial"/>
          <w:sz w:val="22"/>
          <w:szCs w:val="22"/>
        </w:rPr>
        <w:t xml:space="preserve">Common use cases: stopping a Power of Sale, urgent equity extraction, bridge financing, construction, fixer-uppers, tax lien payouts</w:t>
      </w:r>
    </w:p>
    <w:p>
      <w:pPr>
        <w:pStyle w:val="Heading2"/>
        <w:spacing w:after="100" w:before="280"/>
      </w:pPr>
      <w:r>
        <w:rPr>
          <w:rFonts w:ascii="Arial" w:cs="Arial" w:eastAsia="Arial" w:hAnsi="Arial"/>
          <w:b/>
          <w:bCs/>
          <w:color w:val="0a5c7a"/>
          <w:sz w:val="26"/>
          <w:szCs w:val="26"/>
        </w:rPr>
        <w:t xml:space="preserve">Private Lender Costs</w:t>
      </w:r>
    </w:p>
    <w:p>
      <w:pPr>
        <w:pStyle w:val="ListParagraph"/>
        <w:numPr>
          <w:ilvl w:val="0"/>
          <w:numId w:val="2"/>
        </w:numPr>
        <w:spacing w:after="60" w:before="60"/>
      </w:pPr>
      <w:r>
        <w:rPr>
          <w:rFonts w:ascii="Arial" w:cs="Arial" w:eastAsia="Arial" w:hAnsi="Arial"/>
          <w:sz w:val="22"/>
          <w:szCs w:val="22"/>
        </w:rPr>
        <w:t xml:space="preserve">First mortgage rates typically range from 7.99% to 11.99% depending on LTV, location, and borrower profile</w:t>
      </w:r>
    </w:p>
    <w:p>
      <w:pPr>
        <w:pStyle w:val="ListParagraph"/>
        <w:numPr>
          <w:ilvl w:val="0"/>
          <w:numId w:val="2"/>
        </w:numPr>
        <w:spacing w:after="60" w:before="60"/>
      </w:pPr>
      <w:r>
        <w:rPr>
          <w:rFonts w:ascii="Arial" w:cs="Arial" w:eastAsia="Arial" w:hAnsi="Arial"/>
          <w:sz w:val="22"/>
          <w:szCs w:val="22"/>
        </w:rPr>
        <w:t xml:space="preserve">Second mortgage rates typically range from 11.99% to 15.99% or higher</w:t>
      </w:r>
    </w:p>
    <w:p>
      <w:pPr>
        <w:pStyle w:val="ListParagraph"/>
        <w:numPr>
          <w:ilvl w:val="0"/>
          <w:numId w:val="2"/>
        </w:numPr>
        <w:spacing w:after="60" w:before="60"/>
      </w:pPr>
      <w:r>
        <w:rPr>
          <w:rFonts w:ascii="Arial" w:cs="Arial" w:eastAsia="Arial" w:hAnsi="Arial"/>
          <w:sz w:val="22"/>
          <w:szCs w:val="22"/>
        </w:rPr>
        <w:t xml:space="preserve">Third mortgage positions are rare and can exceed 18% interest</w:t>
      </w:r>
    </w:p>
    <w:p>
      <w:pPr>
        <w:pStyle w:val="ListParagraph"/>
        <w:numPr>
          <w:ilvl w:val="0"/>
          <w:numId w:val="2"/>
        </w:numPr>
        <w:spacing w:after="60" w:before="60"/>
      </w:pPr>
      <w:r>
        <w:rPr>
          <w:rFonts w:ascii="Arial" w:cs="Arial" w:eastAsia="Arial" w:hAnsi="Arial"/>
          <w:sz w:val="22"/>
          <w:szCs w:val="22"/>
        </w:rPr>
        <w:t xml:space="preserve">Lender fee: 1% to 3% of the gross mortgage amount</w:t>
      </w:r>
    </w:p>
    <w:p>
      <w:pPr>
        <w:pStyle w:val="ListParagraph"/>
        <w:numPr>
          <w:ilvl w:val="0"/>
          <w:numId w:val="2"/>
        </w:numPr>
        <w:spacing w:after="60" w:before="60"/>
      </w:pPr>
      <w:r>
        <w:rPr>
          <w:rFonts w:ascii="Arial" w:cs="Arial" w:eastAsia="Arial" w:hAnsi="Arial"/>
          <w:sz w:val="22"/>
          <w:szCs w:val="22"/>
        </w:rPr>
        <w:t xml:space="preserve">Broker fee: 1% to 3% separate from lender fee</w:t>
      </w:r>
    </w:p>
    <w:p>
      <w:pPr>
        <w:pStyle w:val="ListParagraph"/>
        <w:numPr>
          <w:ilvl w:val="0"/>
          <w:numId w:val="2"/>
        </w:numPr>
        <w:spacing w:after="60" w:before="60"/>
      </w:pPr>
      <w:r>
        <w:rPr>
          <w:rFonts w:ascii="Arial" w:cs="Arial" w:eastAsia="Arial" w:hAnsi="Arial"/>
          <w:sz w:val="22"/>
          <w:szCs w:val="22"/>
        </w:rPr>
        <w:t xml:space="preserve">Borrower pays both their own legal fees and the private lender's legal fees</w:t>
      </w:r>
    </w:p>
    <w:p>
      <w:pPr>
        <w:pStyle w:val="ListParagraph"/>
        <w:numPr>
          <w:ilvl w:val="0"/>
          <w:numId w:val="2"/>
        </w:numPr>
        <w:spacing w:after="60" w:before="60"/>
      </w:pPr>
      <w:r>
        <w:rPr>
          <w:rFonts w:ascii="Arial" w:cs="Arial" w:eastAsia="Arial" w:hAnsi="Arial"/>
          <w:sz w:val="22"/>
          <w:szCs w:val="22"/>
        </w:rPr>
        <w:t xml:space="preserve">Minimum lender fees of $1,500 to $2,500 apply on small loan amounts to cover underwriting costs</w:t>
      </w:r>
    </w:p>
    <w:p>
      <w:pPr>
        <w:pStyle w:val="ListParagraph"/>
        <w:numPr>
          <w:ilvl w:val="0"/>
          <w:numId w:val="2"/>
        </w:numPr>
        <w:spacing w:after="60" w:before="60"/>
      </w:pPr>
      <w:r>
        <w:rPr>
          <w:rFonts w:ascii="Arial" w:cs="Arial" w:eastAsia="Arial" w:hAnsi="Arial"/>
          <w:sz w:val="22"/>
          <w:szCs w:val="22"/>
        </w:rPr>
        <w:t xml:space="preserve">Pre-paid mortgage option: full 12 months of interest deducted from the advance at closing, resulting in zero monthly payments</w:t>
      </w:r>
    </w:p>
    <w:p>
      <w:pPr>
        <w:pStyle w:val="ListParagraph"/>
        <w:numPr>
          <w:ilvl w:val="0"/>
          <w:numId w:val="2"/>
        </w:numPr>
        <w:spacing w:after="60" w:before="60"/>
      </w:pPr>
      <w:r>
        <w:rPr>
          <w:rFonts w:ascii="Arial" w:cs="Arial" w:eastAsia="Arial" w:hAnsi="Arial"/>
          <w:sz w:val="22"/>
          <w:szCs w:val="22"/>
        </w:rPr>
        <w:t xml:space="preserve">Interest reserve option: a portion of the loan is held back to cover monthly payments from the loan itself</w:t>
      </w:r>
    </w:p>
    <w:p>
      <w:pPr>
        <w:pStyle w:val="Heading2"/>
        <w:spacing w:after="100" w:before="280"/>
      </w:pPr>
      <w:r>
        <w:rPr>
          <w:rFonts w:ascii="Arial" w:cs="Arial" w:eastAsia="Arial" w:hAnsi="Arial"/>
          <w:b/>
          <w:bCs/>
          <w:color w:val="0a5c7a"/>
          <w:sz w:val="26"/>
          <w:szCs w:val="26"/>
        </w:rPr>
        <w:t xml:space="preserve">LTV and Risk Tiers</w:t>
      </w:r>
    </w:p>
    <w:p>
      <w:pPr>
        <w:pStyle w:val="ListParagraph"/>
        <w:numPr>
          <w:ilvl w:val="0"/>
          <w:numId w:val="2"/>
        </w:numPr>
        <w:spacing w:after="60" w:before="60"/>
      </w:pPr>
      <w:r>
        <w:rPr>
          <w:rFonts w:ascii="Arial" w:cs="Arial" w:eastAsia="Arial" w:hAnsi="Arial"/>
          <w:sz w:val="22"/>
          <w:szCs w:val="22"/>
        </w:rPr>
        <w:t xml:space="preserve">Major Ontario urban centers (Toronto, Mississauga, Ottawa): up to 75% to 80% LTV in first position</w:t>
      </w:r>
    </w:p>
    <w:p>
      <w:pPr>
        <w:pStyle w:val="ListParagraph"/>
        <w:numPr>
          <w:ilvl w:val="0"/>
          <w:numId w:val="2"/>
        </w:numPr>
        <w:spacing w:after="60" w:before="60"/>
      </w:pPr>
      <w:r>
        <w:rPr>
          <w:rFonts w:ascii="Arial" w:cs="Arial" w:eastAsia="Arial" w:hAnsi="Arial"/>
          <w:sz w:val="22"/>
          <w:szCs w:val="22"/>
        </w:rPr>
        <w:t xml:space="preserve">Suburban Ontario markets: typically 65% to 75% LTV</w:t>
      </w:r>
    </w:p>
    <w:p>
      <w:pPr>
        <w:pStyle w:val="ListParagraph"/>
        <w:numPr>
          <w:ilvl w:val="0"/>
          <w:numId w:val="2"/>
        </w:numPr>
        <w:spacing w:after="60" w:before="60"/>
      </w:pPr>
      <w:r>
        <w:rPr>
          <w:rFonts w:ascii="Arial" w:cs="Arial" w:eastAsia="Arial" w:hAnsi="Arial"/>
          <w:sz w:val="22"/>
          <w:szCs w:val="22"/>
        </w:rPr>
        <w:t xml:space="preserve">Rural Ontario: 50% to 65% LTV due to lower liquidity and resale risk</w:t>
      </w:r>
    </w:p>
    <w:p>
      <w:pPr>
        <w:pStyle w:val="ListParagraph"/>
        <w:numPr>
          <w:ilvl w:val="0"/>
          <w:numId w:val="2"/>
        </w:numPr>
        <w:spacing w:after="60" w:before="60"/>
      </w:pPr>
      <w:r>
        <w:rPr>
          <w:rFonts w:ascii="Arial" w:cs="Arial" w:eastAsia="Arial" w:hAnsi="Arial"/>
          <w:sz w:val="22"/>
          <w:szCs w:val="22"/>
        </w:rPr>
        <w:t xml:space="preserve">Raw land: 40% to 50% LTV, with a clear development or rezoning path required</w:t>
      </w:r>
    </w:p>
    <w:p>
      <w:pPr>
        <w:pStyle w:val="ListParagraph"/>
        <w:numPr>
          <w:ilvl w:val="0"/>
          <w:numId w:val="2"/>
        </w:numPr>
        <w:spacing w:after="60" w:before="60"/>
      </w:pPr>
      <w:r>
        <w:rPr>
          <w:rFonts w:ascii="Arial" w:cs="Arial" w:eastAsia="Arial" w:hAnsi="Arial"/>
          <w:sz w:val="22"/>
          <w:szCs w:val="22"/>
        </w:rPr>
        <w:t xml:space="preserve">Second position private mortgages carry higher rates and lower LTV cushions than first position</w:t>
      </w:r>
    </w:p>
    <w:p>
      <w:pPr>
        <w:pStyle w:val="ListParagraph"/>
        <w:numPr>
          <w:ilvl w:val="0"/>
          <w:numId w:val="2"/>
        </w:numPr>
        <w:spacing w:after="60" w:before="60"/>
      </w:pPr>
      <w:r>
        <w:rPr>
          <w:rFonts w:ascii="Arial" w:cs="Arial" w:eastAsia="Arial" w:hAnsi="Arial"/>
          <w:sz w:val="22"/>
          <w:szCs w:val="22"/>
        </w:rPr>
        <w:t xml:space="preserve">No OSFI stress test applies to private lenders or MICs</w:t>
      </w:r>
    </w:p>
    <w:p>
      <w:pPr>
        <w:pStyle w:val="ListParagraph"/>
        <w:numPr>
          <w:ilvl w:val="0"/>
          <w:numId w:val="2"/>
        </w:numPr>
        <w:spacing w:after="60" w:before="60"/>
      </w:pPr>
      <w:r>
        <w:rPr>
          <w:rFonts w:ascii="Arial" w:cs="Arial" w:eastAsia="Arial" w:hAnsi="Arial"/>
          <w:sz w:val="22"/>
          <w:szCs w:val="22"/>
        </w:rPr>
        <w:t xml:space="preserve">No CMHC, Sagen, or Canada Guaranty insurance is available on private mortgages</w:t>
      </w:r>
    </w:p>
    <w:p>
      <w:pPr>
        <w:pStyle w:val="Heading2"/>
        <w:spacing w:after="100" w:before="280"/>
      </w:pPr>
      <w:r>
        <w:rPr>
          <w:rFonts w:ascii="Arial" w:cs="Arial" w:eastAsia="Arial" w:hAnsi="Arial"/>
          <w:b/>
          <w:bCs/>
          <w:color w:val="0a5c7a"/>
          <w:sz w:val="26"/>
          <w:szCs w:val="26"/>
        </w:rPr>
        <w:t xml:space="preserve">Legal and Regulatory</w:t>
      </w:r>
    </w:p>
    <w:p>
      <w:pPr>
        <w:pStyle w:val="ListParagraph"/>
        <w:numPr>
          <w:ilvl w:val="0"/>
          <w:numId w:val="2"/>
        </w:numPr>
        <w:spacing w:after="60" w:before="60"/>
      </w:pPr>
      <w:r>
        <w:rPr>
          <w:rFonts w:ascii="Arial" w:cs="Arial" w:eastAsia="Arial" w:hAnsi="Arial"/>
          <w:sz w:val="22"/>
          <w:szCs w:val="22"/>
        </w:rPr>
        <w:t xml:space="preserve">Power of Sale is the standard enforcement remedy in Ontario, not foreclosure</w:t>
      </w:r>
    </w:p>
    <w:p>
      <w:pPr>
        <w:pStyle w:val="ListParagraph"/>
        <w:numPr>
          <w:ilvl w:val="0"/>
          <w:numId w:val="2"/>
        </w:numPr>
        <w:spacing w:after="60" w:before="60"/>
      </w:pPr>
      <w:r>
        <w:rPr>
          <w:rFonts w:ascii="Arial" w:cs="Arial" w:eastAsia="Arial" w:hAnsi="Arial"/>
          <w:sz w:val="22"/>
          <w:szCs w:val="22"/>
        </w:rPr>
        <w:t xml:space="preserve">Under Power of Sale, the property is sold, the lender is repaid, and any surplus equity is returned to the borrower</w:t>
      </w:r>
    </w:p>
    <w:p>
      <w:pPr>
        <w:pStyle w:val="ListParagraph"/>
        <w:numPr>
          <w:ilvl w:val="0"/>
          <w:numId w:val="2"/>
        </w:numPr>
        <w:spacing w:after="60" w:before="60"/>
      </w:pPr>
      <w:r>
        <w:rPr>
          <w:rFonts w:ascii="Arial" w:cs="Arial" w:eastAsia="Arial" w:hAnsi="Arial"/>
          <w:sz w:val="22"/>
          <w:szCs w:val="22"/>
        </w:rPr>
        <w:t xml:space="preserve">Foreclosure (where the lender takes the property outright) is rare in Ontario and requires a court order</w:t>
      </w:r>
    </w:p>
    <w:p>
      <w:pPr>
        <w:pStyle w:val="ListParagraph"/>
        <w:numPr>
          <w:ilvl w:val="0"/>
          <w:numId w:val="2"/>
        </w:numPr>
        <w:spacing w:after="60" w:before="60"/>
      </w:pPr>
      <w:r>
        <w:rPr>
          <w:rFonts w:ascii="Arial" w:cs="Arial" w:eastAsia="Arial" w:hAnsi="Arial"/>
          <w:sz w:val="22"/>
          <w:szCs w:val="22"/>
        </w:rPr>
        <w:t xml:space="preserve">Private lenders can issue a Notice of Sale under Mortgage as early as 15 to 30 days post-default</w:t>
      </w:r>
    </w:p>
    <w:p>
      <w:pPr>
        <w:pStyle w:val="ListParagraph"/>
        <w:numPr>
          <w:ilvl w:val="0"/>
          <w:numId w:val="2"/>
        </w:numPr>
        <w:spacing w:after="60" w:before="60"/>
      </w:pPr>
      <w:r>
        <w:rPr>
          <w:rFonts w:ascii="Arial" w:cs="Arial" w:eastAsia="Arial" w:hAnsi="Arial"/>
          <w:sz w:val="22"/>
          <w:szCs w:val="22"/>
        </w:rPr>
        <w:t xml:space="preserve">Form 1 investor disclosure is required under the MBLAA for individual private investors funding mortgages through a licensed broker</w:t>
      </w:r>
    </w:p>
    <w:p>
      <w:pPr>
        <w:pStyle w:val="ListParagraph"/>
        <w:numPr>
          <w:ilvl w:val="0"/>
          <w:numId w:val="2"/>
        </w:numPr>
        <w:spacing w:after="60" w:before="60"/>
      </w:pPr>
      <w:r>
        <w:rPr>
          <w:rFonts w:ascii="Arial" w:cs="Arial" w:eastAsia="Arial" w:hAnsi="Arial"/>
          <w:sz w:val="22"/>
          <w:szCs w:val="22"/>
        </w:rPr>
        <w:t xml:space="preserve">Borrower must receive Independent Legal Advice (ILA) on most private mortgage transactions</w:t>
      </w:r>
    </w:p>
    <w:p>
      <w:pPr>
        <w:pStyle w:val="ListParagraph"/>
        <w:numPr>
          <w:ilvl w:val="0"/>
          <w:numId w:val="2"/>
        </w:numPr>
        <w:spacing w:after="60" w:before="60"/>
      </w:pPr>
      <w:r>
        <w:rPr>
          <w:rFonts w:ascii="Arial" w:cs="Arial" w:eastAsia="Arial" w:hAnsi="Arial"/>
          <w:sz w:val="22"/>
          <w:szCs w:val="22"/>
        </w:rPr>
        <w:t xml:space="preserve">Title insurance is mandatory to protect the private lender's registered position</w:t>
      </w:r>
    </w:p>
    <w:p>
      <w:pPr>
        <w:pStyle w:val="ListParagraph"/>
        <w:numPr>
          <w:ilvl w:val="0"/>
          <w:numId w:val="2"/>
        </w:numPr>
        <w:spacing w:after="60" w:before="60"/>
      </w:pPr>
      <w:r>
        <w:rPr>
          <w:rFonts w:ascii="Arial" w:cs="Arial" w:eastAsia="Arial" w:hAnsi="Arial"/>
          <w:sz w:val="22"/>
          <w:szCs w:val="22"/>
        </w:rPr>
        <w:t xml:space="preserve">A commitment letter from the private lender outlining rates, terms, fees, and conditions is legally binding</w:t>
      </w:r>
    </w:p>
    <w:p>
      <w:pPr>
        <w:pStyle w:val="Heading2"/>
        <w:spacing w:after="100" w:before="280"/>
      </w:pPr>
      <w:r>
        <w:rPr>
          <w:rFonts w:ascii="Arial" w:cs="Arial" w:eastAsia="Arial" w:hAnsi="Arial"/>
          <w:b/>
          <w:bCs/>
          <w:color w:val="0a5c7a"/>
          <w:sz w:val="26"/>
          <w:szCs w:val="26"/>
        </w:rPr>
        <w:t xml:space="preserve">Mortgage Investment Corporations (MICs)</w:t>
      </w:r>
    </w:p>
    <w:p>
      <w:pPr>
        <w:pStyle w:val="ListParagraph"/>
        <w:numPr>
          <w:ilvl w:val="0"/>
          <w:numId w:val="2"/>
        </w:numPr>
        <w:spacing w:after="60" w:before="60"/>
      </w:pPr>
      <w:r>
        <w:rPr>
          <w:rFonts w:ascii="Arial" w:cs="Arial" w:eastAsia="Arial" w:hAnsi="Arial"/>
          <w:sz w:val="22"/>
          <w:szCs w:val="22"/>
        </w:rPr>
        <w:t xml:space="preserve">A MIC is a pooled investment fund that manages a portfolio of private mortgages</w:t>
      </w:r>
    </w:p>
    <w:p>
      <w:pPr>
        <w:pStyle w:val="ListParagraph"/>
        <w:numPr>
          <w:ilvl w:val="0"/>
          <w:numId w:val="2"/>
        </w:numPr>
        <w:spacing w:after="60" w:before="60"/>
      </w:pPr>
      <w:r>
        <w:rPr>
          <w:rFonts w:ascii="Arial" w:cs="Arial" w:eastAsia="Arial" w:hAnsi="Arial"/>
          <w:sz w:val="22"/>
          <w:szCs w:val="22"/>
        </w:rPr>
        <w:t xml:space="preserve">Individual investors purchase shares in the MIC, and the MIC deploys capital into real estate loans</w:t>
      </w:r>
    </w:p>
    <w:p>
      <w:pPr>
        <w:pStyle w:val="ListParagraph"/>
        <w:numPr>
          <w:ilvl w:val="0"/>
          <w:numId w:val="2"/>
        </w:numPr>
        <w:spacing w:after="60" w:before="60"/>
      </w:pPr>
      <w:r>
        <w:rPr>
          <w:rFonts w:ascii="Arial" w:cs="Arial" w:eastAsia="Arial" w:hAnsi="Arial"/>
          <w:sz w:val="22"/>
          <w:szCs w:val="22"/>
        </w:rPr>
        <w:t xml:space="preserve">MICs provide more structured underwriting than individual private lenders</w:t>
      </w:r>
    </w:p>
    <w:p>
      <w:pPr>
        <w:pStyle w:val="ListParagraph"/>
        <w:numPr>
          <w:ilvl w:val="0"/>
          <w:numId w:val="2"/>
        </w:numPr>
        <w:spacing w:after="60" w:before="60"/>
      </w:pPr>
      <w:r>
        <w:rPr>
          <w:rFonts w:ascii="Arial" w:cs="Arial" w:eastAsia="Arial" w:hAnsi="Arial"/>
          <w:sz w:val="22"/>
          <w:szCs w:val="22"/>
        </w:rPr>
        <w:t xml:space="preserve">Micro-MICs focus on regional niches or specific Ontario cities</w:t>
      </w:r>
    </w:p>
    <w:p>
      <w:pPr>
        <w:pStyle w:val="ListParagraph"/>
        <w:numPr>
          <w:ilvl w:val="0"/>
          <w:numId w:val="2"/>
        </w:numPr>
        <w:spacing w:after="60" w:before="60"/>
      </w:pPr>
      <w:r>
        <w:rPr>
          <w:rFonts w:ascii="Arial" w:cs="Arial" w:eastAsia="Arial" w:hAnsi="Arial"/>
          <w:sz w:val="22"/>
          <w:szCs w:val="22"/>
        </w:rPr>
        <w:t xml:space="preserve">Syndicated mortgages involve two or more individual investors funding a single loan, sharing risk proportionally</w:t>
      </w:r>
    </w:p>
    <w:p>
      <w:pPr>
        <w:pStyle w:val="ListParagraph"/>
        <w:numPr>
          <w:ilvl w:val="0"/>
          <w:numId w:val="2"/>
        </w:numPr>
        <w:spacing w:after="60" w:before="60"/>
      </w:pPr>
      <w:r>
        <w:rPr>
          <w:rFonts w:ascii="Arial" w:cs="Arial" w:eastAsia="Arial" w:hAnsi="Arial"/>
          <w:sz w:val="22"/>
          <w:szCs w:val="22"/>
        </w:rPr>
        <w:t xml:space="preserve">MIC returns are passed to investors as dividends and are generally taxable in the investor's hands</w:t>
      </w:r>
    </w:p>
    <w:p>
      <w:pPr>
        <w:pStyle w:val="Heading2"/>
        <w:spacing w:after="100" w:before="280"/>
      </w:pPr>
      <w:r>
        <w:rPr>
          <w:rFonts w:ascii="Arial" w:cs="Arial" w:eastAsia="Arial" w:hAnsi="Arial"/>
          <w:b/>
          <w:bCs/>
          <w:color w:val="0a5c7a"/>
          <w:sz w:val="26"/>
          <w:szCs w:val="26"/>
        </w:rPr>
        <w:t xml:space="preserve">Special Private Mortgage Products</w:t>
      </w:r>
    </w:p>
    <w:p>
      <w:pPr>
        <w:pStyle w:val="ListParagraph"/>
        <w:numPr>
          <w:ilvl w:val="0"/>
          <w:numId w:val="2"/>
        </w:numPr>
        <w:spacing w:after="60" w:before="60"/>
      </w:pPr>
      <w:r>
        <w:rPr>
          <w:rFonts w:ascii="Arial" w:cs="Arial" w:eastAsia="Arial" w:hAnsi="Arial"/>
          <w:sz w:val="22"/>
          <w:szCs w:val="22"/>
        </w:rPr>
        <w:t xml:space="preserve">Interest reserve: a portion held in trust to cover monthly interest for the term, used when borrower has no monthly income</w:t>
      </w:r>
    </w:p>
    <w:p>
      <w:pPr>
        <w:pStyle w:val="ListParagraph"/>
        <w:numPr>
          <w:ilvl w:val="0"/>
          <w:numId w:val="2"/>
        </w:numPr>
        <w:spacing w:after="60" w:before="60"/>
      </w:pPr>
      <w:r>
        <w:rPr>
          <w:rFonts w:ascii="Arial" w:cs="Arial" w:eastAsia="Arial" w:hAnsi="Arial"/>
          <w:sz w:val="22"/>
          <w:szCs w:val="22"/>
        </w:rPr>
        <w:t xml:space="preserve">Pre-paid mortgage: all interest deducted upfront at closing, no monthly payments required</w:t>
      </w:r>
    </w:p>
    <w:p>
      <w:pPr>
        <w:pStyle w:val="ListParagraph"/>
        <w:numPr>
          <w:ilvl w:val="0"/>
          <w:numId w:val="2"/>
        </w:numPr>
        <w:spacing w:after="60" w:before="60"/>
      </w:pPr>
      <w:r>
        <w:rPr>
          <w:rFonts w:ascii="Arial" w:cs="Arial" w:eastAsia="Arial" w:hAnsi="Arial"/>
          <w:sz w:val="22"/>
          <w:szCs w:val="22"/>
        </w:rPr>
        <w:t xml:space="preserve">Construction draw private mortgages: funds advanced in stages tied to inspected milestones</w:t>
      </w:r>
    </w:p>
    <w:p>
      <w:pPr>
        <w:pStyle w:val="ListParagraph"/>
        <w:numPr>
          <w:ilvl w:val="0"/>
          <w:numId w:val="2"/>
        </w:numPr>
        <w:spacing w:after="60" w:before="60"/>
      </w:pPr>
      <w:r>
        <w:rPr>
          <w:rFonts w:ascii="Arial" w:cs="Arial" w:eastAsia="Arial" w:hAnsi="Arial"/>
          <w:sz w:val="22"/>
          <w:szCs w:val="22"/>
        </w:rPr>
        <w:t xml:space="preserve">Non-resident private mortgages: designed for international buyers with Ontario real estate equity but no Canadian income documentation</w:t>
      </w:r>
    </w:p>
    <w:p>
      <w:pPr>
        <w:pStyle w:val="ListParagraph"/>
        <w:numPr>
          <w:ilvl w:val="0"/>
          <w:numId w:val="2"/>
        </w:numPr>
        <w:spacing w:after="60" w:before="60"/>
      </w:pPr>
      <w:r>
        <w:rPr>
          <w:rFonts w:ascii="Arial" w:cs="Arial" w:eastAsia="Arial" w:hAnsi="Arial"/>
          <w:sz w:val="22"/>
          <w:szCs w:val="22"/>
        </w:rPr>
        <w:t xml:space="preserve">Postponement agreements: used when a first lender changes and the existing second private lender agrees to maintain their junior position</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3. Bad Credit Mortgages - Canada and Ontario</w:t>
      </w:r>
    </w:p>
    <w:p>
      <w:pPr>
        <w:pStyle w:val="Heading2"/>
        <w:spacing w:after="100" w:before="280"/>
      </w:pPr>
      <w:r>
        <w:rPr>
          <w:rFonts w:ascii="Arial" w:cs="Arial" w:eastAsia="Arial" w:hAnsi="Arial"/>
          <w:b/>
          <w:bCs/>
          <w:color w:val="0a5c7a"/>
          <w:sz w:val="26"/>
          <w:szCs w:val="26"/>
        </w:rPr>
        <w:t xml:space="preserve">What Constitutes Bad Credit in the Mortgage Context</w:t>
      </w:r>
    </w:p>
    <w:p>
      <w:pPr>
        <w:pStyle w:val="ListParagraph"/>
        <w:numPr>
          <w:ilvl w:val="0"/>
          <w:numId w:val="2"/>
        </w:numPr>
        <w:spacing w:after="60" w:before="60"/>
      </w:pPr>
      <w:r>
        <w:rPr>
          <w:rFonts w:ascii="Arial" w:cs="Arial" w:eastAsia="Arial" w:hAnsi="Arial"/>
          <w:sz w:val="22"/>
          <w:szCs w:val="22"/>
        </w:rPr>
        <w:t xml:space="preserve">Major A banks generally flag credit scores below 620 to 650 as high risk</w:t>
      </w:r>
    </w:p>
    <w:p>
      <w:pPr>
        <w:pStyle w:val="ListParagraph"/>
        <w:numPr>
          <w:ilvl w:val="0"/>
          <w:numId w:val="2"/>
        </w:numPr>
        <w:spacing w:after="60" w:before="60"/>
      </w:pPr>
      <w:r>
        <w:rPr>
          <w:rFonts w:ascii="Arial" w:cs="Arial" w:eastAsia="Arial" w:hAnsi="Arial"/>
          <w:sz w:val="22"/>
          <w:szCs w:val="22"/>
        </w:rPr>
        <w:t xml:space="preserve">Scores below 600 typically require B Lender financing</w:t>
      </w:r>
    </w:p>
    <w:p>
      <w:pPr>
        <w:pStyle w:val="ListParagraph"/>
        <w:numPr>
          <w:ilvl w:val="0"/>
          <w:numId w:val="2"/>
        </w:numPr>
        <w:spacing w:after="60" w:before="60"/>
      </w:pPr>
      <w:r>
        <w:rPr>
          <w:rFonts w:ascii="Arial" w:cs="Arial" w:eastAsia="Arial" w:hAnsi="Arial"/>
          <w:sz w:val="22"/>
          <w:szCs w:val="22"/>
        </w:rPr>
        <w:t xml:space="preserve">Scores below 550 typically require private mortgage financing</w:t>
      </w:r>
    </w:p>
    <w:p>
      <w:pPr>
        <w:pStyle w:val="ListParagraph"/>
        <w:numPr>
          <w:ilvl w:val="0"/>
          <w:numId w:val="2"/>
        </w:numPr>
        <w:spacing w:after="60" w:before="60"/>
      </w:pPr>
      <w:r>
        <w:rPr>
          <w:rFonts w:ascii="Arial" w:cs="Arial" w:eastAsia="Arial" w:hAnsi="Arial"/>
          <w:sz w:val="22"/>
          <w:szCs w:val="22"/>
        </w:rPr>
        <w:t xml:space="preserve">Credit score alone is not the full picture: the narrative and pattern of credit behaviour matters significantly to alternative lenders</w:t>
      </w:r>
    </w:p>
    <w:p>
      <w:pPr>
        <w:pStyle w:val="ListParagraph"/>
        <w:numPr>
          <w:ilvl w:val="0"/>
          <w:numId w:val="2"/>
        </w:numPr>
        <w:spacing w:after="60" w:before="60"/>
      </w:pPr>
      <w:r>
        <w:rPr>
          <w:rFonts w:ascii="Arial" w:cs="Arial" w:eastAsia="Arial" w:hAnsi="Arial"/>
          <w:sz w:val="22"/>
          <w:szCs w:val="22"/>
        </w:rPr>
        <w:t xml:space="preserve">Types of credit issues: missed payments, collections, charge-offs, consumer proposals, bankruptcies, high utilization, CRA debt, judgments, Power of Sale history</w:t>
      </w:r>
    </w:p>
    <w:p>
      <w:pPr>
        <w:pStyle w:val="ListParagraph"/>
        <w:numPr>
          <w:ilvl w:val="0"/>
          <w:numId w:val="2"/>
        </w:numPr>
        <w:spacing w:after="60" w:before="60"/>
      </w:pPr>
      <w:r>
        <w:rPr>
          <w:rFonts w:ascii="Arial" w:cs="Arial" w:eastAsia="Arial" w:hAnsi="Arial"/>
          <w:sz w:val="22"/>
          <w:szCs w:val="22"/>
        </w:rPr>
        <w:t xml:space="preserve">Mortgage late payments are considered more serious than other late payments because they relate directly to secured housing debt</w:t>
      </w:r>
    </w:p>
    <w:p>
      <w:pPr>
        <w:pStyle w:val="Heading2"/>
        <w:spacing w:after="100" w:before="280"/>
      </w:pPr>
      <w:r>
        <w:rPr>
          <w:rFonts w:ascii="Arial" w:cs="Arial" w:eastAsia="Arial" w:hAnsi="Arial"/>
          <w:b/>
          <w:bCs/>
          <w:color w:val="0a5c7a"/>
          <w:sz w:val="26"/>
          <w:szCs w:val="26"/>
        </w:rPr>
        <w:t xml:space="preserve">Consumer Proposals and Bankruptcy</w:t>
      </w:r>
    </w:p>
    <w:p>
      <w:pPr>
        <w:pStyle w:val="ListParagraph"/>
        <w:numPr>
          <w:ilvl w:val="0"/>
          <w:numId w:val="2"/>
        </w:numPr>
        <w:spacing w:after="60" w:before="60"/>
      </w:pPr>
      <w:r>
        <w:rPr>
          <w:rFonts w:ascii="Arial" w:cs="Arial" w:eastAsia="Arial" w:hAnsi="Arial"/>
          <w:sz w:val="22"/>
          <w:szCs w:val="22"/>
        </w:rPr>
        <w:t xml:space="preserve">A consumer proposal is a formal agreement to repay a portion of unsecured debt, administered by a Licensed Insolvency Trustee</w:t>
      </w:r>
    </w:p>
    <w:p>
      <w:pPr>
        <w:pStyle w:val="ListParagraph"/>
        <w:numPr>
          <w:ilvl w:val="0"/>
          <w:numId w:val="2"/>
        </w:numPr>
        <w:spacing w:after="60" w:before="60"/>
      </w:pPr>
      <w:r>
        <w:rPr>
          <w:rFonts w:ascii="Arial" w:cs="Arial" w:eastAsia="Arial" w:hAnsi="Arial"/>
          <w:sz w:val="22"/>
          <w:szCs w:val="22"/>
        </w:rPr>
        <w:t xml:space="preserve">A banks require a consumer proposal to be fully discharged for 2 years before they will consider the file</w:t>
      </w:r>
    </w:p>
    <w:p>
      <w:pPr>
        <w:pStyle w:val="ListParagraph"/>
        <w:numPr>
          <w:ilvl w:val="0"/>
          <w:numId w:val="2"/>
        </w:numPr>
        <w:spacing w:after="60" w:before="60"/>
      </w:pPr>
      <w:r>
        <w:rPr>
          <w:rFonts w:ascii="Arial" w:cs="Arial" w:eastAsia="Arial" w:hAnsi="Arial"/>
          <w:sz w:val="22"/>
          <w:szCs w:val="22"/>
        </w:rPr>
        <w:t xml:space="preserve">B Lenders will consider active consumer proposals if sufficient equity exists and the proposal payments are current</w:t>
      </w:r>
    </w:p>
    <w:p>
      <w:pPr>
        <w:pStyle w:val="ListParagraph"/>
        <w:numPr>
          <w:ilvl w:val="0"/>
          <w:numId w:val="2"/>
        </w:numPr>
        <w:spacing w:after="60" w:before="60"/>
      </w:pPr>
      <w:r>
        <w:rPr>
          <w:rFonts w:ascii="Arial" w:cs="Arial" w:eastAsia="Arial" w:hAnsi="Arial"/>
          <w:sz w:val="22"/>
          <w:szCs w:val="22"/>
        </w:rPr>
        <w:t xml:space="preserve">Private lenders may fund while in an active consumer proposal if LTV is strong and the proposal can be paid out from proceeds</w:t>
      </w:r>
    </w:p>
    <w:p>
      <w:pPr>
        <w:pStyle w:val="ListParagraph"/>
        <w:numPr>
          <w:ilvl w:val="0"/>
          <w:numId w:val="2"/>
        </w:numPr>
        <w:spacing w:after="60" w:before="60"/>
      </w:pPr>
      <w:r>
        <w:rPr>
          <w:rFonts w:ascii="Arial" w:cs="Arial" w:eastAsia="Arial" w:hAnsi="Arial"/>
          <w:sz w:val="22"/>
          <w:szCs w:val="22"/>
        </w:rPr>
        <w:t xml:space="preserve">Bankruptcy requires a full discharge before any institutional lender will engage</w:t>
      </w:r>
    </w:p>
    <w:p>
      <w:pPr>
        <w:pStyle w:val="ListParagraph"/>
        <w:numPr>
          <w:ilvl w:val="0"/>
          <w:numId w:val="2"/>
        </w:numPr>
        <w:spacing w:after="60" w:before="60"/>
      </w:pPr>
      <w:r>
        <w:rPr>
          <w:rFonts w:ascii="Arial" w:cs="Arial" w:eastAsia="Arial" w:hAnsi="Arial"/>
          <w:sz w:val="22"/>
          <w:szCs w:val="22"/>
        </w:rPr>
        <w:t xml:space="preserve">A banks require 2 years post-bankruptcy discharge with 2 clean re-established tradelines</w:t>
      </w:r>
    </w:p>
    <w:p>
      <w:pPr>
        <w:pStyle w:val="ListParagraph"/>
        <w:numPr>
          <w:ilvl w:val="0"/>
          <w:numId w:val="2"/>
        </w:numPr>
        <w:spacing w:after="60" w:before="60"/>
      </w:pPr>
      <w:r>
        <w:rPr>
          <w:rFonts w:ascii="Arial" w:cs="Arial" w:eastAsia="Arial" w:hAnsi="Arial"/>
          <w:sz w:val="22"/>
          <w:szCs w:val="22"/>
        </w:rPr>
        <w:t xml:space="preserve">Private lenders may consider an undischarged bankrupt only in exceptional circumstances with 35%+ down payment and trustee sign-off</w:t>
      </w:r>
    </w:p>
    <w:p>
      <w:pPr>
        <w:pStyle w:val="ListParagraph"/>
        <w:numPr>
          <w:ilvl w:val="0"/>
          <w:numId w:val="2"/>
        </w:numPr>
        <w:spacing w:after="60" w:before="60"/>
      </w:pPr>
      <w:r>
        <w:rPr>
          <w:rFonts w:ascii="Arial" w:cs="Arial" w:eastAsia="Arial" w:hAnsi="Arial"/>
          <w:sz w:val="22"/>
          <w:szCs w:val="22"/>
        </w:rPr>
        <w:t xml:space="preserve">Re-establishing credit after a proposal or bankruptcy: secured credit cards, small auto loans, and credit-builder products are the fastest tools</w:t>
      </w:r>
    </w:p>
    <w:p>
      <w:pPr>
        <w:pStyle w:val="Heading2"/>
        <w:spacing w:after="100" w:before="280"/>
      </w:pPr>
      <w:r>
        <w:rPr>
          <w:rFonts w:ascii="Arial" w:cs="Arial" w:eastAsia="Arial" w:hAnsi="Arial"/>
          <w:b/>
          <w:bCs/>
          <w:color w:val="0a5c7a"/>
          <w:sz w:val="26"/>
          <w:szCs w:val="26"/>
        </w:rPr>
        <w:t xml:space="preserve">Credit Scores and Bureau Mechanics</w:t>
      </w:r>
    </w:p>
    <w:p>
      <w:pPr>
        <w:pStyle w:val="ListParagraph"/>
        <w:numPr>
          <w:ilvl w:val="0"/>
          <w:numId w:val="2"/>
        </w:numPr>
        <w:spacing w:after="60" w:before="60"/>
      </w:pPr>
      <w:r>
        <w:rPr>
          <w:rFonts w:ascii="Arial" w:cs="Arial" w:eastAsia="Arial" w:hAnsi="Arial"/>
          <w:sz w:val="22"/>
          <w:szCs w:val="22"/>
        </w:rPr>
        <w:t xml:space="preserve">Canadian credit scores range from 300 to 900, with 660 to 724 considered good and 725 and above considered very good to excellent</w:t>
      </w:r>
    </w:p>
    <w:p>
      <w:pPr>
        <w:pStyle w:val="ListParagraph"/>
        <w:numPr>
          <w:ilvl w:val="0"/>
          <w:numId w:val="2"/>
        </w:numPr>
        <w:spacing w:after="60" w:before="60"/>
      </w:pPr>
      <w:r>
        <w:rPr>
          <w:rFonts w:ascii="Arial" w:cs="Arial" w:eastAsia="Arial" w:hAnsi="Arial"/>
          <w:sz w:val="22"/>
          <w:szCs w:val="22"/>
        </w:rPr>
        <w:t xml:space="preserve">Two credit bureaus in Canada: Equifax and TransUnion; most mortgage lenders pull Equifax</w:t>
      </w:r>
    </w:p>
    <w:p>
      <w:pPr>
        <w:pStyle w:val="ListParagraph"/>
        <w:numPr>
          <w:ilvl w:val="0"/>
          <w:numId w:val="2"/>
        </w:numPr>
        <w:spacing w:after="60" w:before="60"/>
      </w:pPr>
      <w:r>
        <w:rPr>
          <w:rFonts w:ascii="Arial" w:cs="Arial" w:eastAsia="Arial" w:hAnsi="Arial"/>
          <w:sz w:val="22"/>
          <w:szCs w:val="22"/>
        </w:rPr>
        <w:t xml:space="preserve">Credit bureau files update approximately every 30 to 45 days as lenders batch-report balances and payment statuses</w:t>
      </w:r>
    </w:p>
    <w:p>
      <w:pPr>
        <w:pStyle w:val="ListParagraph"/>
        <w:numPr>
          <w:ilvl w:val="0"/>
          <w:numId w:val="2"/>
        </w:numPr>
        <w:spacing w:after="60" w:before="60"/>
      </w:pPr>
      <w:r>
        <w:rPr>
          <w:rFonts w:ascii="Arial" w:cs="Arial" w:eastAsia="Arial" w:hAnsi="Arial"/>
          <w:sz w:val="22"/>
          <w:szCs w:val="22"/>
        </w:rPr>
        <w:t xml:space="preserve">Hard inquiries (from mortgage applications) may temporarily reduce a score by a small amount</w:t>
      </w:r>
    </w:p>
    <w:p>
      <w:pPr>
        <w:pStyle w:val="ListParagraph"/>
        <w:numPr>
          <w:ilvl w:val="0"/>
          <w:numId w:val="2"/>
        </w:numPr>
        <w:spacing w:after="60" w:before="60"/>
      </w:pPr>
      <w:r>
        <w:rPr>
          <w:rFonts w:ascii="Arial" w:cs="Arial" w:eastAsia="Arial" w:hAnsi="Arial"/>
          <w:sz w:val="22"/>
          <w:szCs w:val="22"/>
        </w:rPr>
        <w:t xml:space="preserve">Mortgage brokers perform a single pull and can send it to multiple lenders, avoiding multiple hard hits</w:t>
      </w:r>
    </w:p>
    <w:p>
      <w:pPr>
        <w:pStyle w:val="ListParagraph"/>
        <w:numPr>
          <w:ilvl w:val="0"/>
          <w:numId w:val="2"/>
        </w:numPr>
        <w:spacing w:after="60" w:before="60"/>
      </w:pPr>
      <w:r>
        <w:rPr>
          <w:rFonts w:ascii="Arial" w:cs="Arial" w:eastAsia="Arial" w:hAnsi="Arial"/>
          <w:sz w:val="22"/>
          <w:szCs w:val="22"/>
        </w:rPr>
        <w:t xml:space="preserve">Credit utilization below 30% of total limits is the fastest lever to raise a score quickly</w:t>
      </w:r>
    </w:p>
    <w:p>
      <w:pPr>
        <w:pStyle w:val="ListParagraph"/>
        <w:numPr>
          <w:ilvl w:val="0"/>
          <w:numId w:val="2"/>
        </w:numPr>
        <w:spacing w:after="60" w:before="60"/>
      </w:pPr>
      <w:r>
        <w:rPr>
          <w:rFonts w:ascii="Arial" w:cs="Arial" w:eastAsia="Arial" w:hAnsi="Arial"/>
          <w:sz w:val="22"/>
          <w:szCs w:val="22"/>
        </w:rPr>
        <w:t xml:space="preserve">Errors on Equifax are common; disputing inaccuracies can correct a score within 2 to 3 weeks</w:t>
      </w:r>
    </w:p>
    <w:p>
      <w:pPr>
        <w:pStyle w:val="ListParagraph"/>
        <w:numPr>
          <w:ilvl w:val="0"/>
          <w:numId w:val="2"/>
        </w:numPr>
        <w:spacing w:after="60" w:before="60"/>
      </w:pPr>
      <w:r>
        <w:rPr>
          <w:rFonts w:ascii="Arial" w:cs="Arial" w:eastAsia="Arial" w:hAnsi="Arial"/>
          <w:sz w:val="22"/>
          <w:szCs w:val="22"/>
        </w:rPr>
        <w:t xml:space="preserve">NSF (Non-Sufficient Funds) stamps on banking records are viewed as a more serious red flag than a missed credit card payment</w:t>
      </w:r>
    </w:p>
    <w:p>
      <w:pPr>
        <w:pStyle w:val="Heading2"/>
        <w:spacing w:after="100" w:before="280"/>
      </w:pPr>
      <w:r>
        <w:rPr>
          <w:rFonts w:ascii="Arial" w:cs="Arial" w:eastAsia="Arial" w:hAnsi="Arial"/>
          <w:b/>
          <w:bCs/>
          <w:color w:val="0a5c7a"/>
          <w:sz w:val="26"/>
          <w:szCs w:val="26"/>
        </w:rPr>
        <w:t xml:space="preserve">Bad Credit Mortgage Qualification</w:t>
      </w:r>
    </w:p>
    <w:p>
      <w:pPr>
        <w:pStyle w:val="ListParagraph"/>
        <w:numPr>
          <w:ilvl w:val="0"/>
          <w:numId w:val="2"/>
        </w:numPr>
        <w:spacing w:after="60" w:before="60"/>
      </w:pPr>
      <w:r>
        <w:rPr>
          <w:rFonts w:ascii="Arial" w:cs="Arial" w:eastAsia="Arial" w:hAnsi="Arial"/>
          <w:sz w:val="22"/>
          <w:szCs w:val="22"/>
        </w:rPr>
        <w:t xml:space="preserve">Minimum 20% down payment or equity required for B Lender access; no default insurance available</w:t>
      </w:r>
    </w:p>
    <w:p>
      <w:pPr>
        <w:pStyle w:val="ListParagraph"/>
        <w:numPr>
          <w:ilvl w:val="0"/>
          <w:numId w:val="2"/>
        </w:numPr>
        <w:spacing w:after="60" w:before="60"/>
      </w:pPr>
      <w:r>
        <w:rPr>
          <w:rFonts w:ascii="Arial" w:cs="Arial" w:eastAsia="Arial" w:hAnsi="Arial"/>
          <w:sz w:val="22"/>
          <w:szCs w:val="22"/>
        </w:rPr>
        <w:t xml:space="preserve">TDS flexibility at B Lenders can extend to 50% to 53%</w:t>
      </w:r>
    </w:p>
    <w:p>
      <w:pPr>
        <w:pStyle w:val="ListParagraph"/>
        <w:numPr>
          <w:ilvl w:val="0"/>
          <w:numId w:val="2"/>
        </w:numPr>
        <w:spacing w:after="60" w:before="60"/>
      </w:pPr>
      <w:r>
        <w:rPr>
          <w:rFonts w:ascii="Arial" w:cs="Arial" w:eastAsia="Arial" w:hAnsi="Arial"/>
          <w:sz w:val="22"/>
          <w:szCs w:val="22"/>
        </w:rPr>
        <w:t xml:space="preserve">Outstanding judgments must be paid out of proceeds at closing; no lender will fund with an active judgment on title</w:t>
      </w:r>
    </w:p>
    <w:p>
      <w:pPr>
        <w:pStyle w:val="ListParagraph"/>
        <w:numPr>
          <w:ilvl w:val="0"/>
          <w:numId w:val="2"/>
        </w:numPr>
        <w:spacing w:after="60" w:before="60"/>
      </w:pPr>
      <w:r>
        <w:rPr>
          <w:rFonts w:ascii="Arial" w:cs="Arial" w:eastAsia="Arial" w:hAnsi="Arial"/>
          <w:sz w:val="22"/>
          <w:szCs w:val="22"/>
        </w:rPr>
        <w:t xml:space="preserve">Tax arrears are fundable but must be cleared with CRA at closing as a firm condition</w:t>
      </w:r>
    </w:p>
    <w:p>
      <w:pPr>
        <w:pStyle w:val="ListParagraph"/>
        <w:numPr>
          <w:ilvl w:val="0"/>
          <w:numId w:val="2"/>
        </w:numPr>
        <w:spacing w:after="60" w:before="60"/>
      </w:pPr>
      <w:r>
        <w:rPr>
          <w:rFonts w:ascii="Arial" w:cs="Arial" w:eastAsia="Arial" w:hAnsi="Arial"/>
          <w:sz w:val="22"/>
          <w:szCs w:val="22"/>
        </w:rPr>
        <w:t xml:space="preserve">Child support arrears carry senior lien priority and must be fully resolved before closing</w:t>
      </w:r>
    </w:p>
    <w:p>
      <w:pPr>
        <w:pStyle w:val="ListParagraph"/>
        <w:numPr>
          <w:ilvl w:val="0"/>
          <w:numId w:val="2"/>
        </w:numPr>
        <w:spacing w:after="60" w:before="60"/>
      </w:pPr>
      <w:r>
        <w:rPr>
          <w:rFonts w:ascii="Arial" w:cs="Arial" w:eastAsia="Arial" w:hAnsi="Arial"/>
          <w:sz w:val="22"/>
          <w:szCs w:val="22"/>
        </w:rPr>
        <w:t xml:space="preserve">All significant open collection accounts must be paid at or before closing</w:t>
      </w:r>
    </w:p>
    <w:p>
      <w:pPr>
        <w:pStyle w:val="ListParagraph"/>
        <w:numPr>
          <w:ilvl w:val="0"/>
          <w:numId w:val="2"/>
        </w:numPr>
        <w:spacing w:after="60" w:before="60"/>
      </w:pPr>
      <w:r>
        <w:rPr>
          <w:rFonts w:ascii="Arial" w:cs="Arial" w:eastAsia="Arial" w:hAnsi="Arial"/>
          <w:sz w:val="22"/>
          <w:szCs w:val="22"/>
        </w:rPr>
        <w:t xml:space="preserve">Asset utilization programs exist for high-net-worth individuals with poor credit but strong liquid assets</w:t>
      </w:r>
    </w:p>
    <w:p>
      <w:pPr>
        <w:pStyle w:val="Heading2"/>
        <w:spacing w:after="100" w:before="280"/>
      </w:pPr>
      <w:r>
        <w:rPr>
          <w:rFonts w:ascii="Arial" w:cs="Arial" w:eastAsia="Arial" w:hAnsi="Arial"/>
          <w:b/>
          <w:bCs/>
          <w:color w:val="0a5c7a"/>
          <w:sz w:val="26"/>
          <w:szCs w:val="26"/>
        </w:rPr>
        <w:t xml:space="preserve">Credit Repair Strategy During a B Mortgage Term</w:t>
      </w:r>
    </w:p>
    <w:p>
      <w:pPr>
        <w:pStyle w:val="ListParagraph"/>
        <w:numPr>
          <w:ilvl w:val="0"/>
          <w:numId w:val="2"/>
        </w:numPr>
        <w:spacing w:after="60" w:before="60"/>
      </w:pPr>
      <w:r>
        <w:rPr>
          <w:rFonts w:ascii="Arial" w:cs="Arial" w:eastAsia="Arial" w:hAnsi="Arial"/>
          <w:sz w:val="22"/>
          <w:szCs w:val="22"/>
        </w:rPr>
        <w:t xml:space="preserve">The standard B mortgage is a 1 to 3 year bridge; the goal is to graduate to A Lender rates by renewal</w:t>
      </w:r>
    </w:p>
    <w:p>
      <w:pPr>
        <w:pStyle w:val="ListParagraph"/>
        <w:numPr>
          <w:ilvl w:val="0"/>
          <w:numId w:val="2"/>
        </w:numPr>
        <w:spacing w:after="60" w:before="60"/>
      </w:pPr>
      <w:r>
        <w:rPr>
          <w:rFonts w:ascii="Arial" w:cs="Arial" w:eastAsia="Arial" w:hAnsi="Arial"/>
          <w:sz w:val="22"/>
          <w:szCs w:val="22"/>
        </w:rPr>
        <w:t xml:space="preserve">Step 1: set up automatic minimum payments on all accounts to prevent further missed payment damage</w:t>
      </w:r>
    </w:p>
    <w:p>
      <w:pPr>
        <w:pStyle w:val="ListParagraph"/>
        <w:numPr>
          <w:ilvl w:val="0"/>
          <w:numId w:val="2"/>
        </w:numPr>
        <w:spacing w:after="60" w:before="60"/>
      </w:pPr>
      <w:r>
        <w:rPr>
          <w:rFonts w:ascii="Arial" w:cs="Arial" w:eastAsia="Arial" w:hAnsi="Arial"/>
          <w:sz w:val="22"/>
          <w:szCs w:val="22"/>
        </w:rPr>
        <w:t xml:space="preserve">Step 2: add secured credit cards and use them below 30% of their limit monthly</w:t>
      </w:r>
    </w:p>
    <w:p>
      <w:pPr>
        <w:pStyle w:val="ListParagraph"/>
        <w:numPr>
          <w:ilvl w:val="0"/>
          <w:numId w:val="2"/>
        </w:numPr>
        <w:spacing w:after="60" w:before="60"/>
      </w:pPr>
      <w:r>
        <w:rPr>
          <w:rFonts w:ascii="Arial" w:cs="Arial" w:eastAsia="Arial" w:hAnsi="Arial"/>
          <w:sz w:val="22"/>
          <w:szCs w:val="22"/>
        </w:rPr>
        <w:t xml:space="preserve">Step 3: pay off or settle open collection accounts</w:t>
      </w:r>
    </w:p>
    <w:p>
      <w:pPr>
        <w:pStyle w:val="ListParagraph"/>
        <w:numPr>
          <w:ilvl w:val="0"/>
          <w:numId w:val="2"/>
        </w:numPr>
        <w:spacing w:after="60" w:before="60"/>
      </w:pPr>
      <w:r>
        <w:rPr>
          <w:rFonts w:ascii="Arial" w:cs="Arial" w:eastAsia="Arial" w:hAnsi="Arial"/>
          <w:sz w:val="22"/>
          <w:szCs w:val="22"/>
        </w:rPr>
        <w:t xml:space="preserve">Step 4: file any overdue tax returns and eliminate CRA balances</w:t>
      </w:r>
    </w:p>
    <w:p>
      <w:pPr>
        <w:pStyle w:val="ListParagraph"/>
        <w:numPr>
          <w:ilvl w:val="0"/>
          <w:numId w:val="2"/>
        </w:numPr>
        <w:spacing w:after="60" w:before="60"/>
      </w:pPr>
      <w:r>
        <w:rPr>
          <w:rFonts w:ascii="Arial" w:cs="Arial" w:eastAsia="Arial" w:hAnsi="Arial"/>
          <w:sz w:val="22"/>
          <w:szCs w:val="22"/>
        </w:rPr>
        <w:t xml:space="preserve">Step 5: monitor Equifax quarterly and dispute any errors</w:t>
      </w:r>
    </w:p>
    <w:p>
      <w:pPr>
        <w:pStyle w:val="ListParagraph"/>
        <w:numPr>
          <w:ilvl w:val="0"/>
          <w:numId w:val="2"/>
        </w:numPr>
        <w:spacing w:after="60" w:before="60"/>
      </w:pPr>
      <w:r>
        <w:rPr>
          <w:rFonts w:ascii="Arial" w:cs="Arial" w:eastAsia="Arial" w:hAnsi="Arial"/>
          <w:sz w:val="22"/>
          <w:szCs w:val="22"/>
        </w:rPr>
        <w:t xml:space="preserve">Target score of 680 or above within 24 months opens most A Lender and insured mortgage programs</w:t>
      </w:r>
    </w:p>
    <w:p>
      <w:pPr>
        <w:pStyle w:val="ListParagraph"/>
        <w:numPr>
          <w:ilvl w:val="0"/>
          <w:numId w:val="2"/>
        </w:numPr>
        <w:spacing w:after="60" w:before="60"/>
      </w:pPr>
      <w:r>
        <w:rPr>
          <w:rFonts w:ascii="Arial" w:cs="Arial" w:eastAsia="Arial" w:hAnsi="Arial"/>
          <w:sz w:val="22"/>
          <w:szCs w:val="22"/>
        </w:rPr>
        <w:t xml:space="preserve">Broker should review the credit repair plan at the 12-month mark to confirm the graduation timeline is on track</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4. Reverse Mortgages - Canada and Ontario</w:t>
      </w:r>
    </w:p>
    <w:p>
      <w:pPr>
        <w:pStyle w:val="Heading2"/>
        <w:spacing w:after="100" w:before="280"/>
      </w:pPr>
      <w:r>
        <w:rPr>
          <w:rFonts w:ascii="Arial" w:cs="Arial" w:eastAsia="Arial" w:hAnsi="Arial"/>
          <w:b/>
          <w:bCs/>
          <w:color w:val="0a5c7a"/>
          <w:sz w:val="26"/>
          <w:szCs w:val="26"/>
        </w:rPr>
        <w:t xml:space="preserve">Core Product Overview</w:t>
      </w:r>
    </w:p>
    <w:p>
      <w:pPr>
        <w:pStyle w:val="ListParagraph"/>
        <w:numPr>
          <w:ilvl w:val="0"/>
          <w:numId w:val="2"/>
        </w:numPr>
        <w:spacing w:after="60" w:before="60"/>
      </w:pPr>
      <w:r>
        <w:rPr>
          <w:rFonts w:ascii="Arial" w:cs="Arial" w:eastAsia="Arial" w:hAnsi="Arial"/>
          <w:sz w:val="22"/>
          <w:szCs w:val="22"/>
        </w:rPr>
        <w:t xml:space="preserve">A reverse mortgage allows Canadian homeowners aged 55 or older to convert up to 55% of their home equity into tax-free cash</w:t>
      </w:r>
    </w:p>
    <w:p>
      <w:pPr>
        <w:pStyle w:val="ListParagraph"/>
        <w:numPr>
          <w:ilvl w:val="0"/>
          <w:numId w:val="2"/>
        </w:numPr>
        <w:spacing w:after="60" w:before="60"/>
      </w:pPr>
      <w:r>
        <w:rPr>
          <w:rFonts w:ascii="Arial" w:cs="Arial" w:eastAsia="Arial" w:hAnsi="Arial"/>
          <w:sz w:val="22"/>
          <w:szCs w:val="22"/>
        </w:rPr>
        <w:t xml:space="preserve">No monthly principal or interest payments are required during the life of the loan</w:t>
      </w:r>
    </w:p>
    <w:p>
      <w:pPr>
        <w:pStyle w:val="ListParagraph"/>
        <w:numPr>
          <w:ilvl w:val="0"/>
          <w:numId w:val="2"/>
        </w:numPr>
        <w:spacing w:after="60" w:before="60"/>
      </w:pPr>
      <w:r>
        <w:rPr>
          <w:rFonts w:ascii="Arial" w:cs="Arial" w:eastAsia="Arial" w:hAnsi="Arial"/>
          <w:sz w:val="22"/>
          <w:szCs w:val="22"/>
        </w:rPr>
        <w:t xml:space="preserve">Interest accrues and compounds, adding to the outstanding balance over time</w:t>
      </w:r>
    </w:p>
    <w:p>
      <w:pPr>
        <w:pStyle w:val="ListParagraph"/>
        <w:numPr>
          <w:ilvl w:val="0"/>
          <w:numId w:val="2"/>
        </w:numPr>
        <w:spacing w:after="60" w:before="60"/>
      </w:pPr>
      <w:r>
        <w:rPr>
          <w:rFonts w:ascii="Arial" w:cs="Arial" w:eastAsia="Arial" w:hAnsi="Arial"/>
          <w:sz w:val="22"/>
          <w:szCs w:val="22"/>
        </w:rPr>
        <w:t xml:space="preserve">The loan is repaid when the home is sold, the last borrower permanently moves out, or the last borrower passes away</w:t>
      </w:r>
    </w:p>
    <w:p>
      <w:pPr>
        <w:pStyle w:val="ListParagraph"/>
        <w:numPr>
          <w:ilvl w:val="0"/>
          <w:numId w:val="2"/>
        </w:numPr>
        <w:spacing w:after="60" w:before="60"/>
      </w:pPr>
      <w:r>
        <w:rPr>
          <w:rFonts w:ascii="Arial" w:cs="Arial" w:eastAsia="Arial" w:hAnsi="Arial"/>
          <w:sz w:val="22"/>
          <w:szCs w:val="22"/>
        </w:rPr>
        <w:t xml:space="preserve">The two primary providers in Ontario are HomeEquity Bank (CHIP Reverse Mortgage) and Equitable Bank</w:t>
      </w:r>
    </w:p>
    <w:p>
      <w:pPr>
        <w:pStyle w:val="ListParagraph"/>
        <w:numPr>
          <w:ilvl w:val="0"/>
          <w:numId w:val="2"/>
        </w:numPr>
        <w:spacing w:after="60" w:before="60"/>
      </w:pPr>
      <w:r>
        <w:rPr>
          <w:rFonts w:ascii="Arial" w:cs="Arial" w:eastAsia="Arial" w:hAnsi="Arial"/>
          <w:sz w:val="22"/>
          <w:szCs w:val="22"/>
        </w:rPr>
        <w:t xml:space="preserve">The homeowner retains full title ownership throughout the life of the reverse mortgage</w:t>
      </w:r>
    </w:p>
    <w:p>
      <w:pPr>
        <w:pStyle w:val="Heading2"/>
        <w:spacing w:after="100" w:before="280"/>
      </w:pPr>
      <w:r>
        <w:rPr>
          <w:rFonts w:ascii="Arial" w:cs="Arial" w:eastAsia="Arial" w:hAnsi="Arial"/>
          <w:b/>
          <w:bCs/>
          <w:color w:val="0a5c7a"/>
          <w:sz w:val="26"/>
          <w:szCs w:val="26"/>
        </w:rPr>
        <w:t xml:space="preserve">Eligibility and Amounts</w:t>
      </w:r>
    </w:p>
    <w:p>
      <w:pPr>
        <w:pStyle w:val="ListParagraph"/>
        <w:numPr>
          <w:ilvl w:val="0"/>
          <w:numId w:val="2"/>
        </w:numPr>
        <w:spacing w:after="60" w:before="60"/>
      </w:pPr>
      <w:r>
        <w:rPr>
          <w:rFonts w:ascii="Arial" w:cs="Arial" w:eastAsia="Arial" w:hAnsi="Arial"/>
          <w:sz w:val="22"/>
          <w:szCs w:val="22"/>
        </w:rPr>
        <w:t xml:space="preserve">Minimum age: 55 for all borrowers on title; if two spouses, both must be 55 or older</w:t>
      </w:r>
    </w:p>
    <w:p>
      <w:pPr>
        <w:pStyle w:val="ListParagraph"/>
        <w:numPr>
          <w:ilvl w:val="0"/>
          <w:numId w:val="2"/>
        </w:numPr>
        <w:spacing w:after="60" w:before="60"/>
      </w:pPr>
      <w:r>
        <w:rPr>
          <w:rFonts w:ascii="Arial" w:cs="Arial" w:eastAsia="Arial" w:hAnsi="Arial"/>
          <w:sz w:val="22"/>
          <w:szCs w:val="22"/>
        </w:rPr>
        <w:t xml:space="preserve">Maximum borrowing: up to 55% of current appraised home value</w:t>
      </w:r>
    </w:p>
    <w:p>
      <w:pPr>
        <w:pStyle w:val="ListParagraph"/>
        <w:numPr>
          <w:ilvl w:val="0"/>
          <w:numId w:val="2"/>
        </w:numPr>
        <w:spacing w:after="60" w:before="60"/>
      </w:pPr>
      <w:r>
        <w:rPr>
          <w:rFonts w:ascii="Arial" w:cs="Arial" w:eastAsia="Arial" w:hAnsi="Arial"/>
          <w:sz w:val="22"/>
          <w:szCs w:val="22"/>
        </w:rPr>
        <w:t xml:space="preserve">Minimum property value: typically $250,000 appraised market value</w:t>
      </w:r>
    </w:p>
    <w:p>
      <w:pPr>
        <w:pStyle w:val="ListParagraph"/>
        <w:numPr>
          <w:ilvl w:val="0"/>
          <w:numId w:val="2"/>
        </w:numPr>
        <w:spacing w:after="60" w:before="60"/>
      </w:pPr>
      <w:r>
        <w:rPr>
          <w:rFonts w:ascii="Arial" w:cs="Arial" w:eastAsia="Arial" w:hAnsi="Arial"/>
          <w:sz w:val="22"/>
          <w:szCs w:val="22"/>
        </w:rPr>
        <w:t xml:space="preserve">The older the borrower, the higher the percentage of equity that can be accessed</w:t>
      </w:r>
    </w:p>
    <w:p>
      <w:pPr>
        <w:pStyle w:val="ListParagraph"/>
        <w:numPr>
          <w:ilvl w:val="0"/>
          <w:numId w:val="2"/>
        </w:numPr>
        <w:spacing w:after="60" w:before="60"/>
      </w:pPr>
      <w:r>
        <w:rPr>
          <w:rFonts w:ascii="Arial" w:cs="Arial" w:eastAsia="Arial" w:hAnsi="Arial"/>
          <w:sz w:val="22"/>
          <w:szCs w:val="22"/>
        </w:rPr>
        <w:t xml:space="preserve">Property type must be the borrower's primary residence; vacation properties and investment properties do not qualify</w:t>
      </w:r>
    </w:p>
    <w:p>
      <w:pPr>
        <w:pStyle w:val="ListParagraph"/>
        <w:numPr>
          <w:ilvl w:val="0"/>
          <w:numId w:val="2"/>
        </w:numPr>
        <w:spacing w:after="60" w:before="60"/>
      </w:pPr>
      <w:r>
        <w:rPr>
          <w:rFonts w:ascii="Arial" w:cs="Arial" w:eastAsia="Arial" w:hAnsi="Arial"/>
          <w:sz w:val="22"/>
          <w:szCs w:val="22"/>
        </w:rPr>
        <w:t xml:space="preserve">Condominiums qualify if the building is financially stable with a healthy reserve fund and is approved by the lender</w:t>
      </w:r>
    </w:p>
    <w:p>
      <w:pPr>
        <w:pStyle w:val="ListParagraph"/>
        <w:numPr>
          <w:ilvl w:val="0"/>
          <w:numId w:val="2"/>
        </w:numPr>
        <w:spacing w:after="60" w:before="60"/>
      </w:pPr>
      <w:r>
        <w:rPr>
          <w:rFonts w:ascii="Arial" w:cs="Arial" w:eastAsia="Arial" w:hAnsi="Arial"/>
          <w:sz w:val="22"/>
          <w:szCs w:val="22"/>
        </w:rPr>
        <w:t xml:space="preserve">No income verification, GDS ratio, or TDS ratio checks because no monthly payments exist</w:t>
      </w:r>
    </w:p>
    <w:p>
      <w:pPr>
        <w:pStyle w:val="ListParagraph"/>
        <w:numPr>
          <w:ilvl w:val="0"/>
          <w:numId w:val="2"/>
        </w:numPr>
        <w:spacing w:after="60" w:before="60"/>
      </w:pPr>
      <w:r>
        <w:rPr>
          <w:rFonts w:ascii="Arial" w:cs="Arial" w:eastAsia="Arial" w:hAnsi="Arial"/>
          <w:sz w:val="22"/>
          <w:szCs w:val="22"/>
        </w:rPr>
        <w:t xml:space="preserve">A credit check is still performed to confirm no active bankruptcies or title judgments</w:t>
      </w:r>
    </w:p>
    <w:p>
      <w:pPr>
        <w:pStyle w:val="Heading2"/>
        <w:spacing w:after="100" w:before="280"/>
      </w:pPr>
      <w:r>
        <w:rPr>
          <w:rFonts w:ascii="Arial" w:cs="Arial" w:eastAsia="Arial" w:hAnsi="Arial"/>
          <w:b/>
          <w:bCs/>
          <w:color w:val="0a5c7a"/>
          <w:sz w:val="26"/>
          <w:szCs w:val="26"/>
        </w:rPr>
        <w:t xml:space="preserve">Costs and Interest</w:t>
      </w:r>
    </w:p>
    <w:p>
      <w:pPr>
        <w:pStyle w:val="ListParagraph"/>
        <w:numPr>
          <w:ilvl w:val="0"/>
          <w:numId w:val="2"/>
        </w:numPr>
        <w:spacing w:after="60" w:before="60"/>
      </w:pPr>
      <w:r>
        <w:rPr>
          <w:rFonts w:ascii="Arial" w:cs="Arial" w:eastAsia="Arial" w:hAnsi="Arial"/>
          <w:sz w:val="22"/>
          <w:szCs w:val="22"/>
        </w:rPr>
        <w:t xml:space="preserve">Interest rates on reverse mortgages are higher than standard prime mortgages because the lender receives no monthly cash flow</w:t>
      </w:r>
    </w:p>
    <w:p>
      <w:pPr>
        <w:pStyle w:val="ListParagraph"/>
        <w:numPr>
          <w:ilvl w:val="0"/>
          <w:numId w:val="2"/>
        </w:numPr>
        <w:spacing w:after="60" w:before="60"/>
      </w:pPr>
      <w:r>
        <w:rPr>
          <w:rFonts w:ascii="Arial" w:cs="Arial" w:eastAsia="Arial" w:hAnsi="Arial"/>
          <w:sz w:val="22"/>
          <w:szCs w:val="22"/>
        </w:rPr>
        <w:t xml:space="preserve">Rates are available in fixed terms (1-year, 3-year, 5-year) or variable structures</w:t>
      </w:r>
    </w:p>
    <w:p>
      <w:pPr>
        <w:pStyle w:val="ListParagraph"/>
        <w:numPr>
          <w:ilvl w:val="0"/>
          <w:numId w:val="2"/>
        </w:numPr>
        <w:spacing w:after="60" w:before="60"/>
      </w:pPr>
      <w:r>
        <w:rPr>
          <w:rFonts w:ascii="Arial" w:cs="Arial" w:eastAsia="Arial" w:hAnsi="Arial"/>
          <w:sz w:val="22"/>
          <w:szCs w:val="22"/>
        </w:rPr>
        <w:t xml:space="preserve">Setup costs typically include a $995 administrative fee, an independent appraisal fee, and independent legal advice fees</w:t>
      </w:r>
    </w:p>
    <w:p>
      <w:pPr>
        <w:pStyle w:val="ListParagraph"/>
        <w:numPr>
          <w:ilvl w:val="0"/>
          <w:numId w:val="2"/>
        </w:numPr>
        <w:spacing w:after="60" w:before="60"/>
      </w:pPr>
      <w:r>
        <w:rPr>
          <w:rFonts w:ascii="Arial" w:cs="Arial" w:eastAsia="Arial" w:hAnsi="Arial"/>
          <w:sz w:val="22"/>
          <w:szCs w:val="22"/>
        </w:rPr>
        <w:t xml:space="preserve">Early repayment within the first 3 to 5 years triggers prepayment penalties</w:t>
      </w:r>
    </w:p>
    <w:p>
      <w:pPr>
        <w:pStyle w:val="ListParagraph"/>
        <w:numPr>
          <w:ilvl w:val="0"/>
          <w:numId w:val="2"/>
        </w:numPr>
        <w:spacing w:after="60" w:before="60"/>
      </w:pPr>
      <w:r>
        <w:rPr>
          <w:rFonts w:ascii="Arial" w:cs="Arial" w:eastAsia="Arial" w:hAnsi="Arial"/>
          <w:sz w:val="22"/>
          <w:szCs w:val="22"/>
        </w:rPr>
        <w:t xml:space="preserve">After approximately 10 years, penalties typically reduce to zero</w:t>
      </w:r>
    </w:p>
    <w:p>
      <w:pPr>
        <w:pStyle w:val="ListParagraph"/>
        <w:numPr>
          <w:ilvl w:val="0"/>
          <w:numId w:val="2"/>
        </w:numPr>
        <w:spacing w:after="60" w:before="60"/>
      </w:pPr>
      <w:r>
        <w:rPr>
          <w:rFonts w:ascii="Arial" w:cs="Arial" w:eastAsia="Arial" w:hAnsi="Arial"/>
          <w:sz w:val="22"/>
          <w:szCs w:val="22"/>
        </w:rPr>
        <w:t xml:space="preserve">Voluntary payments of up to 10% to 20% of the principal annually are allowed and help offset compounding</w:t>
      </w:r>
    </w:p>
    <w:p>
      <w:pPr>
        <w:pStyle w:val="Heading2"/>
        <w:spacing w:after="100" w:before="280"/>
      </w:pPr>
      <w:r>
        <w:rPr>
          <w:rFonts w:ascii="Arial" w:cs="Arial" w:eastAsia="Arial" w:hAnsi="Arial"/>
          <w:b/>
          <w:bCs/>
          <w:color w:val="0a5c7a"/>
          <w:sz w:val="26"/>
          <w:szCs w:val="26"/>
        </w:rPr>
        <w:t xml:space="preserve">Protections and Obligations</w:t>
      </w:r>
    </w:p>
    <w:p>
      <w:pPr>
        <w:pStyle w:val="ListParagraph"/>
        <w:numPr>
          <w:ilvl w:val="0"/>
          <w:numId w:val="2"/>
        </w:numPr>
        <w:spacing w:after="60" w:before="60"/>
      </w:pPr>
      <w:r>
        <w:rPr>
          <w:rFonts w:ascii="Arial" w:cs="Arial" w:eastAsia="Arial" w:hAnsi="Arial"/>
          <w:sz w:val="22"/>
          <w:szCs w:val="22"/>
        </w:rPr>
        <w:t xml:space="preserve">No-Negative-Equity Guarantee: the borrower will never owe more than the fair market value of the home at the time of sale</w:t>
      </w:r>
    </w:p>
    <w:p>
      <w:pPr>
        <w:pStyle w:val="ListParagraph"/>
        <w:numPr>
          <w:ilvl w:val="0"/>
          <w:numId w:val="2"/>
        </w:numPr>
        <w:spacing w:after="60" w:before="60"/>
      </w:pPr>
      <w:r>
        <w:rPr>
          <w:rFonts w:ascii="Arial" w:cs="Arial" w:eastAsia="Arial" w:hAnsi="Arial"/>
          <w:sz w:val="22"/>
          <w:szCs w:val="22"/>
        </w:rPr>
        <w:t xml:space="preserve">The lender cannot force the borrower to sell or leave the home as long as basic obligations are met</w:t>
      </w:r>
    </w:p>
    <w:p>
      <w:pPr>
        <w:pStyle w:val="ListParagraph"/>
        <w:numPr>
          <w:ilvl w:val="0"/>
          <w:numId w:val="2"/>
        </w:numPr>
        <w:spacing w:after="60" w:before="60"/>
      </w:pPr>
      <w:r>
        <w:rPr>
          <w:rFonts w:ascii="Arial" w:cs="Arial" w:eastAsia="Arial" w:hAnsi="Arial"/>
          <w:sz w:val="22"/>
          <w:szCs w:val="22"/>
        </w:rPr>
        <w:t xml:space="preserve">Ongoing obligations: pay property taxes, maintain home insurance, keep the home in good repair, occupy as primary residence for at least 6 months per year</w:t>
      </w:r>
    </w:p>
    <w:p>
      <w:pPr>
        <w:pStyle w:val="ListParagraph"/>
        <w:numPr>
          <w:ilvl w:val="0"/>
          <w:numId w:val="2"/>
        </w:numPr>
        <w:spacing w:after="60" w:before="60"/>
      </w:pPr>
      <w:r>
        <w:rPr>
          <w:rFonts w:ascii="Arial" w:cs="Arial" w:eastAsia="Arial" w:hAnsi="Arial"/>
          <w:sz w:val="22"/>
          <w:szCs w:val="22"/>
        </w:rPr>
        <w:t xml:space="preserve">Default triggers: failing to pay property taxes, allowing home insurance to lapse, severe property neglect, committing fraud on the application</w:t>
      </w:r>
    </w:p>
    <w:p>
      <w:pPr>
        <w:pStyle w:val="ListParagraph"/>
        <w:numPr>
          <w:ilvl w:val="0"/>
          <w:numId w:val="2"/>
        </w:numPr>
        <w:spacing w:after="60" w:before="60"/>
      </w:pPr>
      <w:r>
        <w:rPr>
          <w:rFonts w:ascii="Arial" w:cs="Arial" w:eastAsia="Arial" w:hAnsi="Arial"/>
          <w:sz w:val="22"/>
          <w:szCs w:val="22"/>
        </w:rPr>
        <w:t xml:space="preserve">Independent Legal Advice (ILA) is mandatory before signing; the senior must meet with their own lawyer independently</w:t>
      </w:r>
    </w:p>
    <w:p>
      <w:pPr>
        <w:pStyle w:val="ListParagraph"/>
        <w:numPr>
          <w:ilvl w:val="0"/>
          <w:numId w:val="2"/>
        </w:numPr>
        <w:spacing w:after="60" w:before="60"/>
      </w:pPr>
      <w:r>
        <w:rPr>
          <w:rFonts w:ascii="Arial" w:cs="Arial" w:eastAsia="Arial" w:hAnsi="Arial"/>
          <w:sz w:val="22"/>
          <w:szCs w:val="22"/>
        </w:rPr>
        <w:t xml:space="preserve">If one spouse passes away, the surviving spouse on title continues with zero payment requirements and the contract remains active</w:t>
      </w:r>
    </w:p>
    <w:p>
      <w:pPr>
        <w:pStyle w:val="Heading2"/>
        <w:spacing w:after="100" w:before="280"/>
      </w:pPr>
      <w:r>
        <w:rPr>
          <w:rFonts w:ascii="Arial" w:cs="Arial" w:eastAsia="Arial" w:hAnsi="Arial"/>
          <w:b/>
          <w:bCs/>
          <w:color w:val="0a5c7a"/>
          <w:sz w:val="26"/>
          <w:szCs w:val="26"/>
        </w:rPr>
        <w:t xml:space="preserve">Tax and Government Benefits</w:t>
      </w:r>
    </w:p>
    <w:p>
      <w:pPr>
        <w:pStyle w:val="ListParagraph"/>
        <w:numPr>
          <w:ilvl w:val="0"/>
          <w:numId w:val="2"/>
        </w:numPr>
        <w:spacing w:after="60" w:before="60"/>
      </w:pPr>
      <w:r>
        <w:rPr>
          <w:rFonts w:ascii="Arial" w:cs="Arial" w:eastAsia="Arial" w:hAnsi="Arial"/>
          <w:sz w:val="22"/>
          <w:szCs w:val="22"/>
        </w:rPr>
        <w:t xml:space="preserve">Reverse mortgage funds are 100% tax-free; they are treated as borrowed equity, not income</w:t>
      </w:r>
    </w:p>
    <w:p>
      <w:pPr>
        <w:pStyle w:val="ListParagraph"/>
        <w:numPr>
          <w:ilvl w:val="0"/>
          <w:numId w:val="2"/>
        </w:numPr>
        <w:spacing w:after="60" w:before="60"/>
      </w:pPr>
      <w:r>
        <w:rPr>
          <w:rFonts w:ascii="Arial" w:cs="Arial" w:eastAsia="Arial" w:hAnsi="Arial"/>
          <w:sz w:val="22"/>
          <w:szCs w:val="22"/>
        </w:rPr>
        <w:t xml:space="preserve">Funds have zero impact on OAS (Old Age Security), GIS (Guaranteed Income Supplement), or CPP payments</w:t>
      </w:r>
    </w:p>
    <w:p>
      <w:pPr>
        <w:pStyle w:val="ListParagraph"/>
        <w:numPr>
          <w:ilvl w:val="0"/>
          <w:numId w:val="2"/>
        </w:numPr>
        <w:spacing w:after="60" w:before="60"/>
      </w:pPr>
      <w:r>
        <w:rPr>
          <w:rFonts w:ascii="Arial" w:cs="Arial" w:eastAsia="Arial" w:hAnsi="Arial"/>
          <w:sz w:val="22"/>
          <w:szCs w:val="22"/>
        </w:rPr>
        <w:t xml:space="preserve">Heirs receive all remaining equity after the reverse mortgage balance is paid out from the sale of the home</w:t>
      </w:r>
    </w:p>
    <w:p>
      <w:pPr>
        <w:pStyle w:val="ListParagraph"/>
        <w:numPr>
          <w:ilvl w:val="0"/>
          <w:numId w:val="2"/>
        </w:numPr>
        <w:spacing w:after="60" w:before="60"/>
      </w:pPr>
      <w:r>
        <w:rPr>
          <w:rFonts w:ascii="Arial" w:cs="Arial" w:eastAsia="Arial" w:hAnsi="Arial"/>
          <w:sz w:val="22"/>
          <w:szCs w:val="22"/>
        </w:rPr>
        <w:t xml:space="preserve">Interest paid on a reverse mortgage is not tax-deductible for personal use funds</w:t>
      </w:r>
    </w:p>
    <w:p>
      <w:pPr>
        <w:pStyle w:val="ListParagraph"/>
        <w:numPr>
          <w:ilvl w:val="0"/>
          <w:numId w:val="2"/>
        </w:numPr>
        <w:spacing w:after="60" w:before="60"/>
      </w:pPr>
      <w:r>
        <w:rPr>
          <w:rFonts w:ascii="Arial" w:cs="Arial" w:eastAsia="Arial" w:hAnsi="Arial"/>
          <w:sz w:val="22"/>
          <w:szCs w:val="22"/>
        </w:rPr>
        <w:t xml:space="preserve">If funds are used to purchase income-generating investments, interest deductibility may apply (consult a tax professional)</w:t>
      </w:r>
    </w:p>
    <w:p>
      <w:pPr>
        <w:pStyle w:val="Heading2"/>
        <w:spacing w:after="100" w:before="280"/>
      </w:pPr>
      <w:r>
        <w:rPr>
          <w:rFonts w:ascii="Arial" w:cs="Arial" w:eastAsia="Arial" w:hAnsi="Arial"/>
          <w:b/>
          <w:bCs/>
          <w:color w:val="0a5c7a"/>
          <w:sz w:val="26"/>
          <w:szCs w:val="26"/>
        </w:rPr>
        <w:t xml:space="preserve">Common Deployment Scenarios</w:t>
      </w:r>
    </w:p>
    <w:p>
      <w:pPr>
        <w:pStyle w:val="ListParagraph"/>
        <w:numPr>
          <w:ilvl w:val="0"/>
          <w:numId w:val="2"/>
        </w:numPr>
        <w:spacing w:after="60" w:before="60"/>
      </w:pPr>
      <w:r>
        <w:rPr>
          <w:rFonts w:ascii="Arial" w:cs="Arial" w:eastAsia="Arial" w:hAnsi="Arial"/>
          <w:sz w:val="22"/>
          <w:szCs w:val="22"/>
        </w:rPr>
        <w:t xml:space="preserve">Eliminating an existing mortgage or HELOC: reverse mortgage proceeds must first pay out any existing first-charge debt</w:t>
      </w:r>
    </w:p>
    <w:p>
      <w:pPr>
        <w:pStyle w:val="ListParagraph"/>
        <w:numPr>
          <w:ilvl w:val="0"/>
          <w:numId w:val="2"/>
        </w:numPr>
        <w:spacing w:after="60" w:before="60"/>
      </w:pPr>
      <w:r>
        <w:rPr>
          <w:rFonts w:ascii="Arial" w:cs="Arial" w:eastAsia="Arial" w:hAnsi="Arial"/>
          <w:sz w:val="22"/>
          <w:szCs w:val="22"/>
        </w:rPr>
        <w:t xml:space="preserve">Aging in place: funding in-home care, mobility modifications like chairlifts or ramps, and home maintenance</w:t>
      </w:r>
    </w:p>
    <w:p>
      <w:pPr>
        <w:pStyle w:val="ListParagraph"/>
        <w:numPr>
          <w:ilvl w:val="0"/>
          <w:numId w:val="2"/>
        </w:numPr>
        <w:spacing w:after="60" w:before="60"/>
      </w:pPr>
      <w:r>
        <w:rPr>
          <w:rFonts w:ascii="Arial" w:cs="Arial" w:eastAsia="Arial" w:hAnsi="Arial"/>
          <w:sz w:val="22"/>
          <w:szCs w:val="22"/>
        </w:rPr>
        <w:t xml:space="preserve">Bank of Mom and Dad: gifting a down payment to children or grandchildren without selling the home</w:t>
      </w:r>
    </w:p>
    <w:p>
      <w:pPr>
        <w:pStyle w:val="ListParagraph"/>
        <w:numPr>
          <w:ilvl w:val="0"/>
          <w:numId w:val="2"/>
        </w:numPr>
        <w:spacing w:after="60" w:before="60"/>
      </w:pPr>
      <w:r>
        <w:rPr>
          <w:rFonts w:ascii="Arial" w:cs="Arial" w:eastAsia="Arial" w:hAnsi="Arial"/>
          <w:sz w:val="22"/>
          <w:szCs w:val="22"/>
        </w:rPr>
        <w:t xml:space="preserve">Downsizing alternative: accessing equity without the cost and disruption of selling and moving</w:t>
      </w:r>
    </w:p>
    <w:p>
      <w:pPr>
        <w:pStyle w:val="ListParagraph"/>
        <w:numPr>
          <w:ilvl w:val="0"/>
          <w:numId w:val="2"/>
        </w:numPr>
        <w:spacing w:after="60" w:before="60"/>
      </w:pPr>
      <w:r>
        <w:rPr>
          <w:rFonts w:ascii="Arial" w:cs="Arial" w:eastAsia="Arial" w:hAnsi="Arial"/>
          <w:sz w:val="22"/>
          <w:szCs w:val="22"/>
        </w:rPr>
        <w:t xml:space="preserve">Standby line: setting up the full approved amount but drawing only the minimum, keeping most funds untouched and interest-free until needed</w:t>
      </w:r>
    </w:p>
    <w:p>
      <w:pPr>
        <w:pStyle w:val="ListParagraph"/>
        <w:numPr>
          <w:ilvl w:val="0"/>
          <w:numId w:val="2"/>
        </w:numPr>
        <w:spacing w:after="60" w:before="60"/>
      </w:pPr>
      <w:r>
        <w:rPr>
          <w:rFonts w:ascii="Arial" w:cs="Arial" w:eastAsia="Arial" w:hAnsi="Arial"/>
          <w:sz w:val="22"/>
          <w:szCs w:val="22"/>
        </w:rPr>
        <w:t xml:space="preserve">CRA debt clearance: paying off personal income tax arrears is encouraged and can be funded at closing</w:t>
      </w:r>
    </w:p>
    <w:p>
      <w:pPr>
        <w:pStyle w:val="ListParagraph"/>
        <w:numPr>
          <w:ilvl w:val="0"/>
          <w:numId w:val="2"/>
        </w:numPr>
        <w:spacing w:after="60" w:before="60"/>
      </w:pPr>
      <w:r>
        <w:rPr>
          <w:rFonts w:ascii="Arial" w:cs="Arial" w:eastAsia="Arial" w:hAnsi="Arial"/>
          <w:sz w:val="22"/>
          <w:szCs w:val="22"/>
        </w:rPr>
        <w:t xml:space="preserve">Purchasing a new home: combining proceeds from a home sale with a reverse mortgage on the new property to preserve cash</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5. First-Time Homebuyers - Canada and Ontario</w:t>
      </w:r>
    </w:p>
    <w:p>
      <w:pPr>
        <w:pStyle w:val="Heading2"/>
        <w:spacing w:after="100" w:before="280"/>
      </w:pPr>
      <w:r>
        <w:rPr>
          <w:rFonts w:ascii="Arial" w:cs="Arial" w:eastAsia="Arial" w:hAnsi="Arial"/>
          <w:b/>
          <w:bCs/>
          <w:color w:val="0a5c7a"/>
          <w:sz w:val="26"/>
          <w:szCs w:val="26"/>
        </w:rPr>
        <w:t xml:space="preserve">Government Definition and Eligibility</w:t>
      </w:r>
    </w:p>
    <w:p>
      <w:pPr>
        <w:pStyle w:val="ListParagraph"/>
        <w:numPr>
          <w:ilvl w:val="0"/>
          <w:numId w:val="2"/>
        </w:numPr>
        <w:spacing w:after="60" w:before="60"/>
      </w:pPr>
      <w:r>
        <w:rPr>
          <w:rFonts w:ascii="Arial" w:cs="Arial" w:eastAsia="Arial" w:hAnsi="Arial"/>
          <w:sz w:val="22"/>
          <w:szCs w:val="22"/>
        </w:rPr>
        <w:t xml:space="preserve">CRA definition: a first-time homebuyer has not occupied a home they or their current spouse or common-law partner owned in the current calendar year or any of the four preceding calendar years</w:t>
      </w:r>
    </w:p>
    <w:p>
      <w:pPr>
        <w:pStyle w:val="ListParagraph"/>
        <w:numPr>
          <w:ilvl w:val="0"/>
          <w:numId w:val="2"/>
        </w:numPr>
        <w:spacing w:after="60" w:before="60"/>
      </w:pPr>
      <w:r>
        <w:rPr>
          <w:rFonts w:ascii="Arial" w:cs="Arial" w:eastAsia="Arial" w:hAnsi="Arial"/>
          <w:sz w:val="22"/>
          <w:szCs w:val="22"/>
        </w:rPr>
        <w:t xml:space="preserve">Permanent residents have identical access to all first-time buyer programs as Canadian citizens</w:t>
      </w:r>
    </w:p>
    <w:p>
      <w:pPr>
        <w:pStyle w:val="ListParagraph"/>
        <w:numPr>
          <w:ilvl w:val="0"/>
          <w:numId w:val="2"/>
        </w:numPr>
        <w:spacing w:after="60" w:before="60"/>
      </w:pPr>
      <w:r>
        <w:rPr>
          <w:rFonts w:ascii="Arial" w:cs="Arial" w:eastAsia="Arial" w:hAnsi="Arial"/>
          <w:sz w:val="22"/>
          <w:szCs w:val="22"/>
        </w:rPr>
        <w:t xml:space="preserve">Temporary residents with valid Canadian work permits can access insured financing under current rules</w:t>
      </w:r>
    </w:p>
    <w:p>
      <w:pPr>
        <w:pStyle w:val="Heading2"/>
        <w:spacing w:after="100" w:before="280"/>
      </w:pPr>
      <w:r>
        <w:rPr>
          <w:rFonts w:ascii="Arial" w:cs="Arial" w:eastAsia="Arial" w:hAnsi="Arial"/>
          <w:b/>
          <w:bCs/>
          <w:color w:val="0a5c7a"/>
          <w:sz w:val="26"/>
          <w:szCs w:val="26"/>
        </w:rPr>
        <w:t xml:space="preserve">Down Payment Rules and Insured Mortgages</w:t>
      </w:r>
    </w:p>
    <w:p>
      <w:pPr>
        <w:pStyle w:val="ListParagraph"/>
        <w:numPr>
          <w:ilvl w:val="0"/>
          <w:numId w:val="2"/>
        </w:numPr>
        <w:spacing w:after="60" w:before="60"/>
      </w:pPr>
      <w:r>
        <w:rPr>
          <w:rFonts w:ascii="Arial" w:cs="Arial" w:eastAsia="Arial" w:hAnsi="Arial"/>
          <w:sz w:val="22"/>
          <w:szCs w:val="22"/>
        </w:rPr>
        <w:t xml:space="preserve">Minimum 5% down on the first $500,000 of purchase price</w:t>
      </w:r>
    </w:p>
    <w:p>
      <w:pPr>
        <w:pStyle w:val="ListParagraph"/>
        <w:numPr>
          <w:ilvl w:val="0"/>
          <w:numId w:val="2"/>
        </w:numPr>
        <w:spacing w:after="60" w:before="60"/>
      </w:pPr>
      <w:r>
        <w:rPr>
          <w:rFonts w:ascii="Arial" w:cs="Arial" w:eastAsia="Arial" w:hAnsi="Arial"/>
          <w:sz w:val="22"/>
          <w:szCs w:val="22"/>
        </w:rPr>
        <w:t xml:space="preserve">Minimum 10% down on the portion from $500,000 to $1.5 million</w:t>
      </w:r>
    </w:p>
    <w:p>
      <w:pPr>
        <w:pStyle w:val="ListParagraph"/>
        <w:numPr>
          <w:ilvl w:val="0"/>
          <w:numId w:val="2"/>
        </w:numPr>
        <w:spacing w:after="60" w:before="60"/>
      </w:pPr>
      <w:r>
        <w:rPr>
          <w:rFonts w:ascii="Arial" w:cs="Arial" w:eastAsia="Arial" w:hAnsi="Arial"/>
          <w:sz w:val="22"/>
          <w:szCs w:val="22"/>
        </w:rPr>
        <w:t xml:space="preserve">Properties over $1.5 million require a full 20% conventional down payment; default insurance is not available</w:t>
      </w:r>
    </w:p>
    <w:p>
      <w:pPr>
        <w:pStyle w:val="ListParagraph"/>
        <w:numPr>
          <w:ilvl w:val="0"/>
          <w:numId w:val="2"/>
        </w:numPr>
        <w:spacing w:after="60" w:before="60"/>
      </w:pPr>
      <w:r>
        <w:rPr>
          <w:rFonts w:ascii="Arial" w:cs="Arial" w:eastAsia="Arial" w:hAnsi="Arial"/>
          <w:sz w:val="22"/>
          <w:szCs w:val="22"/>
        </w:rPr>
        <w:t xml:space="preserve">Insured mortgage limit raised from $1 million to $1.5 million effective December 15, 2023</w:t>
      </w:r>
    </w:p>
    <w:p>
      <w:pPr>
        <w:pStyle w:val="ListParagraph"/>
        <w:numPr>
          <w:ilvl w:val="0"/>
          <w:numId w:val="2"/>
        </w:numPr>
        <w:spacing w:after="60" w:before="60"/>
      </w:pPr>
      <w:r>
        <w:rPr>
          <w:rFonts w:ascii="Arial" w:cs="Arial" w:eastAsia="Arial" w:hAnsi="Arial"/>
          <w:sz w:val="22"/>
          <w:szCs w:val="22"/>
        </w:rPr>
        <w:t xml:space="preserve">30-year amortization available on insured mortgages for first-time buyers and purchasers of newly built homes, effective August 1, 2024</w:t>
      </w:r>
    </w:p>
    <w:p>
      <w:pPr>
        <w:pStyle w:val="ListParagraph"/>
        <w:numPr>
          <w:ilvl w:val="0"/>
          <w:numId w:val="2"/>
        </w:numPr>
        <w:spacing w:after="60" w:before="60"/>
      </w:pPr>
      <w:r>
        <w:rPr>
          <w:rFonts w:ascii="Arial" w:cs="Arial" w:eastAsia="Arial" w:hAnsi="Arial"/>
          <w:sz w:val="22"/>
          <w:szCs w:val="22"/>
        </w:rPr>
        <w:t xml:space="preserve">Gifted down payments accepted from immediate family members (parents, grandparents, siblings) with a signed gift letter; gifts from friends or cousins are not accepted by traditional lenders</w:t>
      </w:r>
    </w:p>
    <w:p>
      <w:pPr>
        <w:pStyle w:val="Heading2"/>
        <w:spacing w:after="100" w:before="280"/>
      </w:pPr>
      <w:r>
        <w:rPr>
          <w:rFonts w:ascii="Arial" w:cs="Arial" w:eastAsia="Arial" w:hAnsi="Arial"/>
          <w:b/>
          <w:bCs/>
          <w:color w:val="0a5c7a"/>
          <w:sz w:val="26"/>
          <w:szCs w:val="26"/>
        </w:rPr>
        <w:t xml:space="preserve">FHSA - First Home Savings Account</w:t>
      </w:r>
    </w:p>
    <w:p>
      <w:pPr>
        <w:pStyle w:val="ListParagraph"/>
        <w:numPr>
          <w:ilvl w:val="0"/>
          <w:numId w:val="2"/>
        </w:numPr>
        <w:spacing w:after="60" w:before="60"/>
      </w:pPr>
      <w:r>
        <w:rPr>
          <w:rFonts w:ascii="Arial" w:cs="Arial" w:eastAsia="Arial" w:hAnsi="Arial"/>
          <w:sz w:val="22"/>
          <w:szCs w:val="22"/>
        </w:rPr>
        <w:t xml:space="preserve">Annual contribution limit: $8,000</w:t>
      </w:r>
    </w:p>
    <w:p>
      <w:pPr>
        <w:pStyle w:val="ListParagraph"/>
        <w:numPr>
          <w:ilvl w:val="0"/>
          <w:numId w:val="2"/>
        </w:numPr>
        <w:spacing w:after="60" w:before="60"/>
      </w:pPr>
      <w:r>
        <w:rPr>
          <w:rFonts w:ascii="Arial" w:cs="Arial" w:eastAsia="Arial" w:hAnsi="Arial"/>
          <w:sz w:val="22"/>
          <w:szCs w:val="22"/>
        </w:rPr>
        <w:t xml:space="preserve">Lifetime contribution limit: $40,000 per individual</w:t>
      </w:r>
    </w:p>
    <w:p>
      <w:pPr>
        <w:pStyle w:val="ListParagraph"/>
        <w:numPr>
          <w:ilvl w:val="0"/>
          <w:numId w:val="2"/>
        </w:numPr>
        <w:spacing w:after="60" w:before="60"/>
      </w:pPr>
      <w:r>
        <w:rPr>
          <w:rFonts w:ascii="Arial" w:cs="Arial" w:eastAsia="Arial" w:hAnsi="Arial"/>
          <w:sz w:val="22"/>
          <w:szCs w:val="22"/>
        </w:rPr>
        <w:t xml:space="preserve">Contributions are fully tax-deductible, similar to RRSP contributions</w:t>
      </w:r>
    </w:p>
    <w:p>
      <w:pPr>
        <w:pStyle w:val="ListParagraph"/>
        <w:numPr>
          <w:ilvl w:val="0"/>
          <w:numId w:val="2"/>
        </w:numPr>
        <w:spacing w:after="60" w:before="60"/>
      </w:pPr>
      <w:r>
        <w:rPr>
          <w:rFonts w:ascii="Arial" w:cs="Arial" w:eastAsia="Arial" w:hAnsi="Arial"/>
          <w:sz w:val="22"/>
          <w:szCs w:val="22"/>
        </w:rPr>
        <w:t xml:space="preserve">Qualifying withdrawals to purchase a first home are 100% tax-free</w:t>
      </w:r>
    </w:p>
    <w:p>
      <w:pPr>
        <w:pStyle w:val="ListParagraph"/>
        <w:numPr>
          <w:ilvl w:val="0"/>
          <w:numId w:val="2"/>
        </w:numPr>
        <w:spacing w:after="60" w:before="60"/>
      </w:pPr>
      <w:r>
        <w:rPr>
          <w:rFonts w:ascii="Arial" w:cs="Arial" w:eastAsia="Arial" w:hAnsi="Arial"/>
          <w:sz w:val="22"/>
          <w:szCs w:val="22"/>
        </w:rPr>
        <w:t xml:space="preserve">Two buyers purchasing together can combine their FHSAs for up to $80,000 in tax-free down payment funds plus investment growth</w:t>
      </w:r>
    </w:p>
    <w:p>
      <w:pPr>
        <w:pStyle w:val="ListParagraph"/>
        <w:numPr>
          <w:ilvl w:val="0"/>
          <w:numId w:val="2"/>
        </w:numPr>
        <w:spacing w:after="60" w:before="60"/>
      </w:pPr>
      <w:r>
        <w:rPr>
          <w:rFonts w:ascii="Arial" w:cs="Arial" w:eastAsia="Arial" w:hAnsi="Arial"/>
          <w:sz w:val="22"/>
          <w:szCs w:val="22"/>
        </w:rPr>
        <w:t xml:space="preserve">Unused annual contribution room carries forward up to a maximum of $8,000 per year</w:t>
      </w:r>
    </w:p>
    <w:p>
      <w:pPr>
        <w:pStyle w:val="Heading2"/>
        <w:spacing w:after="100" w:before="280"/>
      </w:pPr>
      <w:r>
        <w:rPr>
          <w:rFonts w:ascii="Arial" w:cs="Arial" w:eastAsia="Arial" w:hAnsi="Arial"/>
          <w:b/>
          <w:bCs/>
          <w:color w:val="0a5c7a"/>
          <w:sz w:val="26"/>
          <w:szCs w:val="26"/>
        </w:rPr>
        <w:t xml:space="preserve">RRSP Home Buyers' Plan (HBP)</w:t>
      </w:r>
    </w:p>
    <w:p>
      <w:pPr>
        <w:pStyle w:val="ListParagraph"/>
        <w:numPr>
          <w:ilvl w:val="0"/>
          <w:numId w:val="2"/>
        </w:numPr>
        <w:spacing w:after="60" w:before="60"/>
      </w:pPr>
      <w:r>
        <w:rPr>
          <w:rFonts w:ascii="Arial" w:cs="Arial" w:eastAsia="Arial" w:hAnsi="Arial"/>
          <w:sz w:val="22"/>
          <w:szCs w:val="22"/>
        </w:rPr>
        <w:t xml:space="preserve">First-time buyers can withdraw up to $60,000 tax-free from their RRSP (limit raised from $35,000 in April 2024)</w:t>
      </w:r>
    </w:p>
    <w:p>
      <w:pPr>
        <w:pStyle w:val="ListParagraph"/>
        <w:numPr>
          <w:ilvl w:val="0"/>
          <w:numId w:val="2"/>
        </w:numPr>
        <w:spacing w:after="60" w:before="60"/>
      </w:pPr>
      <w:r>
        <w:rPr>
          <w:rFonts w:ascii="Arial" w:cs="Arial" w:eastAsia="Arial" w:hAnsi="Arial"/>
          <w:sz w:val="22"/>
          <w:szCs w:val="22"/>
        </w:rPr>
        <w:t xml:space="preserve">Funds must have been inside the RRSP for at least 90 days prior to withdrawal</w:t>
      </w:r>
    </w:p>
    <w:p>
      <w:pPr>
        <w:pStyle w:val="ListParagraph"/>
        <w:numPr>
          <w:ilvl w:val="0"/>
          <w:numId w:val="2"/>
        </w:numPr>
        <w:spacing w:after="60" w:before="60"/>
      </w:pPr>
      <w:r>
        <w:rPr>
          <w:rFonts w:ascii="Arial" w:cs="Arial" w:eastAsia="Arial" w:hAnsi="Arial"/>
          <w:sz w:val="22"/>
          <w:szCs w:val="22"/>
        </w:rPr>
        <w:t xml:space="preserve">Repayment over 15 years, beginning the second calendar year after the withdrawal</w:t>
      </w:r>
    </w:p>
    <w:p>
      <w:pPr>
        <w:pStyle w:val="ListParagraph"/>
        <w:numPr>
          <w:ilvl w:val="0"/>
          <w:numId w:val="2"/>
        </w:numPr>
        <w:spacing w:after="60" w:before="60"/>
      </w:pPr>
      <w:r>
        <w:rPr>
          <w:rFonts w:ascii="Arial" w:cs="Arial" w:eastAsia="Arial" w:hAnsi="Arial"/>
          <w:sz w:val="22"/>
          <w:szCs w:val="22"/>
        </w:rPr>
        <w:t xml:space="preserve">FHSA and RRSP HBP can be combined on the same purchase for maximum tax-advantaged buying power</w:t>
      </w:r>
    </w:p>
    <w:p>
      <w:pPr>
        <w:pStyle w:val="Heading2"/>
        <w:spacing w:after="100" w:before="280"/>
      </w:pPr>
      <w:r>
        <w:rPr>
          <w:rFonts w:ascii="Arial" w:cs="Arial" w:eastAsia="Arial" w:hAnsi="Arial"/>
          <w:b/>
          <w:bCs/>
          <w:color w:val="0a5c7a"/>
          <w:sz w:val="26"/>
          <w:szCs w:val="26"/>
        </w:rPr>
        <w:t xml:space="preserve">Ontario Tax Rebates and Incentives</w:t>
      </w:r>
    </w:p>
    <w:p>
      <w:pPr>
        <w:pStyle w:val="ListParagraph"/>
        <w:numPr>
          <w:ilvl w:val="0"/>
          <w:numId w:val="2"/>
        </w:numPr>
        <w:spacing w:after="60" w:before="60"/>
      </w:pPr>
      <w:r>
        <w:rPr>
          <w:rFonts w:ascii="Arial" w:cs="Arial" w:eastAsia="Arial" w:hAnsi="Arial"/>
          <w:sz w:val="22"/>
          <w:szCs w:val="22"/>
        </w:rPr>
        <w:t xml:space="preserve">Ontario Land Transfer Tax rebate for first-time buyers: up to $4,000, fully offsetting the tax on homes up to approximately $368,333</w:t>
      </w:r>
    </w:p>
    <w:p>
      <w:pPr>
        <w:pStyle w:val="ListParagraph"/>
        <w:numPr>
          <w:ilvl w:val="0"/>
          <w:numId w:val="2"/>
        </w:numPr>
        <w:spacing w:after="60" w:before="60"/>
      </w:pPr>
      <w:r>
        <w:rPr>
          <w:rFonts w:ascii="Arial" w:cs="Arial" w:eastAsia="Arial" w:hAnsi="Arial"/>
          <w:sz w:val="22"/>
          <w:szCs w:val="22"/>
        </w:rPr>
        <w:t xml:space="preserve">Toronto Municipal Land Transfer Tax rebate for first-time buyers purchasing within Toronto city limits: up to $4,475</w:t>
      </w:r>
    </w:p>
    <w:p>
      <w:pPr>
        <w:pStyle w:val="ListParagraph"/>
        <w:numPr>
          <w:ilvl w:val="0"/>
          <w:numId w:val="2"/>
        </w:numPr>
        <w:spacing w:after="60" w:before="60"/>
      </w:pPr>
      <w:r>
        <w:rPr>
          <w:rFonts w:ascii="Arial" w:cs="Arial" w:eastAsia="Arial" w:hAnsi="Arial"/>
          <w:sz w:val="22"/>
          <w:szCs w:val="22"/>
        </w:rPr>
        <w:t xml:space="preserve">Federal First-Time Home Buyers' Tax Credit (HBTC): $10,000 non-refundable tax credit delivering up to $1,500 in income tax relief</w:t>
      </w:r>
    </w:p>
    <w:p>
      <w:pPr>
        <w:pStyle w:val="ListParagraph"/>
        <w:numPr>
          <w:ilvl w:val="0"/>
          <w:numId w:val="2"/>
        </w:numPr>
        <w:spacing w:after="60" w:before="60"/>
      </w:pPr>
      <w:r>
        <w:rPr>
          <w:rFonts w:ascii="Arial" w:cs="Arial" w:eastAsia="Arial" w:hAnsi="Arial"/>
          <w:sz w:val="22"/>
          <w:szCs w:val="22"/>
        </w:rPr>
        <w:t xml:space="preserve">First-Time Home Buyer Incentive (FTHBI) shared-equity program: officially discontinued March 2024</w:t>
      </w:r>
    </w:p>
    <w:p>
      <w:pPr>
        <w:pStyle w:val="Heading2"/>
        <w:spacing w:after="100" w:before="280"/>
      </w:pPr>
      <w:r>
        <w:rPr>
          <w:rFonts w:ascii="Arial" w:cs="Arial" w:eastAsia="Arial" w:hAnsi="Arial"/>
          <w:b/>
          <w:bCs/>
          <w:color w:val="0a5c7a"/>
          <w:sz w:val="26"/>
          <w:szCs w:val="26"/>
        </w:rPr>
        <w:t xml:space="preserve">Mortgage Default Insurance</w:t>
      </w:r>
    </w:p>
    <w:p>
      <w:pPr>
        <w:pStyle w:val="ListParagraph"/>
        <w:numPr>
          <w:ilvl w:val="0"/>
          <w:numId w:val="2"/>
        </w:numPr>
        <w:spacing w:after="60" w:before="60"/>
      </w:pPr>
      <w:r>
        <w:rPr>
          <w:rFonts w:ascii="Arial" w:cs="Arial" w:eastAsia="Arial" w:hAnsi="Arial"/>
          <w:sz w:val="22"/>
          <w:szCs w:val="22"/>
        </w:rPr>
        <w:t xml:space="preserve">Mandatory for all purchases with less than 20% down payment</w:t>
      </w:r>
    </w:p>
    <w:p>
      <w:pPr>
        <w:pStyle w:val="ListParagraph"/>
        <w:numPr>
          <w:ilvl w:val="0"/>
          <w:numId w:val="2"/>
        </w:numPr>
        <w:spacing w:after="60" w:before="60"/>
      </w:pPr>
      <w:r>
        <w:rPr>
          <w:rFonts w:ascii="Arial" w:cs="Arial" w:eastAsia="Arial" w:hAnsi="Arial"/>
          <w:sz w:val="22"/>
          <w:szCs w:val="22"/>
        </w:rPr>
        <w:t xml:space="preserve">Providers: CMHC, Sagen, Canada Guaranty</w:t>
      </w:r>
    </w:p>
    <w:p>
      <w:pPr>
        <w:pStyle w:val="ListParagraph"/>
        <w:numPr>
          <w:ilvl w:val="0"/>
          <w:numId w:val="2"/>
        </w:numPr>
        <w:spacing w:after="60" w:before="60"/>
      </w:pPr>
      <w:r>
        <w:rPr>
          <w:rFonts w:ascii="Arial" w:cs="Arial" w:eastAsia="Arial" w:hAnsi="Arial"/>
          <w:sz w:val="22"/>
          <w:szCs w:val="22"/>
        </w:rPr>
        <w:t xml:space="preserve">Premium is added to the mortgage balance at closing, not paid as a separate cash fee</w:t>
      </w:r>
    </w:p>
    <w:p>
      <w:pPr>
        <w:pStyle w:val="ListParagraph"/>
        <w:numPr>
          <w:ilvl w:val="0"/>
          <w:numId w:val="2"/>
        </w:numPr>
        <w:spacing w:after="60" w:before="60"/>
      </w:pPr>
      <w:r>
        <w:rPr>
          <w:rFonts w:ascii="Arial" w:cs="Arial" w:eastAsia="Arial" w:hAnsi="Arial"/>
          <w:sz w:val="22"/>
          <w:szCs w:val="22"/>
        </w:rPr>
        <w:t xml:space="preserve">In Ontario, an 8% provincial retail sales tax applies to the insurance premium and must be paid in cash at closing, not added to the mortgage</w:t>
      </w:r>
    </w:p>
    <w:p>
      <w:pPr>
        <w:pStyle w:val="ListParagraph"/>
        <w:numPr>
          <w:ilvl w:val="0"/>
          <w:numId w:val="2"/>
        </w:numPr>
        <w:spacing w:after="60" w:before="60"/>
      </w:pPr>
      <w:r>
        <w:rPr>
          <w:rFonts w:ascii="Arial" w:cs="Arial" w:eastAsia="Arial" w:hAnsi="Arial"/>
          <w:sz w:val="22"/>
          <w:szCs w:val="22"/>
        </w:rPr>
        <w:t xml:space="preserve">Minimum credit score for insured mortgage: 600 to 620 for at least one primary borrower</w:t>
      </w:r>
    </w:p>
    <w:p>
      <w:pPr>
        <w:pStyle w:val="Heading2"/>
        <w:spacing w:after="100" w:before="280"/>
      </w:pPr>
      <w:r>
        <w:rPr>
          <w:rFonts w:ascii="Arial" w:cs="Arial" w:eastAsia="Arial" w:hAnsi="Arial"/>
          <w:b/>
          <w:bCs/>
          <w:color w:val="0a5c7a"/>
          <w:sz w:val="26"/>
          <w:szCs w:val="26"/>
        </w:rPr>
        <w:t xml:space="preserve">Closing Costs and Process</w:t>
      </w:r>
    </w:p>
    <w:p>
      <w:pPr>
        <w:pStyle w:val="ListParagraph"/>
        <w:numPr>
          <w:ilvl w:val="0"/>
          <w:numId w:val="2"/>
        </w:numPr>
        <w:spacing w:after="60" w:before="60"/>
      </w:pPr>
      <w:r>
        <w:rPr>
          <w:rFonts w:ascii="Arial" w:cs="Arial" w:eastAsia="Arial" w:hAnsi="Arial"/>
          <w:sz w:val="22"/>
          <w:szCs w:val="22"/>
        </w:rPr>
        <w:t xml:space="preserve">Estimated closing costs in Ontario: 1.5% to 3% of purchase price in addition to the down payment</w:t>
      </w:r>
    </w:p>
    <w:p>
      <w:pPr>
        <w:pStyle w:val="ListParagraph"/>
        <w:numPr>
          <w:ilvl w:val="0"/>
          <w:numId w:val="2"/>
        </w:numPr>
        <w:spacing w:after="60" w:before="60"/>
      </w:pPr>
      <w:r>
        <w:rPr>
          <w:rFonts w:ascii="Arial" w:cs="Arial" w:eastAsia="Arial" w:hAnsi="Arial"/>
          <w:sz w:val="22"/>
          <w:szCs w:val="22"/>
        </w:rPr>
        <w:t xml:space="preserve">Includes: legal fees, land transfer taxes, title insurance, property tax adjustments, inspection fees</w:t>
      </w:r>
    </w:p>
    <w:p>
      <w:pPr>
        <w:pStyle w:val="ListParagraph"/>
        <w:numPr>
          <w:ilvl w:val="0"/>
          <w:numId w:val="2"/>
        </w:numPr>
        <w:spacing w:after="60" w:before="60"/>
      </w:pPr>
      <w:r>
        <w:rPr>
          <w:rFonts w:ascii="Arial" w:cs="Arial" w:eastAsia="Arial" w:hAnsi="Arial"/>
          <w:sz w:val="22"/>
          <w:szCs w:val="22"/>
        </w:rPr>
        <w:t xml:space="preserve">Pre-approval locks in a rate for 90 to 120 days but does not guarantee final approval</w:t>
      </w:r>
    </w:p>
    <w:p>
      <w:pPr>
        <w:pStyle w:val="ListParagraph"/>
        <w:numPr>
          <w:ilvl w:val="0"/>
          <w:numId w:val="2"/>
        </w:numPr>
        <w:spacing w:after="60" w:before="60"/>
      </w:pPr>
      <w:r>
        <w:rPr>
          <w:rFonts w:ascii="Arial" w:cs="Arial" w:eastAsia="Arial" w:hAnsi="Arial"/>
          <w:sz w:val="22"/>
          <w:szCs w:val="22"/>
        </w:rPr>
        <w:t xml:space="preserve">Final approval requires full property review including an appraisal</w:t>
      </w:r>
    </w:p>
    <w:p>
      <w:pPr>
        <w:pStyle w:val="ListParagraph"/>
        <w:numPr>
          <w:ilvl w:val="0"/>
          <w:numId w:val="2"/>
        </w:numPr>
        <w:spacing w:after="60" w:before="60"/>
      </w:pPr>
      <w:r>
        <w:rPr>
          <w:rFonts w:ascii="Arial" w:cs="Arial" w:eastAsia="Arial" w:hAnsi="Arial"/>
          <w:sz w:val="22"/>
          <w:szCs w:val="22"/>
        </w:rPr>
        <w:t xml:space="preserve">Financing condition in the offer protects the buyer if mortgage approval falls through</w:t>
      </w:r>
    </w:p>
    <w:p>
      <w:pPr>
        <w:pStyle w:val="ListParagraph"/>
        <w:numPr>
          <w:ilvl w:val="0"/>
          <w:numId w:val="2"/>
        </w:numPr>
        <w:spacing w:after="60" w:before="60"/>
      </w:pPr>
      <w:r>
        <w:rPr>
          <w:rFonts w:ascii="Arial" w:cs="Arial" w:eastAsia="Arial" w:hAnsi="Arial"/>
          <w:sz w:val="22"/>
          <w:szCs w:val="22"/>
        </w:rPr>
        <w:t xml:space="preserve">Crypto assets must be liquidated to CAD and held in a Canadian bank account for 90 days before being accepted as down payment funds</w:t>
      </w:r>
    </w:p>
    <w:p>
      <w:pPr>
        <w:pStyle w:val="ListParagraph"/>
        <w:numPr>
          <w:ilvl w:val="0"/>
          <w:numId w:val="2"/>
        </w:numPr>
        <w:spacing w:after="60" w:before="60"/>
      </w:pPr>
      <w:r>
        <w:rPr>
          <w:rFonts w:ascii="Arial" w:cs="Arial" w:eastAsia="Arial" w:hAnsi="Arial"/>
          <w:sz w:val="22"/>
          <w:szCs w:val="22"/>
        </w:rPr>
        <w:t xml:space="preserve">FINTRAC anti-money laundering rules require brokers to verify identity and trace the origin of large down payment amounts</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6. Mortgage Refinancing - Canada and Ontario</w:t>
      </w:r>
    </w:p>
    <w:p>
      <w:pPr>
        <w:pStyle w:val="Heading2"/>
        <w:spacing w:after="100" w:before="280"/>
      </w:pPr>
      <w:r>
        <w:rPr>
          <w:rFonts w:ascii="Arial" w:cs="Arial" w:eastAsia="Arial" w:hAnsi="Arial"/>
          <w:b/>
          <w:bCs/>
          <w:color w:val="0a5c7a"/>
          <w:sz w:val="26"/>
          <w:szCs w:val="26"/>
        </w:rPr>
        <w:t xml:space="preserve">Core Mechanics</w:t>
      </w:r>
    </w:p>
    <w:p>
      <w:pPr>
        <w:pStyle w:val="ListParagraph"/>
        <w:numPr>
          <w:ilvl w:val="0"/>
          <w:numId w:val="2"/>
        </w:numPr>
        <w:spacing w:after="60" w:before="60"/>
      </w:pPr>
      <w:r>
        <w:rPr>
          <w:rFonts w:ascii="Arial" w:cs="Arial" w:eastAsia="Arial" w:hAnsi="Arial"/>
          <w:sz w:val="22"/>
          <w:szCs w:val="22"/>
        </w:rPr>
        <w:t xml:space="preserve">Refinancing replaces an existing mortgage with a new one, allowing for equity access, rate changes, or debt restructuring</w:t>
      </w:r>
    </w:p>
    <w:p>
      <w:pPr>
        <w:pStyle w:val="ListParagraph"/>
        <w:numPr>
          <w:ilvl w:val="0"/>
          <w:numId w:val="2"/>
        </w:numPr>
        <w:spacing w:after="60" w:before="60"/>
      </w:pPr>
      <w:r>
        <w:rPr>
          <w:rFonts w:ascii="Arial" w:cs="Arial" w:eastAsia="Arial" w:hAnsi="Arial"/>
          <w:sz w:val="22"/>
          <w:szCs w:val="22"/>
        </w:rPr>
        <w:t xml:space="preserve">Maximum LTV for a standard refinance: 80% of the current appraised market value</w:t>
      </w:r>
    </w:p>
    <w:p>
      <w:pPr>
        <w:pStyle w:val="ListParagraph"/>
        <w:numPr>
          <w:ilvl w:val="0"/>
          <w:numId w:val="2"/>
        </w:numPr>
        <w:spacing w:after="60" w:before="60"/>
      </w:pPr>
      <w:r>
        <w:rPr>
          <w:rFonts w:ascii="Arial" w:cs="Arial" w:eastAsia="Arial" w:hAnsi="Arial"/>
          <w:sz w:val="22"/>
          <w:szCs w:val="22"/>
        </w:rPr>
        <w:t xml:space="preserve">Refinancing cancels any existing default insurance; the new expanded loan becomes conventional and uninsured</w:t>
      </w:r>
    </w:p>
    <w:p>
      <w:pPr>
        <w:pStyle w:val="ListParagraph"/>
        <w:numPr>
          <w:ilvl w:val="0"/>
          <w:numId w:val="2"/>
        </w:numPr>
        <w:spacing w:after="60" w:before="60"/>
      </w:pPr>
      <w:r>
        <w:rPr>
          <w:rFonts w:ascii="Arial" w:cs="Arial" w:eastAsia="Arial" w:hAnsi="Arial"/>
          <w:sz w:val="22"/>
          <w:szCs w:val="22"/>
        </w:rPr>
        <w:t xml:space="preserve">Stress test applies to all refinances at federally regulated lenders, on the full new loan amount</w:t>
      </w:r>
    </w:p>
    <w:p>
      <w:pPr>
        <w:pStyle w:val="ListParagraph"/>
        <w:numPr>
          <w:ilvl w:val="0"/>
          <w:numId w:val="2"/>
        </w:numPr>
        <w:spacing w:after="60" w:before="60"/>
      </w:pPr>
      <w:r>
        <w:rPr>
          <w:rFonts w:ascii="Arial" w:cs="Arial" w:eastAsia="Arial" w:hAnsi="Arial"/>
          <w:sz w:val="22"/>
          <w:szCs w:val="22"/>
        </w:rPr>
        <w:t xml:space="preserve">Legal costs: $800 to $1,500 for the lawyer to discharge the old mortgage and register the new one on title</w:t>
      </w:r>
    </w:p>
    <w:p>
      <w:pPr>
        <w:pStyle w:val="ListParagraph"/>
        <w:numPr>
          <w:ilvl w:val="0"/>
          <w:numId w:val="2"/>
        </w:numPr>
        <w:spacing w:after="60" w:before="60"/>
      </w:pPr>
      <w:r>
        <w:rPr>
          <w:rFonts w:ascii="Arial" w:cs="Arial" w:eastAsia="Arial" w:hAnsi="Arial"/>
          <w:sz w:val="22"/>
          <w:szCs w:val="22"/>
        </w:rPr>
        <w:t xml:space="preserve">Independent appraisal is required to confirm current market value before calculating equity limits</w:t>
      </w:r>
    </w:p>
    <w:p>
      <w:pPr>
        <w:pStyle w:val="ListParagraph"/>
        <w:numPr>
          <w:ilvl w:val="0"/>
          <w:numId w:val="2"/>
        </w:numPr>
        <w:spacing w:after="60" w:before="60"/>
      </w:pPr>
      <w:r>
        <w:rPr>
          <w:rFonts w:ascii="Arial" w:cs="Arial" w:eastAsia="Arial" w:hAnsi="Arial"/>
          <w:sz w:val="22"/>
          <w:szCs w:val="22"/>
        </w:rPr>
        <w:t xml:space="preserve">Properties currently listed for active sale cannot be refinanced; the listing must be removed first</w:t>
      </w:r>
    </w:p>
    <w:p>
      <w:pPr>
        <w:pStyle w:val="Heading2"/>
        <w:spacing w:after="100" w:before="280"/>
      </w:pPr>
      <w:r>
        <w:rPr>
          <w:rFonts w:ascii="Arial" w:cs="Arial" w:eastAsia="Arial" w:hAnsi="Arial"/>
          <w:b/>
          <w:bCs/>
          <w:color w:val="0a5c7a"/>
          <w:sz w:val="26"/>
          <w:szCs w:val="26"/>
        </w:rPr>
        <w:t xml:space="preserve">Penalties and Costs</w:t>
      </w:r>
    </w:p>
    <w:p>
      <w:pPr>
        <w:pStyle w:val="ListParagraph"/>
        <w:numPr>
          <w:ilvl w:val="0"/>
          <w:numId w:val="2"/>
        </w:numPr>
        <w:spacing w:after="60" w:before="60"/>
      </w:pPr>
      <w:r>
        <w:rPr>
          <w:rFonts w:ascii="Arial" w:cs="Arial" w:eastAsia="Arial" w:hAnsi="Arial"/>
          <w:sz w:val="22"/>
          <w:szCs w:val="22"/>
        </w:rPr>
        <w:t xml:space="preserve">Breaking a variable-rate mortgage mid-term: flat 3-month interest penalty</w:t>
      </w:r>
    </w:p>
    <w:p>
      <w:pPr>
        <w:pStyle w:val="ListParagraph"/>
        <w:numPr>
          <w:ilvl w:val="0"/>
          <w:numId w:val="2"/>
        </w:numPr>
        <w:spacing w:after="60" w:before="60"/>
      </w:pPr>
      <w:r>
        <w:rPr>
          <w:rFonts w:ascii="Arial" w:cs="Arial" w:eastAsia="Arial" w:hAnsi="Arial"/>
          <w:sz w:val="22"/>
          <w:szCs w:val="22"/>
        </w:rPr>
        <w:t xml:space="preserve">Breaking a fixed-rate mortgage mid-term: greater of 3-month interest or IRD (Interest Rate Differential)</w:t>
      </w:r>
    </w:p>
    <w:p>
      <w:pPr>
        <w:pStyle w:val="ListParagraph"/>
        <w:numPr>
          <w:ilvl w:val="0"/>
          <w:numId w:val="2"/>
        </w:numPr>
        <w:spacing w:after="60" w:before="60"/>
      </w:pPr>
      <w:r>
        <w:rPr>
          <w:rFonts w:ascii="Arial" w:cs="Arial" w:eastAsia="Arial" w:hAnsi="Arial"/>
          <w:sz w:val="22"/>
          <w:szCs w:val="22"/>
        </w:rPr>
        <w:t xml:space="preserve">IRD calculations at major banks can be significantly punitive depending on how much rates have fallen since the mortgage was signed</w:t>
      </w:r>
    </w:p>
    <w:p>
      <w:pPr>
        <w:pStyle w:val="ListParagraph"/>
        <w:numPr>
          <w:ilvl w:val="0"/>
          <w:numId w:val="2"/>
        </w:numPr>
        <w:spacing w:after="60" w:before="60"/>
      </w:pPr>
      <w:r>
        <w:rPr>
          <w:rFonts w:ascii="Arial" w:cs="Arial" w:eastAsia="Arial" w:hAnsi="Arial"/>
          <w:sz w:val="22"/>
          <w:szCs w:val="22"/>
        </w:rPr>
        <w:t xml:space="preserve">Blend and Extend: blending the current rate with market rates and extending the term avoids an immediate cash penalty</w:t>
      </w:r>
    </w:p>
    <w:p>
      <w:pPr>
        <w:pStyle w:val="ListParagraph"/>
        <w:numPr>
          <w:ilvl w:val="0"/>
          <w:numId w:val="2"/>
        </w:numPr>
        <w:spacing w:after="60" w:before="60"/>
      </w:pPr>
      <w:r>
        <w:rPr>
          <w:rFonts w:ascii="Arial" w:cs="Arial" w:eastAsia="Arial" w:hAnsi="Arial"/>
          <w:sz w:val="22"/>
          <w:szCs w:val="22"/>
        </w:rPr>
        <w:t xml:space="preserve">Discharge fee from the outgoing lender: $200 to $400</w:t>
      </w:r>
    </w:p>
    <w:p>
      <w:pPr>
        <w:pStyle w:val="Heading2"/>
        <w:spacing w:after="100" w:before="280"/>
      </w:pPr>
      <w:r>
        <w:rPr>
          <w:rFonts w:ascii="Arial" w:cs="Arial" w:eastAsia="Arial" w:hAnsi="Arial"/>
          <w:b/>
          <w:bCs/>
          <w:color w:val="0a5c7a"/>
          <w:sz w:val="26"/>
          <w:szCs w:val="26"/>
        </w:rPr>
        <w:t xml:space="preserve">HELOC and Equity Products</w:t>
      </w:r>
    </w:p>
    <w:p>
      <w:pPr>
        <w:pStyle w:val="ListParagraph"/>
        <w:numPr>
          <w:ilvl w:val="0"/>
          <w:numId w:val="2"/>
        </w:numPr>
        <w:spacing w:after="60" w:before="60"/>
      </w:pPr>
      <w:r>
        <w:rPr>
          <w:rFonts w:ascii="Arial" w:cs="Arial" w:eastAsia="Arial" w:hAnsi="Arial"/>
          <w:sz w:val="22"/>
          <w:szCs w:val="22"/>
        </w:rPr>
        <w:t xml:space="preserve">Standalone HELOC maximum LTV: 65% of appraised value</w:t>
      </w:r>
    </w:p>
    <w:p>
      <w:pPr>
        <w:pStyle w:val="ListParagraph"/>
        <w:numPr>
          <w:ilvl w:val="0"/>
          <w:numId w:val="2"/>
        </w:numPr>
        <w:spacing w:after="60" w:before="60"/>
      </w:pPr>
      <w:r>
        <w:rPr>
          <w:rFonts w:ascii="Arial" w:cs="Arial" w:eastAsia="Arial" w:hAnsi="Arial"/>
          <w:sz w:val="22"/>
          <w:szCs w:val="22"/>
        </w:rPr>
        <w:t xml:space="preserve">Combined mortgage plus HELOC: up to 80% LTV total, provided the HELOC component stays under 65%</w:t>
      </w:r>
    </w:p>
    <w:p>
      <w:pPr>
        <w:pStyle w:val="ListParagraph"/>
        <w:numPr>
          <w:ilvl w:val="0"/>
          <w:numId w:val="2"/>
        </w:numPr>
        <w:spacing w:after="60" w:before="60"/>
      </w:pPr>
      <w:r>
        <w:rPr>
          <w:rFonts w:ascii="Arial" w:cs="Arial" w:eastAsia="Arial" w:hAnsi="Arial"/>
          <w:sz w:val="22"/>
          <w:szCs w:val="22"/>
        </w:rPr>
        <w:t xml:space="preserve">Collateral charge mortgage: registered for an amount higher than the loan; allows future HELOC additions without re-registering but cannot be freely switched to another lender</w:t>
      </w:r>
    </w:p>
    <w:p>
      <w:pPr>
        <w:pStyle w:val="ListParagraph"/>
        <w:numPr>
          <w:ilvl w:val="0"/>
          <w:numId w:val="2"/>
        </w:numPr>
        <w:spacing w:after="60" w:before="60"/>
      </w:pPr>
      <w:r>
        <w:rPr>
          <w:rFonts w:ascii="Arial" w:cs="Arial" w:eastAsia="Arial" w:hAnsi="Arial"/>
          <w:sz w:val="22"/>
          <w:szCs w:val="22"/>
        </w:rPr>
        <w:t xml:space="preserve">Standard charge mortgage: registers only the exact loan amount; can be assigned to a new lender at renewal with minimal legal cost</w:t>
      </w:r>
    </w:p>
    <w:p>
      <w:pPr>
        <w:pStyle w:val="ListParagraph"/>
        <w:numPr>
          <w:ilvl w:val="0"/>
          <w:numId w:val="2"/>
        </w:numPr>
        <w:spacing w:after="60" w:before="60"/>
      </w:pPr>
      <w:r>
        <w:rPr>
          <w:rFonts w:ascii="Arial" w:cs="Arial" w:eastAsia="Arial" w:hAnsi="Arial"/>
          <w:sz w:val="22"/>
          <w:szCs w:val="22"/>
        </w:rPr>
        <w:t xml:space="preserve">Readvancable mortgage: credit line limit grows automatically as mortgage principal is paid down</w:t>
      </w:r>
    </w:p>
    <w:p>
      <w:pPr>
        <w:pStyle w:val="ListParagraph"/>
        <w:numPr>
          <w:ilvl w:val="0"/>
          <w:numId w:val="2"/>
        </w:numPr>
        <w:spacing w:after="60" w:before="60"/>
      </w:pPr>
      <w:r>
        <w:rPr>
          <w:rFonts w:ascii="Arial" w:cs="Arial" w:eastAsia="Arial" w:hAnsi="Arial"/>
          <w:sz w:val="22"/>
          <w:szCs w:val="22"/>
        </w:rPr>
        <w:t xml:space="preserve">Smith Manoeuvre: Canadian strategy converting a non-deductible mortgage into a tax-deductible investment loan using a readvancable HELOC</w:t>
      </w:r>
    </w:p>
    <w:p>
      <w:pPr>
        <w:pStyle w:val="Heading2"/>
        <w:spacing w:after="100" w:before="280"/>
      </w:pPr>
      <w:r>
        <w:rPr>
          <w:rFonts w:ascii="Arial" w:cs="Arial" w:eastAsia="Arial" w:hAnsi="Arial"/>
          <w:b/>
          <w:bCs/>
          <w:color w:val="0a5c7a"/>
          <w:sz w:val="26"/>
          <w:szCs w:val="26"/>
        </w:rPr>
        <w:t xml:space="preserve">Common Refinance Scenarios</w:t>
      </w:r>
    </w:p>
    <w:p>
      <w:pPr>
        <w:pStyle w:val="ListParagraph"/>
        <w:numPr>
          <w:ilvl w:val="0"/>
          <w:numId w:val="2"/>
        </w:numPr>
        <w:spacing w:after="60" w:before="60"/>
      </w:pPr>
      <w:r>
        <w:rPr>
          <w:rFonts w:ascii="Arial" w:cs="Arial" w:eastAsia="Arial" w:hAnsi="Arial"/>
          <w:sz w:val="22"/>
          <w:szCs w:val="22"/>
        </w:rPr>
        <w:t xml:space="preserve">Debt consolidation: rolling high-interest unsecured debt (20%+ credit cards) into a mortgage rate significantly reduces monthly payments</w:t>
      </w:r>
    </w:p>
    <w:p>
      <w:pPr>
        <w:pStyle w:val="ListParagraph"/>
        <w:numPr>
          <w:ilvl w:val="0"/>
          <w:numId w:val="2"/>
        </w:numPr>
        <w:spacing w:after="60" w:before="60"/>
      </w:pPr>
      <w:r>
        <w:rPr>
          <w:rFonts w:ascii="Arial" w:cs="Arial" w:eastAsia="Arial" w:hAnsi="Arial"/>
          <w:sz w:val="22"/>
          <w:szCs w:val="22"/>
        </w:rPr>
        <w:t xml:space="preserve">Renovation funding: extracting equity to fund major home improvements</w:t>
      </w:r>
    </w:p>
    <w:p>
      <w:pPr>
        <w:pStyle w:val="ListParagraph"/>
        <w:numPr>
          <w:ilvl w:val="0"/>
          <w:numId w:val="2"/>
        </w:numPr>
        <w:spacing w:after="60" w:before="60"/>
      </w:pPr>
      <w:r>
        <w:rPr>
          <w:rFonts w:ascii="Arial" w:cs="Arial" w:eastAsia="Arial" w:hAnsi="Arial"/>
          <w:sz w:val="22"/>
          <w:szCs w:val="22"/>
        </w:rPr>
        <w:t xml:space="preserve">Down payment extraction: refinancing primary residence to pull a down payment for an investment property purchase</w:t>
      </w:r>
    </w:p>
    <w:p>
      <w:pPr>
        <w:pStyle w:val="ListParagraph"/>
        <w:numPr>
          <w:ilvl w:val="0"/>
          <w:numId w:val="2"/>
        </w:numPr>
        <w:spacing w:after="60" w:before="60"/>
      </w:pPr>
      <w:r>
        <w:rPr>
          <w:rFonts w:ascii="Arial" w:cs="Arial" w:eastAsia="Arial" w:hAnsi="Arial"/>
          <w:sz w:val="22"/>
          <w:szCs w:val="22"/>
        </w:rPr>
        <w:t xml:space="preserve">Consumer proposal payoff: alternative and private lenders can fund equity extraction to discharge a consumer proposal</w:t>
      </w:r>
    </w:p>
    <w:p>
      <w:pPr>
        <w:pStyle w:val="ListParagraph"/>
        <w:numPr>
          <w:ilvl w:val="0"/>
          <w:numId w:val="2"/>
        </w:numPr>
        <w:spacing w:after="60" w:before="60"/>
      </w:pPr>
      <w:r>
        <w:rPr>
          <w:rFonts w:ascii="Arial" w:cs="Arial" w:eastAsia="Arial" w:hAnsi="Arial"/>
          <w:sz w:val="22"/>
          <w:szCs w:val="22"/>
        </w:rPr>
        <w:t xml:space="preserve">Spousal buyout: refinancing to buy out an ex-partner's equity interest in the property</w:t>
      </w:r>
    </w:p>
    <w:p>
      <w:pPr>
        <w:pStyle w:val="ListParagraph"/>
        <w:numPr>
          <w:ilvl w:val="0"/>
          <w:numId w:val="2"/>
        </w:numPr>
        <w:spacing w:after="60" w:before="60"/>
      </w:pPr>
      <w:r>
        <w:rPr>
          <w:rFonts w:ascii="Arial" w:cs="Arial" w:eastAsia="Arial" w:hAnsi="Arial"/>
          <w:sz w:val="22"/>
          <w:szCs w:val="22"/>
        </w:rPr>
        <w:t xml:space="preserve">CRA and property tax arrears: lenders will approve equity extraction for tax payouts with funds directed to the government at closing</w:t>
      </w:r>
    </w:p>
    <w:p>
      <w:pPr>
        <w:pStyle w:val="ListParagraph"/>
        <w:numPr>
          <w:ilvl w:val="0"/>
          <w:numId w:val="2"/>
        </w:numPr>
        <w:spacing w:after="60" w:before="60"/>
      </w:pPr>
      <w:r>
        <w:rPr>
          <w:rFonts w:ascii="Arial" w:cs="Arial" w:eastAsia="Arial" w:hAnsi="Arial"/>
          <w:sz w:val="22"/>
          <w:szCs w:val="22"/>
        </w:rPr>
        <w:t xml:space="preserve">Rental property refinance: up to 80% LTV, assessed using Net Operating Income or Debt Service Coverage Ratios</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7. Renewals and Mortgage Switches - Canada and Ontario</w:t>
      </w:r>
    </w:p>
    <w:p>
      <w:pPr>
        <w:pStyle w:val="Heading2"/>
        <w:spacing w:after="100" w:before="280"/>
      </w:pPr>
      <w:r>
        <w:rPr>
          <w:rFonts w:ascii="Arial" w:cs="Arial" w:eastAsia="Arial" w:hAnsi="Arial"/>
          <w:b/>
          <w:bCs/>
          <w:color w:val="0a5c7a"/>
          <w:sz w:val="26"/>
          <w:szCs w:val="26"/>
        </w:rPr>
        <w:t xml:space="preserve">Renewal vs. Switch</w:t>
      </w:r>
    </w:p>
    <w:p>
      <w:pPr>
        <w:pStyle w:val="ListParagraph"/>
        <w:numPr>
          <w:ilvl w:val="0"/>
          <w:numId w:val="2"/>
        </w:numPr>
        <w:spacing w:after="60" w:before="60"/>
      </w:pPr>
      <w:r>
        <w:rPr>
          <w:rFonts w:ascii="Arial" w:cs="Arial" w:eastAsia="Arial" w:hAnsi="Arial"/>
          <w:sz w:val="22"/>
          <w:szCs w:val="22"/>
        </w:rPr>
        <w:t xml:space="preserve">Renewal: signing a new rate contract with the existing lender at maturity; no legal changes to the title</w:t>
      </w:r>
    </w:p>
    <w:p>
      <w:pPr>
        <w:pStyle w:val="ListParagraph"/>
        <w:numPr>
          <w:ilvl w:val="0"/>
          <w:numId w:val="2"/>
        </w:numPr>
        <w:spacing w:after="60" w:before="60"/>
      </w:pPr>
      <w:r>
        <w:rPr>
          <w:rFonts w:ascii="Arial" w:cs="Arial" w:eastAsia="Arial" w:hAnsi="Arial"/>
          <w:sz w:val="22"/>
          <w:szCs w:val="22"/>
        </w:rPr>
        <w:t xml:space="preserve">Switch: moving the identical remaining balance and amortization schedule to a new lender at maturity</w:t>
      </w:r>
    </w:p>
    <w:p>
      <w:pPr>
        <w:pStyle w:val="ListParagraph"/>
        <w:numPr>
          <w:ilvl w:val="0"/>
          <w:numId w:val="2"/>
        </w:numPr>
        <w:spacing w:after="60" w:before="60"/>
      </w:pPr>
      <w:r>
        <w:rPr>
          <w:rFonts w:ascii="Arial" w:cs="Arial" w:eastAsia="Arial" w:hAnsi="Arial"/>
          <w:sz w:val="22"/>
          <w:szCs w:val="22"/>
        </w:rPr>
        <w:t xml:space="preserve">Straight switch does not involve increasing the loan amount or extracting equity; adding any new funds converts it to a refinance</w:t>
      </w:r>
    </w:p>
    <w:p>
      <w:pPr>
        <w:pStyle w:val="ListParagraph"/>
        <w:numPr>
          <w:ilvl w:val="0"/>
          <w:numId w:val="2"/>
        </w:numPr>
        <w:spacing w:after="60" w:before="60"/>
      </w:pPr>
      <w:r>
        <w:rPr>
          <w:rFonts w:ascii="Arial" w:cs="Arial" w:eastAsia="Arial" w:hAnsi="Arial"/>
          <w:sz w:val="22"/>
          <w:szCs w:val="22"/>
        </w:rPr>
        <w:t xml:space="preserve">Renewal with the same lender requires only a signature; no legal fees, no appraisal</w:t>
      </w:r>
    </w:p>
    <w:p>
      <w:pPr>
        <w:pStyle w:val="ListParagraph"/>
        <w:numPr>
          <w:ilvl w:val="0"/>
          <w:numId w:val="2"/>
        </w:numPr>
        <w:spacing w:after="60" w:before="60"/>
      </w:pPr>
      <w:r>
        <w:rPr>
          <w:rFonts w:ascii="Arial" w:cs="Arial" w:eastAsia="Arial" w:hAnsi="Arial"/>
          <w:sz w:val="22"/>
          <w:szCs w:val="22"/>
        </w:rPr>
        <w:t xml:space="preserve">Switch to a new lender: the incoming lender typically absorbs basic legal and appraisal costs to win the business</w:t>
      </w:r>
    </w:p>
    <w:p>
      <w:pPr>
        <w:pStyle w:val="Heading2"/>
        <w:spacing w:after="100" w:before="280"/>
      </w:pPr>
      <w:r>
        <w:rPr>
          <w:rFonts w:ascii="Arial" w:cs="Arial" w:eastAsia="Arial" w:hAnsi="Arial"/>
          <w:b/>
          <w:bCs/>
          <w:color w:val="0a5c7a"/>
          <w:sz w:val="26"/>
          <w:szCs w:val="26"/>
        </w:rPr>
        <w:t xml:space="preserve">Stress Test Exemption at Switch (2024 Onward)</w:t>
      </w:r>
    </w:p>
    <w:p>
      <w:pPr>
        <w:pStyle w:val="ListParagraph"/>
        <w:numPr>
          <w:ilvl w:val="0"/>
          <w:numId w:val="2"/>
        </w:numPr>
        <w:spacing w:after="60" w:before="60"/>
      </w:pPr>
      <w:r>
        <w:rPr>
          <w:rFonts w:ascii="Arial" w:cs="Arial" w:eastAsia="Arial" w:hAnsi="Arial"/>
          <w:sz w:val="22"/>
          <w:szCs w:val="22"/>
        </w:rPr>
        <w:t xml:space="preserve">As of 2024, both insured and uninsured borrowers are exempt from the mortgage stress test when performing a straight switch between federally regulated lenders</w:t>
      </w:r>
    </w:p>
    <w:p>
      <w:pPr>
        <w:pStyle w:val="ListParagraph"/>
        <w:numPr>
          <w:ilvl w:val="0"/>
          <w:numId w:val="2"/>
        </w:numPr>
        <w:spacing w:after="60" w:before="60"/>
      </w:pPr>
      <w:r>
        <w:rPr>
          <w:rFonts w:ascii="Arial" w:cs="Arial" w:eastAsia="Arial" w:hAnsi="Arial"/>
          <w:sz w:val="22"/>
          <w:szCs w:val="22"/>
        </w:rPr>
        <w:t xml:space="preserve">This is a significant policy change giving renewing borrowers full market negotiating power</w:t>
      </w:r>
    </w:p>
    <w:p>
      <w:pPr>
        <w:pStyle w:val="ListParagraph"/>
        <w:numPr>
          <w:ilvl w:val="0"/>
          <w:numId w:val="2"/>
        </w:numPr>
        <w:spacing w:after="60" w:before="60"/>
      </w:pPr>
      <w:r>
        <w:rPr>
          <w:rFonts w:ascii="Arial" w:cs="Arial" w:eastAsia="Arial" w:hAnsi="Arial"/>
          <w:sz w:val="22"/>
          <w:szCs w:val="22"/>
        </w:rPr>
        <w:t xml:space="preserve">The new lender still reviews employment, income stability, and credit before accepting the switch</w:t>
      </w:r>
    </w:p>
    <w:p>
      <w:pPr>
        <w:pStyle w:val="ListParagraph"/>
        <w:numPr>
          <w:ilvl w:val="0"/>
          <w:numId w:val="2"/>
        </w:numPr>
        <w:spacing w:after="60" w:before="60"/>
      </w:pPr>
      <w:r>
        <w:rPr>
          <w:rFonts w:ascii="Arial" w:cs="Arial" w:eastAsia="Arial" w:hAnsi="Arial"/>
          <w:sz w:val="22"/>
          <w:szCs w:val="22"/>
        </w:rPr>
        <w:t xml:space="preserve">A severe credit deterioration or job loss can still result in the incoming lender declining the switch</w:t>
      </w:r>
    </w:p>
    <w:p>
      <w:pPr>
        <w:pStyle w:val="Heading2"/>
        <w:spacing w:after="100" w:before="280"/>
      </w:pPr>
      <w:r>
        <w:rPr>
          <w:rFonts w:ascii="Arial" w:cs="Arial" w:eastAsia="Arial" w:hAnsi="Arial"/>
          <w:b/>
          <w:bCs/>
          <w:color w:val="0a5c7a"/>
          <w:sz w:val="26"/>
          <w:szCs w:val="26"/>
        </w:rPr>
        <w:t xml:space="preserve">Renewal Tactics</w:t>
      </w:r>
    </w:p>
    <w:p>
      <w:pPr>
        <w:pStyle w:val="ListParagraph"/>
        <w:numPr>
          <w:ilvl w:val="0"/>
          <w:numId w:val="2"/>
        </w:numPr>
        <w:spacing w:after="60" w:before="60"/>
      </w:pPr>
      <w:r>
        <w:rPr>
          <w:rFonts w:ascii="Arial" w:cs="Arial" w:eastAsia="Arial" w:hAnsi="Arial"/>
          <w:sz w:val="22"/>
          <w:szCs w:val="22"/>
        </w:rPr>
        <w:t xml:space="preserve">Initial renewal letters from banks often feature posted or standard rates, not their lowest discretionary rates</w:t>
      </w:r>
    </w:p>
    <w:p>
      <w:pPr>
        <w:pStyle w:val="ListParagraph"/>
        <w:numPr>
          <w:ilvl w:val="0"/>
          <w:numId w:val="2"/>
        </w:numPr>
        <w:spacing w:after="60" w:before="60"/>
      </w:pPr>
      <w:r>
        <w:rPr>
          <w:rFonts w:ascii="Arial" w:cs="Arial" w:eastAsia="Arial" w:hAnsi="Arial"/>
          <w:sz w:val="22"/>
          <w:szCs w:val="22"/>
        </w:rPr>
        <w:t xml:space="preserve">Rate match strategy: presenting the bank with a written competitor commitment forces the retention desk to match or beat the offer</w:t>
      </w:r>
    </w:p>
    <w:p>
      <w:pPr>
        <w:pStyle w:val="ListParagraph"/>
        <w:numPr>
          <w:ilvl w:val="0"/>
          <w:numId w:val="2"/>
        </w:numPr>
        <w:spacing w:after="60" w:before="60"/>
      </w:pPr>
      <w:r>
        <w:rPr>
          <w:rFonts w:ascii="Arial" w:cs="Arial" w:eastAsia="Arial" w:hAnsi="Arial"/>
          <w:sz w:val="22"/>
          <w:szCs w:val="22"/>
        </w:rPr>
        <w:t xml:space="preserve">Rate holds of up to 120 days can be locked with a broker before maturity, protecting against rate spikes</w:t>
      </w:r>
    </w:p>
    <w:p>
      <w:pPr>
        <w:pStyle w:val="ListParagraph"/>
        <w:numPr>
          <w:ilvl w:val="0"/>
          <w:numId w:val="2"/>
        </w:numPr>
        <w:spacing w:after="60" w:before="60"/>
      </w:pPr>
      <w:r>
        <w:rPr>
          <w:rFonts w:ascii="Arial" w:cs="Arial" w:eastAsia="Arial" w:hAnsi="Arial"/>
          <w:sz w:val="22"/>
          <w:szCs w:val="22"/>
        </w:rPr>
        <w:t xml:space="preserve">Signing the bank's first renewal offer without comparison shopping is one of the most common and costly borrower mistakes in Canada</w:t>
      </w:r>
    </w:p>
    <w:p>
      <w:pPr>
        <w:pStyle w:val="ListParagraph"/>
        <w:numPr>
          <w:ilvl w:val="0"/>
          <w:numId w:val="2"/>
        </w:numPr>
        <w:spacing w:after="60" w:before="60"/>
      </w:pPr>
      <w:r>
        <w:rPr>
          <w:rFonts w:ascii="Arial" w:cs="Arial" w:eastAsia="Arial" w:hAnsi="Arial"/>
          <w:sz w:val="22"/>
          <w:szCs w:val="22"/>
        </w:rPr>
        <w:t xml:space="preserve">If nothing is done at maturity, the lender automatically converts the mortgage to a short-term open product at much higher rates</w:t>
      </w:r>
    </w:p>
    <w:p>
      <w:pPr>
        <w:pStyle w:val="ListParagraph"/>
        <w:numPr>
          <w:ilvl w:val="0"/>
          <w:numId w:val="2"/>
        </w:numPr>
        <w:spacing w:after="60" w:before="60"/>
      </w:pPr>
      <w:r>
        <w:rPr>
          <w:rFonts w:ascii="Arial" w:cs="Arial" w:eastAsia="Arial" w:hAnsi="Arial"/>
          <w:sz w:val="22"/>
          <w:szCs w:val="22"/>
        </w:rPr>
        <w:t xml:space="preserve">Early renewal options are typically available 4 to 6 months before maturity without triggering a break penalty</w:t>
      </w:r>
    </w:p>
    <w:p>
      <w:pPr>
        <w:pStyle w:val="Heading2"/>
        <w:spacing w:after="100" w:before="280"/>
      </w:pPr>
      <w:r>
        <w:rPr>
          <w:rFonts w:ascii="Arial" w:cs="Arial" w:eastAsia="Arial" w:hAnsi="Arial"/>
          <w:b/>
          <w:bCs/>
          <w:color w:val="0a5c7a"/>
          <w:sz w:val="26"/>
          <w:szCs w:val="26"/>
        </w:rPr>
        <w:t xml:space="preserve">Collateral Charge Switching</w:t>
      </w:r>
    </w:p>
    <w:p>
      <w:pPr>
        <w:pStyle w:val="ListParagraph"/>
        <w:numPr>
          <w:ilvl w:val="0"/>
          <w:numId w:val="2"/>
        </w:numPr>
        <w:spacing w:after="60" w:before="60"/>
      </w:pPr>
      <w:r>
        <w:rPr>
          <w:rFonts w:ascii="Arial" w:cs="Arial" w:eastAsia="Arial" w:hAnsi="Arial"/>
          <w:sz w:val="22"/>
          <w:szCs w:val="22"/>
        </w:rPr>
        <w:t xml:space="preserve">Collateral charge mortgages cannot be assigned to a new lender; they require full discharge and re-registration</w:t>
      </w:r>
    </w:p>
    <w:p>
      <w:pPr>
        <w:pStyle w:val="ListParagraph"/>
        <w:numPr>
          <w:ilvl w:val="0"/>
          <w:numId w:val="2"/>
        </w:numPr>
        <w:spacing w:after="60" w:before="60"/>
      </w:pPr>
      <w:r>
        <w:rPr>
          <w:rFonts w:ascii="Arial" w:cs="Arial" w:eastAsia="Arial" w:hAnsi="Arial"/>
          <w:sz w:val="22"/>
          <w:szCs w:val="22"/>
        </w:rPr>
        <w:t xml:space="preserve">This creates legal fees similar to a refinance when switching a collateral charge</w:t>
      </w:r>
    </w:p>
    <w:p>
      <w:pPr>
        <w:pStyle w:val="ListParagraph"/>
        <w:numPr>
          <w:ilvl w:val="0"/>
          <w:numId w:val="2"/>
        </w:numPr>
        <w:spacing w:after="60" w:before="60"/>
      </w:pPr>
      <w:r>
        <w:rPr>
          <w:rFonts w:ascii="Arial" w:cs="Arial" w:eastAsia="Arial" w:hAnsi="Arial"/>
          <w:sz w:val="22"/>
          <w:szCs w:val="22"/>
        </w:rPr>
        <w:t xml:space="preserve">Some incoming lenders offer title fee rebates ($500 to $1,500) to offset these costs and win the switch business</w:t>
      </w:r>
    </w:p>
    <w:p>
      <w:pPr>
        <w:pStyle w:val="ListParagraph"/>
        <w:numPr>
          <w:ilvl w:val="0"/>
          <w:numId w:val="2"/>
        </w:numPr>
        <w:spacing w:after="60" w:before="60"/>
      </w:pPr>
      <w:r>
        <w:rPr>
          <w:rFonts w:ascii="Arial" w:cs="Arial" w:eastAsia="Arial" w:hAnsi="Arial"/>
          <w:sz w:val="22"/>
          <w:szCs w:val="22"/>
        </w:rPr>
        <w:t xml:space="preserve">Properties with a tax lien cannot be switched until the arrears are fully paid</w:t>
      </w:r>
    </w:p>
    <w:p>
      <w:pPr>
        <w:pStyle w:val="ListParagraph"/>
        <w:numPr>
          <w:ilvl w:val="0"/>
          <w:numId w:val="2"/>
        </w:numPr>
        <w:spacing w:after="60" w:before="60"/>
      </w:pPr>
      <w:r>
        <w:rPr>
          <w:rFonts w:ascii="Arial" w:cs="Arial" w:eastAsia="Arial" w:hAnsi="Arial"/>
          <w:sz w:val="22"/>
          <w:szCs w:val="22"/>
        </w:rPr>
        <w:t xml:space="preserve">Home insurance Loss Payable clause must be updated to name the incoming lender before closing</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8. Construction Loans - Canada and Ontario</w:t>
      </w:r>
    </w:p>
    <w:p>
      <w:pPr>
        <w:pStyle w:val="Heading2"/>
        <w:spacing w:after="100" w:before="280"/>
      </w:pPr>
      <w:r>
        <w:rPr>
          <w:rFonts w:ascii="Arial" w:cs="Arial" w:eastAsia="Arial" w:hAnsi="Arial"/>
          <w:b/>
          <w:bCs/>
          <w:color w:val="0a5c7a"/>
          <w:sz w:val="26"/>
          <w:szCs w:val="26"/>
        </w:rPr>
        <w:t xml:space="preserve">How Construction Financing Works</w:t>
      </w:r>
    </w:p>
    <w:p>
      <w:pPr>
        <w:pStyle w:val="ListParagraph"/>
        <w:numPr>
          <w:ilvl w:val="0"/>
          <w:numId w:val="2"/>
        </w:numPr>
        <w:spacing w:after="60" w:before="60"/>
      </w:pPr>
      <w:r>
        <w:rPr>
          <w:rFonts w:ascii="Arial" w:cs="Arial" w:eastAsia="Arial" w:hAnsi="Arial"/>
          <w:sz w:val="22"/>
          <w:szCs w:val="22"/>
        </w:rPr>
        <w:t xml:space="preserve">Funds are advanced in stages (draws) tied to independently inspected construction milestones</w:t>
      </w:r>
    </w:p>
    <w:p>
      <w:pPr>
        <w:pStyle w:val="ListParagraph"/>
        <w:numPr>
          <w:ilvl w:val="0"/>
          <w:numId w:val="2"/>
        </w:numPr>
        <w:spacing w:after="60" w:before="60"/>
      </w:pPr>
      <w:r>
        <w:rPr>
          <w:rFonts w:ascii="Arial" w:cs="Arial" w:eastAsia="Arial" w:hAnsi="Arial"/>
          <w:sz w:val="22"/>
          <w:szCs w:val="22"/>
        </w:rPr>
        <w:t xml:space="preserve">During the build phase, the borrower makes interest-only payments calculated on the drawn balance only, not the full approved amount</w:t>
      </w:r>
    </w:p>
    <w:p>
      <w:pPr>
        <w:pStyle w:val="ListParagraph"/>
        <w:numPr>
          <w:ilvl w:val="0"/>
          <w:numId w:val="2"/>
        </w:numPr>
        <w:spacing w:after="60" w:before="60"/>
      </w:pPr>
      <w:r>
        <w:rPr>
          <w:rFonts w:ascii="Arial" w:cs="Arial" w:eastAsia="Arial" w:hAnsi="Arial"/>
          <w:sz w:val="22"/>
          <w:szCs w:val="22"/>
        </w:rPr>
        <w:t xml:space="preserve">The construction loan converts to a standard amortizing mortgage upon project completion</w:t>
      </w:r>
    </w:p>
    <w:p>
      <w:pPr>
        <w:pStyle w:val="ListParagraph"/>
        <w:numPr>
          <w:ilvl w:val="0"/>
          <w:numId w:val="2"/>
        </w:numPr>
        <w:spacing w:after="60" w:before="60"/>
      </w:pPr>
      <w:r>
        <w:rPr>
          <w:rFonts w:ascii="Arial" w:cs="Arial" w:eastAsia="Arial" w:hAnsi="Arial"/>
          <w:sz w:val="22"/>
          <w:szCs w:val="22"/>
        </w:rPr>
        <w:t xml:space="preserve">Typical draw schedule: Foundation (15 to 20%), Lock-Up (35 to 50%), Drywall/Detail (65 to 75%), Completion (95 to 100%)</w:t>
      </w:r>
    </w:p>
    <w:p>
      <w:pPr>
        <w:pStyle w:val="ListParagraph"/>
        <w:numPr>
          <w:ilvl w:val="0"/>
          <w:numId w:val="2"/>
        </w:numPr>
        <w:spacing w:after="60" w:before="60"/>
      </w:pPr>
      <w:r>
        <w:rPr>
          <w:rFonts w:ascii="Arial" w:cs="Arial" w:eastAsia="Arial" w:hAnsi="Arial"/>
          <w:sz w:val="22"/>
          <w:szCs w:val="22"/>
        </w:rPr>
        <w:t xml:space="preserve">Ontario Construction Act mandates a 10% holdback on every draw advance, released 60 days after substantial completion with a clean lien search</w:t>
      </w:r>
    </w:p>
    <w:p>
      <w:pPr>
        <w:pStyle w:val="ListParagraph"/>
        <w:numPr>
          <w:ilvl w:val="0"/>
          <w:numId w:val="2"/>
        </w:numPr>
        <w:spacing w:after="60" w:before="60"/>
      </w:pPr>
      <w:r>
        <w:rPr>
          <w:rFonts w:ascii="Arial" w:cs="Arial" w:eastAsia="Arial" w:hAnsi="Arial"/>
          <w:sz w:val="22"/>
          <w:szCs w:val="22"/>
        </w:rPr>
        <w:t xml:space="preserve">Course of Construction (COC) insurance, also called Builder's Risk Insurance, is mandatory throughout the build</w:t>
      </w:r>
    </w:p>
    <w:p>
      <w:pPr>
        <w:pStyle w:val="Heading2"/>
        <w:spacing w:after="100" w:before="280"/>
      </w:pPr>
      <w:r>
        <w:rPr>
          <w:rFonts w:ascii="Arial" w:cs="Arial" w:eastAsia="Arial" w:hAnsi="Arial"/>
          <w:b/>
          <w:bCs/>
          <w:color w:val="0a5c7a"/>
          <w:sz w:val="26"/>
          <w:szCs w:val="26"/>
        </w:rPr>
        <w:t xml:space="preserve">Lender Requirements</w:t>
      </w:r>
    </w:p>
    <w:p>
      <w:pPr>
        <w:pStyle w:val="ListParagraph"/>
        <w:numPr>
          <w:ilvl w:val="0"/>
          <w:numId w:val="2"/>
        </w:numPr>
        <w:spacing w:after="60" w:before="60"/>
      </w:pPr>
      <w:r>
        <w:rPr>
          <w:rFonts w:ascii="Arial" w:cs="Arial" w:eastAsia="Arial" w:hAnsi="Arial"/>
          <w:sz w:val="22"/>
          <w:szCs w:val="22"/>
        </w:rPr>
        <w:t xml:space="preserve">Approved architectural plans and an official Ontario building permit must be in hand before the lender will approve the loan</w:t>
      </w:r>
    </w:p>
    <w:p>
      <w:pPr>
        <w:pStyle w:val="ListParagraph"/>
        <w:numPr>
          <w:ilvl w:val="0"/>
          <w:numId w:val="2"/>
        </w:numPr>
        <w:spacing w:after="60" w:before="60"/>
      </w:pPr>
      <w:r>
        <w:rPr>
          <w:rFonts w:ascii="Arial" w:cs="Arial" w:eastAsia="Arial" w:hAnsi="Arial"/>
          <w:sz w:val="22"/>
          <w:szCs w:val="22"/>
        </w:rPr>
        <w:t xml:space="preserve">Fixed-price construction contract is strongly preferred over cost-plus arrangements</w:t>
      </w:r>
    </w:p>
    <w:p>
      <w:pPr>
        <w:pStyle w:val="ListParagraph"/>
        <w:numPr>
          <w:ilvl w:val="0"/>
          <w:numId w:val="2"/>
        </w:numPr>
        <w:spacing w:after="60" w:before="60"/>
      </w:pPr>
      <w:r>
        <w:rPr>
          <w:rFonts w:ascii="Arial" w:cs="Arial" w:eastAsia="Arial" w:hAnsi="Arial"/>
          <w:sz w:val="22"/>
          <w:szCs w:val="22"/>
        </w:rPr>
        <w:t xml:space="preserve">As-Complete appraisal: an upfront estimate of the property's value once 100% finished</w:t>
      </w:r>
    </w:p>
    <w:p>
      <w:pPr>
        <w:pStyle w:val="ListParagraph"/>
        <w:numPr>
          <w:ilvl w:val="0"/>
          <w:numId w:val="2"/>
        </w:numPr>
        <w:spacing w:after="60" w:before="60"/>
      </w:pPr>
      <w:r>
        <w:rPr>
          <w:rFonts w:ascii="Arial" w:cs="Arial" w:eastAsia="Arial" w:hAnsi="Arial"/>
          <w:sz w:val="22"/>
          <w:szCs w:val="22"/>
        </w:rPr>
        <w:t xml:space="preserve">Contingency reserve of 10% to 20% of total build cost must be held in liquid form by the borrower</w:t>
      </w:r>
    </w:p>
    <w:p>
      <w:pPr>
        <w:pStyle w:val="ListParagraph"/>
        <w:numPr>
          <w:ilvl w:val="0"/>
          <w:numId w:val="2"/>
        </w:numPr>
        <w:spacing w:after="60" w:before="60"/>
      </w:pPr>
      <w:r>
        <w:rPr>
          <w:rFonts w:ascii="Arial" w:cs="Arial" w:eastAsia="Arial" w:hAnsi="Arial"/>
          <w:sz w:val="22"/>
          <w:szCs w:val="22"/>
        </w:rPr>
        <w:t xml:space="preserve">Builder must be registered with Tarion for institutional lenders to fund a builder-led project</w:t>
      </w:r>
    </w:p>
    <w:p>
      <w:pPr>
        <w:pStyle w:val="ListParagraph"/>
        <w:numPr>
          <w:ilvl w:val="0"/>
          <w:numId w:val="2"/>
        </w:numPr>
        <w:spacing w:after="60" w:before="60"/>
      </w:pPr>
      <w:r>
        <w:rPr>
          <w:rFonts w:ascii="Arial" w:cs="Arial" w:eastAsia="Arial" w:hAnsi="Arial"/>
          <w:sz w:val="22"/>
          <w:szCs w:val="22"/>
        </w:rPr>
        <w:t xml:space="preserve">Self-builds require an Owner-Builder exemption certificate from Tarion</w:t>
      </w:r>
    </w:p>
    <w:p>
      <w:pPr>
        <w:pStyle w:val="ListParagraph"/>
        <w:numPr>
          <w:ilvl w:val="0"/>
          <w:numId w:val="2"/>
        </w:numPr>
        <w:spacing w:after="60" w:before="60"/>
      </w:pPr>
      <w:r>
        <w:rPr>
          <w:rFonts w:ascii="Arial" w:cs="Arial" w:eastAsia="Arial" w:hAnsi="Arial"/>
          <w:sz w:val="22"/>
          <w:szCs w:val="22"/>
        </w:rPr>
        <w:t xml:space="preserve">Maximum institutional Loan-to-Cost: 75% to 80% of total project cost</w:t>
      </w:r>
    </w:p>
    <w:p>
      <w:pPr>
        <w:pStyle w:val="ListParagraph"/>
        <w:numPr>
          <w:ilvl w:val="0"/>
          <w:numId w:val="2"/>
        </w:numPr>
        <w:spacing w:after="60" w:before="60"/>
      </w:pPr>
      <w:r>
        <w:rPr>
          <w:rFonts w:ascii="Arial" w:cs="Arial" w:eastAsia="Arial" w:hAnsi="Arial"/>
          <w:sz w:val="22"/>
          <w:szCs w:val="22"/>
        </w:rPr>
        <w:t xml:space="preserve">Soft costs (architectural fees, permits, engineering, legal) must be paid by the borrower before the mortgage onboards</w:t>
      </w:r>
    </w:p>
    <w:p>
      <w:pPr>
        <w:pStyle w:val="ListParagraph"/>
        <w:numPr>
          <w:ilvl w:val="0"/>
          <w:numId w:val="2"/>
        </w:numPr>
        <w:spacing w:after="60" w:before="60"/>
      </w:pPr>
      <w:r>
        <w:rPr>
          <w:rFonts w:ascii="Arial" w:cs="Arial" w:eastAsia="Arial" w:hAnsi="Arial"/>
          <w:sz w:val="22"/>
          <w:szCs w:val="22"/>
        </w:rPr>
        <w:t xml:space="preserve">Construction lien on title freezes all future draw advances until the dispute is resolved</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9. Self-Employed Mortgages - Canada and Ontario</w:t>
      </w:r>
    </w:p>
    <w:p>
      <w:pPr>
        <w:pStyle w:val="Heading2"/>
        <w:spacing w:after="100" w:before="280"/>
      </w:pPr>
      <w:r>
        <w:rPr>
          <w:rFonts w:ascii="Arial" w:cs="Arial" w:eastAsia="Arial" w:hAnsi="Arial"/>
          <w:b/>
          <w:bCs/>
          <w:color w:val="0a5c7a"/>
          <w:sz w:val="26"/>
          <w:szCs w:val="26"/>
        </w:rPr>
        <w:t xml:space="preserve">Why Self-Employed Qualification Is Different</w:t>
      </w:r>
    </w:p>
    <w:p>
      <w:pPr>
        <w:pStyle w:val="ListParagraph"/>
        <w:numPr>
          <w:ilvl w:val="0"/>
          <w:numId w:val="2"/>
        </w:numPr>
        <w:spacing w:after="60" w:before="60"/>
      </w:pPr>
      <w:r>
        <w:rPr>
          <w:rFonts w:ascii="Arial" w:cs="Arial" w:eastAsia="Arial" w:hAnsi="Arial"/>
          <w:sz w:val="22"/>
          <w:szCs w:val="22"/>
        </w:rPr>
        <w:t xml:space="preserve">Business owners use legal write-offs to reduce taxable income, which lowers Line 15000 on the T1 General used by bank software to calculate borrowing capacity</w:t>
      </w:r>
    </w:p>
    <w:p>
      <w:pPr>
        <w:pStyle w:val="ListParagraph"/>
        <w:numPr>
          <w:ilvl w:val="0"/>
          <w:numId w:val="2"/>
        </w:numPr>
        <w:spacing w:after="60" w:before="60"/>
      </w:pPr>
      <w:r>
        <w:rPr>
          <w:rFonts w:ascii="Arial" w:cs="Arial" w:eastAsia="Arial" w:hAnsi="Arial"/>
          <w:sz w:val="22"/>
          <w:szCs w:val="22"/>
        </w:rPr>
        <w:t xml:space="preserve">This creates a gap between what the business actually generates and what the tax return declares</w:t>
      </w:r>
    </w:p>
    <w:p>
      <w:pPr>
        <w:pStyle w:val="ListParagraph"/>
        <w:numPr>
          <w:ilvl w:val="0"/>
          <w:numId w:val="2"/>
        </w:numPr>
        <w:spacing w:after="60" w:before="60"/>
      </w:pPr>
      <w:r>
        <w:rPr>
          <w:rFonts w:ascii="Arial" w:cs="Arial" w:eastAsia="Arial" w:hAnsi="Arial"/>
          <w:sz w:val="22"/>
          <w:szCs w:val="22"/>
        </w:rPr>
        <w:t xml:space="preserve">In 2026, many A Lenders tightened requirements, demanding corporate financial statements even from sole proprietors and extending minimum business history from 2 to 3 years</w:t>
      </w:r>
    </w:p>
    <w:p>
      <w:pPr>
        <w:pStyle w:val="ListParagraph"/>
        <w:numPr>
          <w:ilvl w:val="0"/>
          <w:numId w:val="2"/>
        </w:numPr>
        <w:spacing w:after="60" w:before="60"/>
      </w:pPr>
      <w:r>
        <w:rPr>
          <w:rFonts w:ascii="Arial" w:cs="Arial" w:eastAsia="Arial" w:hAnsi="Arial"/>
          <w:sz w:val="22"/>
          <w:szCs w:val="22"/>
        </w:rPr>
        <w:t xml:space="preserve">The borrower's relationship with their accountant is critical: the tax strategy that saves money and the mortgage strategy that maximizes borrowing capacity are often in conflict</w:t>
      </w:r>
    </w:p>
    <w:p>
      <w:pPr>
        <w:pStyle w:val="Heading2"/>
        <w:spacing w:after="100" w:before="280"/>
      </w:pPr>
      <w:r>
        <w:rPr>
          <w:rFonts w:ascii="Arial" w:cs="Arial" w:eastAsia="Arial" w:hAnsi="Arial"/>
          <w:b/>
          <w:bCs/>
          <w:color w:val="0a5c7a"/>
          <w:sz w:val="26"/>
          <w:szCs w:val="26"/>
        </w:rPr>
        <w:t xml:space="preserve">Income Documentation Options</w:t>
      </w:r>
    </w:p>
    <w:p>
      <w:pPr>
        <w:pStyle w:val="ListParagraph"/>
        <w:numPr>
          <w:ilvl w:val="0"/>
          <w:numId w:val="2"/>
        </w:numPr>
        <w:spacing w:after="60" w:before="60"/>
      </w:pPr>
      <w:r>
        <w:rPr>
          <w:rFonts w:ascii="Arial" w:cs="Arial" w:eastAsia="Arial" w:hAnsi="Arial"/>
          <w:sz w:val="22"/>
          <w:szCs w:val="22"/>
        </w:rPr>
        <w:t xml:space="preserve">Traditional A Lender: 2 full T1 Generals, 2 NOAs, Articles of Incorporation, and 2 years of CPA-prepared corporate financial statements</w:t>
      </w:r>
    </w:p>
    <w:p>
      <w:pPr>
        <w:pStyle w:val="ListParagraph"/>
        <w:numPr>
          <w:ilvl w:val="0"/>
          <w:numId w:val="2"/>
        </w:numPr>
        <w:spacing w:after="60" w:before="60"/>
      </w:pPr>
      <w:r>
        <w:rPr>
          <w:rFonts w:ascii="Arial" w:cs="Arial" w:eastAsia="Arial" w:hAnsi="Arial"/>
          <w:sz w:val="22"/>
          <w:szCs w:val="22"/>
        </w:rPr>
        <w:t xml:space="preserve">Bank statement program (B Lender): 12 to 24 months of continuous business bank statements, ignoring tax filings entirely</w:t>
      </w:r>
    </w:p>
    <w:p>
      <w:pPr>
        <w:pStyle w:val="ListParagraph"/>
        <w:numPr>
          <w:ilvl w:val="0"/>
          <w:numId w:val="2"/>
        </w:numPr>
        <w:spacing w:after="60" w:before="60"/>
      </w:pPr>
      <w:r>
        <w:rPr>
          <w:rFonts w:ascii="Arial" w:cs="Arial" w:eastAsia="Arial" w:hAnsi="Arial"/>
          <w:sz w:val="22"/>
          <w:szCs w:val="22"/>
        </w:rPr>
        <w:t xml:space="preserve">Stated income program: declared reasonable income confirmed by a reasonableness test against industry benchmarks</w:t>
      </w:r>
    </w:p>
    <w:p>
      <w:pPr>
        <w:pStyle w:val="ListParagraph"/>
        <w:numPr>
          <w:ilvl w:val="0"/>
          <w:numId w:val="2"/>
        </w:numPr>
        <w:spacing w:after="60" w:before="60"/>
      </w:pPr>
      <w:r>
        <w:rPr>
          <w:rFonts w:ascii="Arial" w:cs="Arial" w:eastAsia="Arial" w:hAnsi="Arial"/>
          <w:sz w:val="22"/>
          <w:szCs w:val="22"/>
        </w:rPr>
        <w:t xml:space="preserve">Add-backs: non-cash expenses like depreciation, vehicle amortization, business-use-of-home can be added back to net income by alternative lenders</w:t>
      </w:r>
    </w:p>
    <w:p>
      <w:pPr>
        <w:pStyle w:val="ListParagraph"/>
        <w:numPr>
          <w:ilvl w:val="0"/>
          <w:numId w:val="2"/>
        </w:numPr>
        <w:spacing w:after="60" w:before="60"/>
      </w:pPr>
      <w:r>
        <w:rPr>
          <w:rFonts w:ascii="Arial" w:cs="Arial" w:eastAsia="Arial" w:hAnsi="Arial"/>
          <w:sz w:val="22"/>
          <w:szCs w:val="22"/>
        </w:rPr>
        <w:t xml:space="preserve">CPA letter: formal letter from accountant confirming business legitimacy, ownership percentage, and declared income accuracy</w:t>
      </w:r>
    </w:p>
    <w:p>
      <w:pPr>
        <w:pStyle w:val="ListParagraph"/>
        <w:numPr>
          <w:ilvl w:val="0"/>
          <w:numId w:val="2"/>
        </w:numPr>
        <w:spacing w:after="60" w:before="60"/>
      </w:pPr>
      <w:r>
        <w:rPr>
          <w:rFonts w:ascii="Arial" w:cs="Arial" w:eastAsia="Arial" w:hAnsi="Arial"/>
          <w:sz w:val="22"/>
          <w:szCs w:val="22"/>
        </w:rPr>
        <w:t xml:space="preserve">GST/HST returns are cross-referenced against bank statement deposits to verify sales volumes</w:t>
      </w:r>
    </w:p>
    <w:p>
      <w:pPr>
        <w:pStyle w:val="ListParagraph"/>
        <w:numPr>
          <w:ilvl w:val="0"/>
          <w:numId w:val="2"/>
        </w:numPr>
        <w:spacing w:after="60" w:before="60"/>
      </w:pPr>
      <w:r>
        <w:rPr>
          <w:rFonts w:ascii="Arial" w:cs="Arial" w:eastAsia="Arial" w:hAnsi="Arial"/>
          <w:sz w:val="22"/>
          <w:szCs w:val="22"/>
        </w:rPr>
        <w:t xml:space="preserve">Dividend income from a corporation is acceptable if consistent and documented through T1 Generals over 2 years</w:t>
      </w:r>
    </w:p>
    <w:p>
      <w:pPr>
        <w:pStyle w:val="ListParagraph"/>
        <w:numPr>
          <w:ilvl w:val="0"/>
          <w:numId w:val="2"/>
        </w:numPr>
        <w:spacing w:after="60" w:before="60"/>
      </w:pPr>
      <w:r>
        <w:rPr>
          <w:rFonts w:ascii="Arial" w:cs="Arial" w:eastAsia="Arial" w:hAnsi="Arial"/>
          <w:sz w:val="22"/>
          <w:szCs w:val="22"/>
        </w:rPr>
        <w:t xml:space="preserve">T4A slips from contract work are averaged over a 2-year window to establish qualifying income</w:t>
      </w:r>
    </w:p>
    <w:p>
      <w:pPr>
        <w:pStyle w:val="Heading2"/>
        <w:spacing w:after="100" w:before="280"/>
      </w:pPr>
      <w:r>
        <w:rPr>
          <w:rFonts w:ascii="Arial" w:cs="Arial" w:eastAsia="Arial" w:hAnsi="Arial"/>
          <w:b/>
          <w:bCs/>
          <w:color w:val="0a5c7a"/>
          <w:sz w:val="26"/>
          <w:szCs w:val="26"/>
        </w:rPr>
        <w:t xml:space="preserve">Key Rules and Thresholds</w:t>
      </w:r>
    </w:p>
    <w:p>
      <w:pPr>
        <w:pStyle w:val="ListParagraph"/>
        <w:numPr>
          <w:ilvl w:val="0"/>
          <w:numId w:val="2"/>
        </w:numPr>
        <w:spacing w:after="60" w:before="60"/>
      </w:pPr>
      <w:r>
        <w:rPr>
          <w:rFonts w:ascii="Arial" w:cs="Arial" w:eastAsia="Arial" w:hAnsi="Arial"/>
          <w:sz w:val="22"/>
          <w:szCs w:val="22"/>
        </w:rPr>
        <w:t xml:space="preserve">Minimum 2 years of continuous self-employed history required by most A Lenders; some tightened to 3 years in 2026</w:t>
      </w:r>
    </w:p>
    <w:p>
      <w:pPr>
        <w:pStyle w:val="ListParagraph"/>
        <w:numPr>
          <w:ilvl w:val="0"/>
          <w:numId w:val="2"/>
        </w:numPr>
        <w:spacing w:after="60" w:before="60"/>
      </w:pPr>
      <w:r>
        <w:rPr>
          <w:rFonts w:ascii="Arial" w:cs="Arial" w:eastAsia="Arial" w:hAnsi="Arial"/>
          <w:sz w:val="22"/>
          <w:szCs w:val="22"/>
        </w:rPr>
        <w:t xml:space="preserve">Stated income programs require a minimum 20% down payment; no insured options</w:t>
      </w:r>
    </w:p>
    <w:p>
      <w:pPr>
        <w:pStyle w:val="ListParagraph"/>
        <w:numPr>
          <w:ilvl w:val="0"/>
          <w:numId w:val="2"/>
        </w:numPr>
        <w:spacing w:after="60" w:before="60"/>
      </w:pPr>
      <w:r>
        <w:rPr>
          <w:rFonts w:ascii="Arial" w:cs="Arial" w:eastAsia="Arial" w:hAnsi="Arial"/>
          <w:sz w:val="22"/>
          <w:szCs w:val="22"/>
        </w:rPr>
        <w:t xml:space="preserve">Under 12 months of self-employment: private mortgage or asset-based program only, unless moving from a senior T4 role in the exact same field with signed contracts</w:t>
      </w:r>
    </w:p>
    <w:p>
      <w:pPr>
        <w:pStyle w:val="ListParagraph"/>
        <w:numPr>
          <w:ilvl w:val="0"/>
          <w:numId w:val="2"/>
        </w:numPr>
        <w:spacing w:after="60" w:before="60"/>
      </w:pPr>
      <w:r>
        <w:rPr>
          <w:rFonts w:ascii="Arial" w:cs="Arial" w:eastAsia="Arial" w:hAnsi="Arial"/>
          <w:sz w:val="22"/>
          <w:szCs w:val="22"/>
        </w:rPr>
        <w:t xml:space="preserve">CRA balance owing on NOA: A Lenders halt the application immediately; the balance must be cleared before closing</w:t>
      </w:r>
    </w:p>
    <w:p>
      <w:pPr>
        <w:pStyle w:val="ListParagraph"/>
        <w:numPr>
          <w:ilvl w:val="0"/>
          <w:numId w:val="2"/>
        </w:numPr>
        <w:spacing w:after="60" w:before="60"/>
      </w:pPr>
      <w:r>
        <w:rPr>
          <w:rFonts w:ascii="Arial" w:cs="Arial" w:eastAsia="Arial" w:hAnsi="Arial"/>
          <w:sz w:val="22"/>
          <w:szCs w:val="22"/>
        </w:rPr>
        <w:t xml:space="preserve">Active CRA audit: lenders pause underwriting until the audit is resolved and a clean clearance is issued</w:t>
      </w:r>
    </w:p>
    <w:p>
      <w:pPr>
        <w:pStyle w:val="ListParagraph"/>
        <w:numPr>
          <w:ilvl w:val="0"/>
          <w:numId w:val="2"/>
        </w:numPr>
        <w:spacing w:after="60" w:before="60"/>
      </w:pPr>
      <w:r>
        <w:rPr>
          <w:rFonts w:ascii="Arial" w:cs="Arial" w:eastAsia="Arial" w:hAnsi="Arial"/>
          <w:sz w:val="22"/>
          <w:szCs w:val="22"/>
        </w:rPr>
        <w:t xml:space="preserve">TDS cap at major A Lenders for self-employed borrowers was reduced to approximately 42% in 2026</w:t>
      </w:r>
    </w:p>
    <w:p>
      <w:pPr>
        <w:pStyle w:val="ListParagraph"/>
        <w:numPr>
          <w:ilvl w:val="0"/>
          <w:numId w:val="2"/>
        </w:numPr>
        <w:spacing w:after="60" w:before="60"/>
      </w:pPr>
      <w:r>
        <w:rPr>
          <w:rFonts w:ascii="Arial" w:cs="Arial" w:eastAsia="Arial" w:hAnsi="Arial"/>
          <w:sz w:val="22"/>
          <w:szCs w:val="22"/>
        </w:rPr>
        <w:t xml:space="preserve">B Lender bank statement programs carry a rate premium of 0.50% to 1.25% above standard prime rates</w:t>
      </w:r>
    </w:p>
    <w:p>
      <w:pPr>
        <w:pStyle w:val="ListParagraph"/>
        <w:numPr>
          <w:ilvl w:val="0"/>
          <w:numId w:val="2"/>
        </w:numPr>
        <w:spacing w:after="60" w:before="60"/>
      </w:pPr>
      <w:r>
        <w:rPr>
          <w:rFonts w:ascii="Arial" w:cs="Arial" w:eastAsia="Arial" w:hAnsi="Arial"/>
          <w:sz w:val="22"/>
          <w:szCs w:val="22"/>
        </w:rPr>
        <w:t xml:space="preserve">Incorporation alone does not guarantee easier qualification; personal income still drives most lender calculations</w:t>
      </w:r>
    </w:p>
    <w:p>
      <w:pPr>
        <w:pStyle w:val="Heading2"/>
        <w:spacing w:after="100" w:before="280"/>
      </w:pPr>
      <w:r>
        <w:rPr>
          <w:rFonts w:ascii="Arial" w:cs="Arial" w:eastAsia="Arial" w:hAnsi="Arial"/>
          <w:b/>
          <w:bCs/>
          <w:color w:val="0a5c7a"/>
          <w:sz w:val="26"/>
          <w:szCs w:val="26"/>
        </w:rPr>
        <w:t xml:space="preserve">Practical Tips for Self-Employed Borrowers</w:t>
      </w:r>
    </w:p>
    <w:p>
      <w:pPr>
        <w:pStyle w:val="ListParagraph"/>
        <w:numPr>
          <w:ilvl w:val="0"/>
          <w:numId w:val="2"/>
        </w:numPr>
        <w:spacing w:after="60" w:before="60"/>
      </w:pPr>
      <w:r>
        <w:rPr>
          <w:rFonts w:ascii="Arial" w:cs="Arial" w:eastAsia="Arial" w:hAnsi="Arial"/>
          <w:sz w:val="22"/>
          <w:szCs w:val="22"/>
        </w:rPr>
        <w:t xml:space="preserve">Start preparing 6 to 12 months before house hunting: audit bank accounts, file overdue returns, reduce CRA exposure</w:t>
      </w:r>
    </w:p>
    <w:p>
      <w:pPr>
        <w:pStyle w:val="ListParagraph"/>
        <w:numPr>
          <w:ilvl w:val="0"/>
          <w:numId w:val="2"/>
        </w:numPr>
        <w:spacing w:after="60" w:before="60"/>
      </w:pPr>
      <w:r>
        <w:rPr>
          <w:rFonts w:ascii="Arial" w:cs="Arial" w:eastAsia="Arial" w:hAnsi="Arial"/>
          <w:sz w:val="22"/>
          <w:szCs w:val="22"/>
        </w:rPr>
        <w:t xml:space="preserve">Maintain a completely separate business bank account from personal accounts</w:t>
      </w:r>
    </w:p>
    <w:p>
      <w:pPr>
        <w:pStyle w:val="ListParagraph"/>
        <w:numPr>
          <w:ilvl w:val="0"/>
          <w:numId w:val="2"/>
        </w:numPr>
        <w:spacing w:after="60" w:before="60"/>
      </w:pPr>
      <w:r>
        <w:rPr>
          <w:rFonts w:ascii="Arial" w:cs="Arial" w:eastAsia="Arial" w:hAnsi="Arial"/>
          <w:sz w:val="22"/>
          <w:szCs w:val="22"/>
        </w:rPr>
        <w:t xml:space="preserve">Income smoothing: pay a steady T4 salary or consistent dividends from the corporation for 24 months before applying</w:t>
      </w:r>
    </w:p>
    <w:p>
      <w:pPr>
        <w:pStyle w:val="ListParagraph"/>
        <w:numPr>
          <w:ilvl w:val="0"/>
          <w:numId w:val="2"/>
        </w:numPr>
        <w:spacing w:after="60" w:before="60"/>
      </w:pPr>
      <w:r>
        <w:rPr>
          <w:rFonts w:ascii="Arial" w:cs="Arial" w:eastAsia="Arial" w:hAnsi="Arial"/>
          <w:sz w:val="22"/>
          <w:szCs w:val="22"/>
        </w:rPr>
        <w:t xml:space="preserve">Keep business savings accounts for HST and corporate tax reserves; this demonstrates financial discipline to underwriters</w:t>
      </w:r>
    </w:p>
    <w:p>
      <w:pPr>
        <w:pStyle w:val="ListParagraph"/>
        <w:numPr>
          <w:ilvl w:val="0"/>
          <w:numId w:val="2"/>
        </w:numPr>
        <w:spacing w:after="60" w:before="60"/>
      </w:pPr>
      <w:r>
        <w:rPr>
          <w:rFonts w:ascii="Arial" w:cs="Arial" w:eastAsia="Arial" w:hAnsi="Arial"/>
          <w:sz w:val="22"/>
          <w:szCs w:val="22"/>
        </w:rPr>
        <w:t xml:space="preserve">Underwriters Google the business: maintain an active website, Google Business profile, and clean online presence</w:t>
      </w:r>
    </w:p>
    <w:p>
      <w:pPr>
        <w:pStyle w:val="ListParagraph"/>
        <w:numPr>
          <w:ilvl w:val="0"/>
          <w:numId w:val="2"/>
        </w:numPr>
        <w:spacing w:after="60" w:before="60"/>
      </w:pPr>
      <w:r>
        <w:rPr>
          <w:rFonts w:ascii="Arial" w:cs="Arial" w:eastAsia="Arial" w:hAnsi="Arial"/>
          <w:sz w:val="22"/>
          <w:szCs w:val="22"/>
        </w:rPr>
        <w:t xml:space="preserve">Corporate retained earnings can be factored into some alternative lender programs as a stability indicator</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10. Core Mortgage Concepts - Canada and Ontario</w:t>
      </w:r>
    </w:p>
    <w:p>
      <w:pPr>
        <w:pStyle w:val="Heading2"/>
        <w:spacing w:after="100" w:before="280"/>
      </w:pPr>
      <w:r>
        <w:rPr>
          <w:rFonts w:ascii="Arial" w:cs="Arial" w:eastAsia="Arial" w:hAnsi="Arial"/>
          <w:b/>
          <w:bCs/>
          <w:color w:val="0a5c7a"/>
          <w:sz w:val="26"/>
          <w:szCs w:val="26"/>
        </w:rPr>
        <w:t xml:space="preserve">Stress Test</w:t>
      </w:r>
    </w:p>
    <w:p>
      <w:pPr>
        <w:pStyle w:val="ListParagraph"/>
        <w:numPr>
          <w:ilvl w:val="0"/>
          <w:numId w:val="2"/>
        </w:numPr>
        <w:spacing w:after="60" w:before="60"/>
      </w:pPr>
      <w:r>
        <w:rPr>
          <w:rFonts w:ascii="Arial" w:cs="Arial" w:eastAsia="Arial" w:hAnsi="Arial"/>
          <w:sz w:val="22"/>
          <w:szCs w:val="22"/>
        </w:rPr>
        <w:t xml:space="preserve">The OSFI B-20 stress test requires borrowers to qualify at their contract rate plus 2%, or 5.25%, whichever is higher</w:t>
      </w:r>
    </w:p>
    <w:p>
      <w:pPr>
        <w:pStyle w:val="ListParagraph"/>
        <w:numPr>
          <w:ilvl w:val="0"/>
          <w:numId w:val="2"/>
        </w:numPr>
        <w:spacing w:after="60" w:before="60"/>
      </w:pPr>
      <w:r>
        <w:rPr>
          <w:rFonts w:ascii="Arial" w:cs="Arial" w:eastAsia="Arial" w:hAnsi="Arial"/>
          <w:sz w:val="22"/>
          <w:szCs w:val="22"/>
        </w:rPr>
        <w:t xml:space="preserve">Applies to all purchases and refinances at federally regulated lenders</w:t>
      </w:r>
    </w:p>
    <w:p>
      <w:pPr>
        <w:pStyle w:val="ListParagraph"/>
        <w:numPr>
          <w:ilvl w:val="0"/>
          <w:numId w:val="2"/>
        </w:numPr>
        <w:spacing w:after="60" w:before="60"/>
      </w:pPr>
      <w:r>
        <w:rPr>
          <w:rFonts w:ascii="Arial" w:cs="Arial" w:eastAsia="Arial" w:hAnsi="Arial"/>
          <w:sz w:val="22"/>
          <w:szCs w:val="22"/>
        </w:rPr>
        <w:t xml:space="preserve">Exempt: straight switches at renewal, credit unions (provincially regulated), private lenders</w:t>
      </w:r>
    </w:p>
    <w:p>
      <w:pPr>
        <w:pStyle w:val="ListParagraph"/>
        <w:numPr>
          <w:ilvl w:val="0"/>
          <w:numId w:val="2"/>
        </w:numPr>
        <w:spacing w:after="60" w:before="60"/>
      </w:pPr>
      <w:r>
        <w:rPr>
          <w:rFonts w:ascii="Arial" w:cs="Arial" w:eastAsia="Arial" w:hAnsi="Arial"/>
          <w:sz w:val="22"/>
          <w:szCs w:val="22"/>
        </w:rPr>
        <w:t xml:space="preserve">GDS cap: 39% for insured mortgages</w:t>
      </w:r>
    </w:p>
    <w:p>
      <w:pPr>
        <w:pStyle w:val="ListParagraph"/>
        <w:numPr>
          <w:ilvl w:val="0"/>
          <w:numId w:val="2"/>
        </w:numPr>
        <w:spacing w:after="60" w:before="60"/>
      </w:pPr>
      <w:r>
        <w:rPr>
          <w:rFonts w:ascii="Arial" w:cs="Arial" w:eastAsia="Arial" w:hAnsi="Arial"/>
          <w:sz w:val="22"/>
          <w:szCs w:val="22"/>
        </w:rPr>
        <w:t xml:space="preserve">TDS cap: 44% for insured mortgages</w:t>
      </w:r>
    </w:p>
    <w:p>
      <w:pPr>
        <w:pStyle w:val="Heading2"/>
        <w:spacing w:after="100" w:before="280"/>
      </w:pPr>
      <w:r>
        <w:rPr>
          <w:rFonts w:ascii="Arial" w:cs="Arial" w:eastAsia="Arial" w:hAnsi="Arial"/>
          <w:b/>
          <w:bCs/>
          <w:color w:val="0a5c7a"/>
          <w:sz w:val="26"/>
          <w:szCs w:val="26"/>
        </w:rPr>
        <w:t xml:space="preserve">Fixed vs. Variable Mortgages</w:t>
      </w:r>
    </w:p>
    <w:p>
      <w:pPr>
        <w:pStyle w:val="ListParagraph"/>
        <w:numPr>
          <w:ilvl w:val="0"/>
          <w:numId w:val="2"/>
        </w:numPr>
        <w:spacing w:after="60" w:before="60"/>
      </w:pPr>
      <w:r>
        <w:rPr>
          <w:rFonts w:ascii="Arial" w:cs="Arial" w:eastAsia="Arial" w:hAnsi="Arial"/>
          <w:sz w:val="22"/>
          <w:szCs w:val="22"/>
        </w:rPr>
        <w:t xml:space="preserve">Fixed rate: payment and interest rate unchanged for the full contract term; provides payment certainty</w:t>
      </w:r>
    </w:p>
    <w:p>
      <w:pPr>
        <w:pStyle w:val="ListParagraph"/>
        <w:numPr>
          <w:ilvl w:val="0"/>
          <w:numId w:val="2"/>
        </w:numPr>
        <w:spacing w:after="60" w:before="60"/>
      </w:pPr>
      <w:r>
        <w:rPr>
          <w:rFonts w:ascii="Arial" w:cs="Arial" w:eastAsia="Arial" w:hAnsi="Arial"/>
          <w:sz w:val="22"/>
          <w:szCs w:val="22"/>
        </w:rPr>
        <w:t xml:space="preserve">Variable Rate Mortgage (VRM) with fixed payments: payment stays constant but the split between principal and interest shifts with prime rate changes</w:t>
      </w:r>
    </w:p>
    <w:p>
      <w:pPr>
        <w:pStyle w:val="ListParagraph"/>
        <w:numPr>
          <w:ilvl w:val="0"/>
          <w:numId w:val="2"/>
        </w:numPr>
        <w:spacing w:after="60" w:before="60"/>
      </w:pPr>
      <w:r>
        <w:rPr>
          <w:rFonts w:ascii="Arial" w:cs="Arial" w:eastAsia="Arial" w:hAnsi="Arial"/>
          <w:sz w:val="22"/>
          <w:szCs w:val="22"/>
        </w:rPr>
        <w:t xml:space="preserve">Adjustable Rate Mortgage (ARM): both the rate and the payment adjust automatically when the lender's prime rate changes</w:t>
      </w:r>
    </w:p>
    <w:p>
      <w:pPr>
        <w:pStyle w:val="ListParagraph"/>
        <w:numPr>
          <w:ilvl w:val="0"/>
          <w:numId w:val="2"/>
        </w:numPr>
        <w:spacing w:after="60" w:before="60"/>
      </w:pPr>
      <w:r>
        <w:rPr>
          <w:rFonts w:ascii="Arial" w:cs="Arial" w:eastAsia="Arial" w:hAnsi="Arial"/>
          <w:sz w:val="22"/>
          <w:szCs w:val="22"/>
        </w:rPr>
        <w:t xml:space="preserve">Trigger rate: the point where a fixed-payment VRM's payment no longer covers accruing interest, forcing a payment adjustment</w:t>
      </w:r>
    </w:p>
    <w:p>
      <w:pPr>
        <w:pStyle w:val="ListParagraph"/>
        <w:numPr>
          <w:ilvl w:val="0"/>
          <w:numId w:val="2"/>
        </w:numPr>
        <w:spacing w:after="60" w:before="60"/>
      </w:pPr>
      <w:r>
        <w:rPr>
          <w:rFonts w:ascii="Arial" w:cs="Arial" w:eastAsia="Arial" w:hAnsi="Arial"/>
          <w:sz w:val="22"/>
          <w:szCs w:val="22"/>
        </w:rPr>
        <w:t xml:space="preserve">Variable penalty to exit: 3 months interest; Fixed penalty: greater of 3 months interest or IRD</w:t>
      </w:r>
    </w:p>
    <w:p>
      <w:pPr>
        <w:pStyle w:val="Heading2"/>
        <w:spacing w:after="100" w:before="280"/>
      </w:pPr>
      <w:r>
        <w:rPr>
          <w:rFonts w:ascii="Arial" w:cs="Arial" w:eastAsia="Arial" w:hAnsi="Arial"/>
          <w:b/>
          <w:bCs/>
          <w:color w:val="0a5c7a"/>
          <w:sz w:val="26"/>
          <w:szCs w:val="26"/>
        </w:rPr>
        <w:t xml:space="preserve">Key Terminology</w:t>
      </w:r>
    </w:p>
    <w:p>
      <w:pPr>
        <w:pStyle w:val="ListParagraph"/>
        <w:numPr>
          <w:ilvl w:val="0"/>
          <w:numId w:val="2"/>
        </w:numPr>
        <w:spacing w:after="60" w:before="60"/>
      </w:pPr>
      <w:r>
        <w:rPr>
          <w:rFonts w:ascii="Arial" w:cs="Arial" w:eastAsia="Arial" w:hAnsi="Arial"/>
          <w:sz w:val="22"/>
          <w:szCs w:val="22"/>
        </w:rPr>
        <w:t xml:space="preserve">Amortization: total estimated time to repay the mortgage fully; standard is 25 years, extended to 30 years for eligible insured buyers</w:t>
      </w:r>
    </w:p>
    <w:p>
      <w:pPr>
        <w:pStyle w:val="ListParagraph"/>
        <w:numPr>
          <w:ilvl w:val="0"/>
          <w:numId w:val="2"/>
        </w:numPr>
        <w:spacing w:after="60" w:before="60"/>
      </w:pPr>
      <w:r>
        <w:rPr>
          <w:rFonts w:ascii="Arial" w:cs="Arial" w:eastAsia="Arial" w:hAnsi="Arial"/>
          <w:sz w:val="22"/>
          <w:szCs w:val="22"/>
        </w:rPr>
        <w:t xml:space="preserve">Term: the length of the current rate contract, typically 1 to 5 years</w:t>
      </w:r>
    </w:p>
    <w:p>
      <w:pPr>
        <w:pStyle w:val="ListParagraph"/>
        <w:numPr>
          <w:ilvl w:val="0"/>
          <w:numId w:val="2"/>
        </w:numPr>
        <w:spacing w:after="60" w:before="60"/>
      </w:pPr>
      <w:r>
        <w:rPr>
          <w:rFonts w:ascii="Arial" w:cs="Arial" w:eastAsia="Arial" w:hAnsi="Arial"/>
          <w:sz w:val="22"/>
          <w:szCs w:val="22"/>
        </w:rPr>
        <w:t xml:space="preserve">LTV (Loan-to-Value): mortgage amount as a percentage of the property's appraised value</w:t>
      </w:r>
    </w:p>
    <w:p>
      <w:pPr>
        <w:pStyle w:val="ListParagraph"/>
        <w:numPr>
          <w:ilvl w:val="0"/>
          <w:numId w:val="2"/>
        </w:numPr>
        <w:spacing w:after="60" w:before="60"/>
      </w:pPr>
      <w:r>
        <w:rPr>
          <w:rFonts w:ascii="Arial" w:cs="Arial" w:eastAsia="Arial" w:hAnsi="Arial"/>
          <w:sz w:val="22"/>
          <w:szCs w:val="22"/>
        </w:rPr>
        <w:t xml:space="preserve">GDS (Gross Debt Service): housing costs as a percentage of gross income</w:t>
      </w:r>
    </w:p>
    <w:p>
      <w:pPr>
        <w:pStyle w:val="ListParagraph"/>
        <w:numPr>
          <w:ilvl w:val="0"/>
          <w:numId w:val="2"/>
        </w:numPr>
        <w:spacing w:after="60" w:before="60"/>
      </w:pPr>
      <w:r>
        <w:rPr>
          <w:rFonts w:ascii="Arial" w:cs="Arial" w:eastAsia="Arial" w:hAnsi="Arial"/>
          <w:sz w:val="22"/>
          <w:szCs w:val="22"/>
        </w:rPr>
        <w:t xml:space="preserve">TDS (Total Debt Service): all debt payments including housing as a percentage of gross income</w:t>
      </w:r>
    </w:p>
    <w:p>
      <w:pPr>
        <w:pStyle w:val="ListParagraph"/>
        <w:numPr>
          <w:ilvl w:val="0"/>
          <w:numId w:val="2"/>
        </w:numPr>
        <w:spacing w:after="60" w:before="60"/>
      </w:pPr>
      <w:r>
        <w:rPr>
          <w:rFonts w:ascii="Arial" w:cs="Arial" w:eastAsia="Arial" w:hAnsi="Arial"/>
          <w:sz w:val="22"/>
          <w:szCs w:val="22"/>
        </w:rPr>
        <w:t xml:space="preserve">NOA (Notice of Assessment): CRA document confirming the income reported on a tax return and any balance owing</w:t>
      </w:r>
    </w:p>
    <w:p>
      <w:pPr>
        <w:pStyle w:val="ListParagraph"/>
        <w:numPr>
          <w:ilvl w:val="0"/>
          <w:numId w:val="2"/>
        </w:numPr>
        <w:spacing w:after="60" w:before="60"/>
      </w:pPr>
      <w:r>
        <w:rPr>
          <w:rFonts w:ascii="Arial" w:cs="Arial" w:eastAsia="Arial" w:hAnsi="Arial"/>
          <w:sz w:val="22"/>
          <w:szCs w:val="22"/>
        </w:rPr>
        <w:t xml:space="preserve">HELOC (Home Equity Line of Credit): revolving credit secured against home equity; standalone maximum 65% LTV</w:t>
      </w:r>
    </w:p>
    <w:p>
      <w:pPr>
        <w:pStyle w:val="ListParagraph"/>
        <w:numPr>
          <w:ilvl w:val="0"/>
          <w:numId w:val="2"/>
        </w:numPr>
        <w:spacing w:after="60" w:before="60"/>
      </w:pPr>
      <w:r>
        <w:rPr>
          <w:rFonts w:ascii="Arial" w:cs="Arial" w:eastAsia="Arial" w:hAnsi="Arial"/>
          <w:sz w:val="22"/>
          <w:szCs w:val="22"/>
        </w:rPr>
        <w:t xml:space="preserve">Power of Sale: the most common lender enforcement remedy in Ontario when a borrower defaults</w:t>
      </w:r>
    </w:p>
    <w:p>
      <w:pPr>
        <w:pStyle w:val="ListParagraph"/>
        <w:numPr>
          <w:ilvl w:val="0"/>
          <w:numId w:val="2"/>
        </w:numPr>
        <w:spacing w:after="60" w:before="60"/>
      </w:pPr>
      <w:r>
        <w:rPr>
          <w:rFonts w:ascii="Arial" w:cs="Arial" w:eastAsia="Arial" w:hAnsi="Arial"/>
          <w:sz w:val="22"/>
          <w:szCs w:val="22"/>
        </w:rPr>
        <w:t xml:space="preserve">Collateral charge: mortgage registered for more than the loan amount to allow future lending without re-registration</w:t>
      </w:r>
    </w:p>
    <w:p>
      <w:pPr>
        <w:pStyle w:val="ListParagraph"/>
        <w:numPr>
          <w:ilvl w:val="0"/>
          <w:numId w:val="2"/>
        </w:numPr>
        <w:spacing w:after="60" w:before="60"/>
      </w:pPr>
      <w:r>
        <w:rPr>
          <w:rFonts w:ascii="Arial" w:cs="Arial" w:eastAsia="Arial" w:hAnsi="Arial"/>
          <w:sz w:val="22"/>
          <w:szCs w:val="22"/>
        </w:rPr>
        <w:t xml:space="preserve">Standard charge: mortgage registered for the exact loan amount; can be assigned or switched at renewal</w:t>
      </w:r>
    </w:p>
    <w:p>
      <w:pPr>
        <w:pStyle w:val="ListParagraph"/>
        <w:numPr>
          <w:ilvl w:val="0"/>
          <w:numId w:val="2"/>
        </w:numPr>
        <w:spacing w:after="60" w:before="60"/>
      </w:pPr>
      <w:r>
        <w:rPr>
          <w:rFonts w:ascii="Arial" w:cs="Arial" w:eastAsia="Arial" w:hAnsi="Arial"/>
          <w:sz w:val="22"/>
          <w:szCs w:val="22"/>
        </w:rPr>
        <w:t xml:space="preserve">Bridge loan: short-term financing to cover a gap when a new home closes before the old home sells</w:t>
      </w:r>
    </w:p>
    <w:p>
      <w:pPr>
        <w:pStyle w:val="ListParagraph"/>
        <w:numPr>
          <w:ilvl w:val="0"/>
          <w:numId w:val="2"/>
        </w:numPr>
        <w:spacing w:after="60" w:before="60"/>
      </w:pPr>
      <w:r>
        <w:rPr>
          <w:rFonts w:ascii="Arial" w:cs="Arial" w:eastAsia="Arial" w:hAnsi="Arial"/>
          <w:sz w:val="22"/>
          <w:szCs w:val="22"/>
        </w:rPr>
        <w:t xml:space="preserve">Status certificate: condo-specific document revealing the financial health and legal status of the condominium corporation</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11. Mortgage Penalties and Break Costs - Canada</w:t>
      </w:r>
    </w:p>
    <w:p>
      <w:pPr>
        <w:pStyle w:val="ListParagraph"/>
        <w:numPr>
          <w:ilvl w:val="0"/>
          <w:numId w:val="2"/>
        </w:numPr>
        <w:spacing w:after="60" w:before="60"/>
      </w:pPr>
      <w:r>
        <w:rPr>
          <w:rFonts w:ascii="Arial" w:cs="Arial" w:eastAsia="Arial" w:hAnsi="Arial"/>
          <w:sz w:val="22"/>
          <w:szCs w:val="22"/>
        </w:rPr>
        <w:t xml:space="preserve">Variable-rate mortgage exit penalty: 3 months of interest on the outstanding balance</w:t>
      </w:r>
    </w:p>
    <w:p>
      <w:pPr>
        <w:pStyle w:val="ListParagraph"/>
        <w:numPr>
          <w:ilvl w:val="0"/>
          <w:numId w:val="2"/>
        </w:numPr>
        <w:spacing w:after="60" w:before="60"/>
      </w:pPr>
      <w:r>
        <w:rPr>
          <w:rFonts w:ascii="Arial" w:cs="Arial" w:eastAsia="Arial" w:hAnsi="Arial"/>
          <w:sz w:val="22"/>
          <w:szCs w:val="22"/>
        </w:rPr>
        <w:t xml:space="preserve">Fixed-rate mortgage exit penalty: greater of 3 months interest or IRD</w:t>
      </w:r>
    </w:p>
    <w:p>
      <w:pPr>
        <w:pStyle w:val="ListParagraph"/>
        <w:numPr>
          <w:ilvl w:val="0"/>
          <w:numId w:val="2"/>
        </w:numPr>
        <w:spacing w:after="60" w:before="60"/>
      </w:pPr>
      <w:r>
        <w:rPr>
          <w:rFonts w:ascii="Arial" w:cs="Arial" w:eastAsia="Arial" w:hAnsi="Arial"/>
          <w:sz w:val="22"/>
          <w:szCs w:val="22"/>
        </w:rPr>
        <w:t xml:space="preserve">IRD: the difference between the borrower's contract rate and the lender's current posted rate for the remaining term, applied to the outstanding balance</w:t>
      </w:r>
    </w:p>
    <w:p>
      <w:pPr>
        <w:pStyle w:val="ListParagraph"/>
        <w:numPr>
          <w:ilvl w:val="0"/>
          <w:numId w:val="2"/>
        </w:numPr>
        <w:spacing w:after="60" w:before="60"/>
      </w:pPr>
      <w:r>
        <w:rPr>
          <w:rFonts w:ascii="Arial" w:cs="Arial" w:eastAsia="Arial" w:hAnsi="Arial"/>
          <w:sz w:val="22"/>
          <w:szCs w:val="22"/>
        </w:rPr>
        <w:t xml:space="preserve">Major bank IRD calculations are often more punitive than monoline or alternative lenders due to how they set their posted rates</w:t>
      </w:r>
    </w:p>
    <w:p>
      <w:pPr>
        <w:pStyle w:val="ListParagraph"/>
        <w:numPr>
          <w:ilvl w:val="0"/>
          <w:numId w:val="2"/>
        </w:numPr>
        <w:spacing w:after="60" w:before="60"/>
      </w:pPr>
      <w:r>
        <w:rPr>
          <w:rFonts w:ascii="Arial" w:cs="Arial" w:eastAsia="Arial" w:hAnsi="Arial"/>
          <w:sz w:val="22"/>
          <w:szCs w:val="22"/>
        </w:rPr>
        <w:t xml:space="preserve">Always request a formal payout statement and penalty calculation before deciding to break a fixed-rate mortgage</w:t>
      </w:r>
    </w:p>
    <w:p>
      <w:pPr>
        <w:pStyle w:val="ListParagraph"/>
        <w:numPr>
          <w:ilvl w:val="0"/>
          <w:numId w:val="2"/>
        </w:numPr>
        <w:spacing w:after="60" w:before="60"/>
      </w:pPr>
      <w:r>
        <w:rPr>
          <w:rFonts w:ascii="Arial" w:cs="Arial" w:eastAsia="Arial" w:hAnsi="Arial"/>
          <w:sz w:val="22"/>
          <w:szCs w:val="22"/>
        </w:rPr>
        <w:t xml:space="preserve">Blend and Extend avoids an immediate penalty by mixing the old rate with the new rate and extending the term</w:t>
      </w:r>
    </w:p>
    <w:p>
      <w:pPr>
        <w:pStyle w:val="ListParagraph"/>
        <w:numPr>
          <w:ilvl w:val="0"/>
          <w:numId w:val="2"/>
        </w:numPr>
        <w:spacing w:after="60" w:before="60"/>
      </w:pPr>
      <w:r>
        <w:rPr>
          <w:rFonts w:ascii="Arial" w:cs="Arial" w:eastAsia="Arial" w:hAnsi="Arial"/>
          <w:sz w:val="22"/>
          <w:szCs w:val="22"/>
        </w:rPr>
        <w:t xml:space="preserve">Open mortgages have no penalties but carry significantly higher interest rates</w:t>
      </w:r>
    </w:p>
    <w:p>
      <w:pPr>
        <w:pStyle w:val="ListParagraph"/>
        <w:numPr>
          <w:ilvl w:val="0"/>
          <w:numId w:val="2"/>
        </w:numPr>
        <w:spacing w:after="60" w:before="60"/>
      </w:pPr>
      <w:r>
        <w:rPr>
          <w:rFonts w:ascii="Arial" w:cs="Arial" w:eastAsia="Arial" w:hAnsi="Arial"/>
          <w:sz w:val="22"/>
          <w:szCs w:val="22"/>
        </w:rPr>
        <w:t xml:space="preserve">Prepayment privileges (typically 10% to 20% annually) allow lump-sum reductions without penalty</w:t>
      </w:r>
    </w:p>
    <w:p>
      <w:pPr>
        <w:pStyle w:val="ListParagraph"/>
        <w:numPr>
          <w:ilvl w:val="0"/>
          <w:numId w:val="2"/>
        </w:numPr>
        <w:spacing w:after="60" w:before="60"/>
      </w:pPr>
      <w:r>
        <w:rPr>
          <w:rFonts w:ascii="Arial" w:cs="Arial" w:eastAsia="Arial" w:hAnsi="Arial"/>
          <w:sz w:val="22"/>
          <w:szCs w:val="22"/>
        </w:rPr>
        <w:t xml:space="preserve">Selling the home during a fixed term triggers a break penalty unless the mortgage can be ported to the new property</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12. Mortgage Renewals - Detailed Ontario Considerations</w:t>
      </w:r>
    </w:p>
    <w:p>
      <w:pPr>
        <w:pStyle w:val="ListParagraph"/>
        <w:numPr>
          <w:ilvl w:val="0"/>
          <w:numId w:val="2"/>
        </w:numPr>
        <w:spacing w:after="60" w:before="60"/>
      </w:pPr>
      <w:r>
        <w:rPr>
          <w:rFonts w:ascii="Arial" w:cs="Arial" w:eastAsia="Arial" w:hAnsi="Arial"/>
          <w:sz w:val="22"/>
          <w:szCs w:val="22"/>
        </w:rPr>
        <w:t xml:space="preserve">The average Canadian renews their mortgage 4 to 6 times over the life of the property</w:t>
      </w:r>
    </w:p>
    <w:p>
      <w:pPr>
        <w:pStyle w:val="ListParagraph"/>
        <w:numPr>
          <w:ilvl w:val="0"/>
          <w:numId w:val="2"/>
        </w:numPr>
        <w:spacing w:after="60" w:before="60"/>
      </w:pPr>
      <w:r>
        <w:rPr>
          <w:rFonts w:ascii="Arial" w:cs="Arial" w:eastAsia="Arial" w:hAnsi="Arial"/>
          <w:sz w:val="22"/>
          <w:szCs w:val="22"/>
        </w:rPr>
        <w:t xml:space="preserve">Renewal is the single best annual opportunity to shop lenders and secure a better rate with no penalty</w:t>
      </w:r>
    </w:p>
    <w:p>
      <w:pPr>
        <w:pStyle w:val="ListParagraph"/>
        <w:numPr>
          <w:ilvl w:val="0"/>
          <w:numId w:val="2"/>
        </w:numPr>
        <w:spacing w:after="60" w:before="60"/>
      </w:pPr>
      <w:r>
        <w:rPr>
          <w:rFonts w:ascii="Arial" w:cs="Arial" w:eastAsia="Arial" w:hAnsi="Arial"/>
          <w:sz w:val="22"/>
          <w:szCs w:val="22"/>
        </w:rPr>
        <w:t xml:space="preserve">Brokers can begin rate shopping 120 days before the maturity date</w:t>
      </w:r>
    </w:p>
    <w:p>
      <w:pPr>
        <w:pStyle w:val="ListParagraph"/>
        <w:numPr>
          <w:ilvl w:val="0"/>
          <w:numId w:val="2"/>
        </w:numPr>
        <w:spacing w:after="60" w:before="60"/>
      </w:pPr>
      <w:r>
        <w:rPr>
          <w:rFonts w:ascii="Arial" w:cs="Arial" w:eastAsia="Arial" w:hAnsi="Arial"/>
          <w:sz w:val="22"/>
          <w:szCs w:val="22"/>
        </w:rPr>
        <w:t xml:space="preserve">Accepting the first renewal letter without shopping is extremely common and costs most Canadians thousands of dollars over their mortgage lifetime</w:t>
      </w:r>
    </w:p>
    <w:p>
      <w:pPr>
        <w:pStyle w:val="ListParagraph"/>
        <w:numPr>
          <w:ilvl w:val="0"/>
          <w:numId w:val="2"/>
        </w:numPr>
        <w:spacing w:after="60" w:before="60"/>
      </w:pPr>
      <w:r>
        <w:rPr>
          <w:rFonts w:ascii="Arial" w:cs="Arial" w:eastAsia="Arial" w:hAnsi="Arial"/>
          <w:sz w:val="22"/>
          <w:szCs w:val="22"/>
        </w:rPr>
        <w:t xml:space="preserve">Renewal with the same lender requires only a signature; switching requires a new application and brief underwriting review</w:t>
      </w:r>
    </w:p>
    <w:p>
      <w:pPr>
        <w:pStyle w:val="ListParagraph"/>
        <w:numPr>
          <w:ilvl w:val="0"/>
          <w:numId w:val="2"/>
        </w:numPr>
        <w:spacing w:after="60" w:before="60"/>
      </w:pPr>
      <w:r>
        <w:rPr>
          <w:rFonts w:ascii="Arial" w:cs="Arial" w:eastAsia="Arial" w:hAnsi="Arial"/>
          <w:sz w:val="22"/>
          <w:szCs w:val="22"/>
        </w:rPr>
        <w:t xml:space="preserve">Collateral charge holders cannot switch for free; they face legal fees comparable to a small refinance</w:t>
      </w:r>
    </w:p>
    <w:p>
      <w:pPr>
        <w:pStyle w:val="ListParagraph"/>
        <w:numPr>
          <w:ilvl w:val="0"/>
          <w:numId w:val="2"/>
        </w:numPr>
        <w:spacing w:after="60" w:before="60"/>
      </w:pPr>
      <w:r>
        <w:rPr>
          <w:rFonts w:ascii="Arial" w:cs="Arial" w:eastAsia="Arial" w:hAnsi="Arial"/>
          <w:sz w:val="22"/>
          <w:szCs w:val="22"/>
        </w:rPr>
        <w:t xml:space="preserve">At renewal, borrowers can change payment frequency, increase prepayment privileges, and restructure within the new term without penalty</w:t>
      </w:r>
    </w:p>
    <w:p>
      <w:pPr>
        <w:pStyle w:val="ListParagraph"/>
        <w:numPr>
          <w:ilvl w:val="0"/>
          <w:numId w:val="2"/>
        </w:numPr>
        <w:spacing w:after="60" w:before="60"/>
      </w:pPr>
      <w:r>
        <w:rPr>
          <w:rFonts w:ascii="Arial" w:cs="Arial" w:eastAsia="Arial" w:hAnsi="Arial"/>
          <w:sz w:val="22"/>
          <w:szCs w:val="22"/>
        </w:rPr>
        <w:t xml:space="preserve">Maturity date with no action: the lender converts the mortgage to a 1-year open or short-term variable at significantly higher rates</w:t>
      </w:r>
    </w:p>
    <w:p>
      <w:pPr>
        <w:pStyle w:val="ListParagraph"/>
        <w:numPr>
          <w:ilvl w:val="0"/>
          <w:numId w:val="2"/>
        </w:numPr>
        <w:spacing w:after="60" w:before="60"/>
      </w:pPr>
      <w:r>
        <w:rPr>
          <w:rFonts w:ascii="Arial" w:cs="Arial" w:eastAsia="Arial" w:hAnsi="Arial"/>
          <w:sz w:val="22"/>
          <w:szCs w:val="22"/>
        </w:rPr>
        <w:t xml:space="preserve">Verbal renewal rate promises from banks have no legal standing; the rate must be in a signed commitment</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13. Ontario-Specific Legal and Regulatory Framework</w:t>
      </w:r>
    </w:p>
    <w:p>
      <w:pPr>
        <w:pStyle w:val="ListParagraph"/>
        <w:numPr>
          <w:ilvl w:val="0"/>
          <w:numId w:val="2"/>
        </w:numPr>
        <w:spacing w:after="60" w:before="60"/>
      </w:pPr>
      <w:r>
        <w:rPr>
          <w:rFonts w:ascii="Arial" w:cs="Arial" w:eastAsia="Arial" w:hAnsi="Arial"/>
          <w:sz w:val="22"/>
          <w:szCs w:val="22"/>
        </w:rPr>
        <w:t xml:space="preserve">In Ontario, the primary enforcement remedy for mortgage default is Power of Sale, governed by the Mortgages Act</w:t>
      </w:r>
    </w:p>
    <w:p>
      <w:pPr>
        <w:pStyle w:val="ListParagraph"/>
        <w:numPr>
          <w:ilvl w:val="0"/>
          <w:numId w:val="2"/>
        </w:numPr>
        <w:spacing w:after="60" w:before="60"/>
      </w:pPr>
      <w:r>
        <w:rPr>
          <w:rFonts w:ascii="Arial" w:cs="Arial" w:eastAsia="Arial" w:hAnsi="Arial"/>
          <w:sz w:val="22"/>
          <w:szCs w:val="22"/>
        </w:rPr>
        <w:t xml:space="preserve">Power of Sale gives the lender the right to sell the property without a court order after the redemption period expires</w:t>
      </w:r>
    </w:p>
    <w:p>
      <w:pPr>
        <w:pStyle w:val="ListParagraph"/>
        <w:numPr>
          <w:ilvl w:val="0"/>
          <w:numId w:val="2"/>
        </w:numPr>
        <w:spacing w:after="60" w:before="60"/>
      </w:pPr>
      <w:r>
        <w:rPr>
          <w:rFonts w:ascii="Arial" w:cs="Arial" w:eastAsia="Arial" w:hAnsi="Arial"/>
          <w:sz w:val="22"/>
          <w:szCs w:val="22"/>
        </w:rPr>
        <w:t xml:space="preserve">The redemption period in Ontario is typically 35 days after the Notice of Sale under Mortgage is served</w:t>
      </w:r>
    </w:p>
    <w:p>
      <w:pPr>
        <w:pStyle w:val="ListParagraph"/>
        <w:numPr>
          <w:ilvl w:val="0"/>
          <w:numId w:val="2"/>
        </w:numPr>
        <w:spacing w:after="60" w:before="60"/>
      </w:pPr>
      <w:r>
        <w:rPr>
          <w:rFonts w:ascii="Arial" w:cs="Arial" w:eastAsia="Arial" w:hAnsi="Arial"/>
          <w:sz w:val="22"/>
          <w:szCs w:val="22"/>
        </w:rPr>
        <w:t xml:space="preserve">Foreclosure (court-ordered title transfer to the lender) exists in Ontario but is rare; Power of Sale is almost always used instead</w:t>
      </w:r>
    </w:p>
    <w:p>
      <w:pPr>
        <w:pStyle w:val="ListParagraph"/>
        <w:numPr>
          <w:ilvl w:val="0"/>
          <w:numId w:val="2"/>
        </w:numPr>
        <w:spacing w:after="60" w:before="60"/>
      </w:pPr>
      <w:r>
        <w:rPr>
          <w:rFonts w:ascii="Arial" w:cs="Arial" w:eastAsia="Arial" w:hAnsi="Arial"/>
          <w:sz w:val="22"/>
          <w:szCs w:val="22"/>
        </w:rPr>
        <w:t xml:space="preserve">The Construction Act requires a 10% holdback on all construction draw advances to protect against mechanic's liens</w:t>
      </w:r>
    </w:p>
    <w:p>
      <w:pPr>
        <w:pStyle w:val="ListParagraph"/>
        <w:numPr>
          <w:ilvl w:val="0"/>
          <w:numId w:val="2"/>
        </w:numPr>
        <w:spacing w:after="60" w:before="60"/>
      </w:pPr>
      <w:r>
        <w:rPr>
          <w:rFonts w:ascii="Arial" w:cs="Arial" w:eastAsia="Arial" w:hAnsi="Arial"/>
          <w:sz w:val="22"/>
          <w:szCs w:val="22"/>
        </w:rPr>
        <w:t xml:space="preserve">Construction liens must be registered within 60 days of the last supply of services or materials</w:t>
      </w:r>
    </w:p>
    <w:p>
      <w:pPr>
        <w:pStyle w:val="ListParagraph"/>
        <w:numPr>
          <w:ilvl w:val="0"/>
          <w:numId w:val="2"/>
        </w:numPr>
        <w:spacing w:after="60" w:before="60"/>
      </w:pPr>
      <w:r>
        <w:rPr>
          <w:rFonts w:ascii="Arial" w:cs="Arial" w:eastAsia="Arial" w:hAnsi="Arial"/>
          <w:sz w:val="22"/>
          <w:szCs w:val="22"/>
        </w:rPr>
        <w:t xml:space="preserve">Ontario mortgage brokering is regulated by FSRA (Financial Services Regulatory Authority of Ontario) under the MBLAA</w:t>
      </w:r>
    </w:p>
    <w:p>
      <w:pPr>
        <w:pStyle w:val="ListParagraph"/>
        <w:numPr>
          <w:ilvl w:val="0"/>
          <w:numId w:val="2"/>
        </w:numPr>
        <w:spacing w:after="60" w:before="60"/>
      </w:pPr>
      <w:r>
        <w:rPr>
          <w:rFonts w:ascii="Arial" w:cs="Arial" w:eastAsia="Arial" w:hAnsi="Arial"/>
          <w:sz w:val="22"/>
          <w:szCs w:val="22"/>
        </w:rPr>
        <w:t xml:space="preserve">Mortgage brokers, agents, brokerages, and administrators must all be licensed by FSRA</w:t>
      </w:r>
    </w:p>
    <w:p>
      <w:pPr>
        <w:pStyle w:val="ListParagraph"/>
        <w:numPr>
          <w:ilvl w:val="0"/>
          <w:numId w:val="2"/>
        </w:numPr>
        <w:spacing w:after="60" w:before="60"/>
      </w:pPr>
      <w:r>
        <w:rPr>
          <w:rFonts w:ascii="Arial" w:cs="Arial" w:eastAsia="Arial" w:hAnsi="Arial"/>
          <w:sz w:val="22"/>
          <w:szCs w:val="22"/>
        </w:rPr>
        <w:t xml:space="preserve">Land transfer tax in Ontario applies to all property transfers and is paid by the buyer on closing</w:t>
      </w:r>
    </w:p>
    <w:p>
      <w:pPr>
        <w:pStyle w:val="ListParagraph"/>
        <w:numPr>
          <w:ilvl w:val="0"/>
          <w:numId w:val="2"/>
        </w:numPr>
        <w:spacing w:after="60" w:before="60"/>
      </w:pPr>
      <w:r>
        <w:rPr>
          <w:rFonts w:ascii="Arial" w:cs="Arial" w:eastAsia="Arial" w:hAnsi="Arial"/>
          <w:sz w:val="22"/>
          <w:szCs w:val="22"/>
        </w:rPr>
        <w:t xml:space="preserve">Toronto imposes a second layer of Municipal Land Transfer Tax in addition to the provincial LTT</w:t>
      </w:r>
    </w:p>
    <w:p>
      <w:pPr>
        <w:pStyle w:val="ListParagraph"/>
        <w:numPr>
          <w:ilvl w:val="0"/>
          <w:numId w:val="2"/>
        </w:numPr>
        <w:spacing w:after="60" w:before="60"/>
      </w:pPr>
      <w:r>
        <w:rPr>
          <w:rFonts w:ascii="Arial" w:cs="Arial" w:eastAsia="Arial" w:hAnsi="Arial"/>
          <w:sz w:val="22"/>
          <w:szCs w:val="22"/>
        </w:rPr>
        <w:t xml:space="preserve">Title registration in Ontario is managed through the Land Registry Office and the electronic Teranet land registration system</w:t>
      </w:r>
    </w:p>
    <w:p>
      <w:pPr>
        <w:pStyle w:val="ListParagraph"/>
        <w:numPr>
          <w:ilvl w:val="0"/>
          <w:numId w:val="2"/>
        </w:numPr>
        <w:spacing w:after="60" w:before="60"/>
      </w:pPr>
      <w:r>
        <w:rPr>
          <w:rFonts w:ascii="Arial" w:cs="Arial" w:eastAsia="Arial" w:hAnsi="Arial"/>
          <w:sz w:val="22"/>
          <w:szCs w:val="22"/>
        </w:rPr>
        <w:t xml:space="preserve">All mortgage charges in Ontario are registered as either standard charges or collateral charges on the property title</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14. Key Canadian Federal Mortgage Programs and Policies - 2026</w:t>
      </w:r>
    </w:p>
    <w:p>
      <w:pPr>
        <w:pStyle w:val="ListParagraph"/>
        <w:numPr>
          <w:ilvl w:val="0"/>
          <w:numId w:val="2"/>
        </w:numPr>
        <w:spacing w:after="60" w:before="60"/>
      </w:pPr>
      <w:r>
        <w:rPr>
          <w:rFonts w:ascii="Arial" w:cs="Arial" w:eastAsia="Arial" w:hAnsi="Arial"/>
          <w:sz w:val="22"/>
          <w:szCs w:val="22"/>
        </w:rPr>
        <w:t xml:space="preserve">OSFI B-20: the federal guideline governing mortgage underwriting at all federally regulated financial institutions</w:t>
      </w:r>
    </w:p>
    <w:p>
      <w:pPr>
        <w:pStyle w:val="ListParagraph"/>
        <w:numPr>
          <w:ilvl w:val="0"/>
          <w:numId w:val="2"/>
        </w:numPr>
        <w:spacing w:after="60" w:before="60"/>
      </w:pPr>
      <w:r>
        <w:rPr>
          <w:rFonts w:ascii="Arial" w:cs="Arial" w:eastAsia="Arial" w:hAnsi="Arial"/>
          <w:sz w:val="22"/>
          <w:szCs w:val="22"/>
        </w:rPr>
        <w:t xml:space="preserve">CMHC, Sagen, and Canada Guaranty are the three authorized mortgage default insurers in Canada</w:t>
      </w:r>
    </w:p>
    <w:p>
      <w:pPr>
        <w:pStyle w:val="ListParagraph"/>
        <w:numPr>
          <w:ilvl w:val="0"/>
          <w:numId w:val="2"/>
        </w:numPr>
        <w:spacing w:after="60" w:before="60"/>
      </w:pPr>
      <w:r>
        <w:rPr>
          <w:rFonts w:ascii="Arial" w:cs="Arial" w:eastAsia="Arial" w:hAnsi="Arial"/>
          <w:sz w:val="22"/>
          <w:szCs w:val="22"/>
        </w:rPr>
        <w:t xml:space="preserve">Insured mortgage maximum purchase price: $1.5 million (raised from $1 million effective December 15, 2023)</w:t>
      </w:r>
    </w:p>
    <w:p>
      <w:pPr>
        <w:pStyle w:val="ListParagraph"/>
        <w:numPr>
          <w:ilvl w:val="0"/>
          <w:numId w:val="2"/>
        </w:numPr>
        <w:spacing w:after="60" w:before="60"/>
      </w:pPr>
      <w:r>
        <w:rPr>
          <w:rFonts w:ascii="Arial" w:cs="Arial" w:eastAsia="Arial" w:hAnsi="Arial"/>
          <w:sz w:val="22"/>
          <w:szCs w:val="22"/>
        </w:rPr>
        <w:t xml:space="preserve">30-year insured amortization: available to first-time buyers and new construction purchasers (effective August 1, 2024)</w:t>
      </w:r>
    </w:p>
    <w:p>
      <w:pPr>
        <w:pStyle w:val="ListParagraph"/>
        <w:numPr>
          <w:ilvl w:val="0"/>
          <w:numId w:val="2"/>
        </w:numPr>
        <w:spacing w:after="60" w:before="60"/>
      </w:pPr>
      <w:r>
        <w:rPr>
          <w:rFonts w:ascii="Arial" w:cs="Arial" w:eastAsia="Arial" w:hAnsi="Arial"/>
          <w:sz w:val="22"/>
          <w:szCs w:val="22"/>
        </w:rPr>
        <w:t xml:space="preserve">RRSP Home Buyers' Plan withdrawal limit: $60,000 (raised from $35,000 in April 2024)</w:t>
      </w:r>
    </w:p>
    <w:p>
      <w:pPr>
        <w:pStyle w:val="ListParagraph"/>
        <w:numPr>
          <w:ilvl w:val="0"/>
          <w:numId w:val="2"/>
        </w:numPr>
        <w:spacing w:after="60" w:before="60"/>
      </w:pPr>
      <w:r>
        <w:rPr>
          <w:rFonts w:ascii="Arial" w:cs="Arial" w:eastAsia="Arial" w:hAnsi="Arial"/>
          <w:sz w:val="22"/>
          <w:szCs w:val="22"/>
        </w:rPr>
        <w:t xml:space="preserve">FHSA: annual $8,000 contribution limit, $40,000 lifetime limit, launched April 2023</w:t>
      </w:r>
    </w:p>
    <w:p>
      <w:pPr>
        <w:pStyle w:val="ListParagraph"/>
        <w:numPr>
          <w:ilvl w:val="0"/>
          <w:numId w:val="2"/>
        </w:numPr>
        <w:spacing w:after="60" w:before="60"/>
      </w:pPr>
      <w:r>
        <w:rPr>
          <w:rFonts w:ascii="Arial" w:cs="Arial" w:eastAsia="Arial" w:hAnsi="Arial"/>
          <w:sz w:val="22"/>
          <w:szCs w:val="22"/>
        </w:rPr>
        <w:t xml:space="preserve">First-Time Home Buyer Incentive (FTHBI): officially discontinued March 2024</w:t>
      </w:r>
    </w:p>
    <w:p>
      <w:pPr>
        <w:pStyle w:val="ListParagraph"/>
        <w:numPr>
          <w:ilvl w:val="0"/>
          <w:numId w:val="2"/>
        </w:numPr>
        <w:spacing w:after="60" w:before="60"/>
      </w:pPr>
      <w:r>
        <w:rPr>
          <w:rFonts w:ascii="Arial" w:cs="Arial" w:eastAsia="Arial" w:hAnsi="Arial"/>
          <w:sz w:val="22"/>
          <w:szCs w:val="22"/>
        </w:rPr>
        <w:t xml:space="preserve">Straight switch stress test exemption: both insured and uninsured borrowers exempt from stress test at renewal switch between federally regulated lenders (policy updated 2024)</w:t>
      </w:r>
    </w:p>
    <w:p>
      <w:pPr>
        <w:pStyle w:val="ListParagraph"/>
        <w:numPr>
          <w:ilvl w:val="0"/>
          <w:numId w:val="2"/>
        </w:numPr>
        <w:spacing w:after="60" w:before="60"/>
      </w:pPr>
      <w:r>
        <w:rPr>
          <w:rFonts w:ascii="Arial" w:cs="Arial" w:eastAsia="Arial" w:hAnsi="Arial"/>
          <w:sz w:val="22"/>
          <w:szCs w:val="22"/>
        </w:rPr>
        <w:t xml:space="preserve">OSFI Loan-to-Income (LTI) limits: major banks are restricted from holding excessive concentrations of uninsured mortgages above 4.5x gross borrower income; does not apply to straight switches</w:t>
      </w:r>
    </w:p>
    <w:p>
      <w:pPr>
        <w:pStyle w:val="ListParagraph"/>
        <w:numPr>
          <w:ilvl w:val="0"/>
          <w:numId w:val="2"/>
        </w:numPr>
        <w:spacing w:after="60" w:before="60"/>
      </w:pPr>
      <w:r>
        <w:rPr>
          <w:rFonts w:ascii="Arial" w:cs="Arial" w:eastAsia="Arial" w:hAnsi="Arial"/>
          <w:sz w:val="22"/>
          <w:szCs w:val="22"/>
        </w:rPr>
        <w:t xml:space="preserve">FINTRAC: all mortgage professionals, real estate agents, and lawyers involved in property transactions must comply with anti-money laundering identity verification rules</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15. Mortgage Broker Role and Process - Canada and Ontario</w:t>
      </w:r>
    </w:p>
    <w:p>
      <w:pPr>
        <w:pStyle w:val="ListParagraph"/>
        <w:numPr>
          <w:ilvl w:val="0"/>
          <w:numId w:val="2"/>
        </w:numPr>
        <w:spacing w:after="60" w:before="60"/>
      </w:pPr>
      <w:r>
        <w:rPr>
          <w:rFonts w:ascii="Arial" w:cs="Arial" w:eastAsia="Arial" w:hAnsi="Arial"/>
          <w:sz w:val="22"/>
          <w:szCs w:val="22"/>
        </w:rPr>
        <w:t xml:space="preserve">A licensed Ontario mortgage broker can access dozens of lenders including major banks, credit unions, mortgage finance companies, alternative B Lenders, and private lenders</w:t>
      </w:r>
    </w:p>
    <w:p>
      <w:pPr>
        <w:pStyle w:val="ListParagraph"/>
        <w:numPr>
          <w:ilvl w:val="0"/>
          <w:numId w:val="2"/>
        </w:numPr>
        <w:spacing w:after="60" w:before="60"/>
      </w:pPr>
      <w:r>
        <w:rPr>
          <w:rFonts w:ascii="Arial" w:cs="Arial" w:eastAsia="Arial" w:hAnsi="Arial"/>
          <w:sz w:val="22"/>
          <w:szCs w:val="22"/>
        </w:rPr>
        <w:t xml:space="preserve">A mortgage broker does not lend their own money; they act as an intermediary connecting borrowers to lenders</w:t>
      </w:r>
    </w:p>
    <w:p>
      <w:pPr>
        <w:pStyle w:val="ListParagraph"/>
        <w:numPr>
          <w:ilvl w:val="0"/>
          <w:numId w:val="2"/>
        </w:numPr>
        <w:spacing w:after="60" w:before="60"/>
      </w:pPr>
      <w:r>
        <w:rPr>
          <w:rFonts w:ascii="Arial" w:cs="Arial" w:eastAsia="Arial" w:hAnsi="Arial"/>
          <w:sz w:val="22"/>
          <w:szCs w:val="22"/>
        </w:rPr>
        <w:t xml:space="preserve">Broker compensation is paid by the lender on standard residential files; borrower-paid broker fees apply on alternative, private, and complex files and must be disclosed in writing</w:t>
      </w:r>
    </w:p>
    <w:p>
      <w:pPr>
        <w:pStyle w:val="ListParagraph"/>
        <w:numPr>
          <w:ilvl w:val="0"/>
          <w:numId w:val="2"/>
        </w:numPr>
        <w:spacing w:after="60" w:before="60"/>
      </w:pPr>
      <w:r>
        <w:rPr>
          <w:rFonts w:ascii="Arial" w:cs="Arial" w:eastAsia="Arial" w:hAnsi="Arial"/>
          <w:sz w:val="22"/>
          <w:szCs w:val="22"/>
        </w:rPr>
        <w:t xml:space="preserve">Using a mortgage broker involves a single credit pull shared with multiple lenders, protecting the borrower's credit score</w:t>
      </w:r>
    </w:p>
    <w:p>
      <w:pPr>
        <w:pStyle w:val="ListParagraph"/>
        <w:numPr>
          <w:ilvl w:val="0"/>
          <w:numId w:val="2"/>
        </w:numPr>
        <w:spacing w:after="60" w:before="60"/>
      </w:pPr>
      <w:r>
        <w:rPr>
          <w:rFonts w:ascii="Arial" w:cs="Arial" w:eastAsia="Arial" w:hAnsi="Arial"/>
          <w:sz w:val="22"/>
          <w:szCs w:val="22"/>
        </w:rPr>
        <w:t xml:space="preserve">A broker's primary obligation is to present suitable options and disclose all compensation and conflicts of interest</w:t>
      </w:r>
    </w:p>
    <w:p>
      <w:pPr>
        <w:pStyle w:val="ListParagraph"/>
        <w:numPr>
          <w:ilvl w:val="0"/>
          <w:numId w:val="2"/>
        </w:numPr>
        <w:spacing w:after="60" w:before="60"/>
      </w:pPr>
      <w:r>
        <w:rPr>
          <w:rFonts w:ascii="Arial" w:cs="Arial" w:eastAsia="Arial" w:hAnsi="Arial"/>
          <w:sz w:val="22"/>
          <w:szCs w:val="22"/>
        </w:rPr>
        <w:t xml:space="preserve">Pre-approval from a broker locks in a rate for 90 to 120 days but does not guarantee final lender approval</w:t>
      </w:r>
    </w:p>
    <w:p>
      <w:pPr>
        <w:pStyle w:val="ListParagraph"/>
        <w:numPr>
          <w:ilvl w:val="0"/>
          <w:numId w:val="2"/>
        </w:numPr>
        <w:spacing w:after="60" w:before="60"/>
      </w:pPr>
      <w:r>
        <w:rPr>
          <w:rFonts w:ascii="Arial" w:cs="Arial" w:eastAsia="Arial" w:hAnsi="Arial"/>
          <w:sz w:val="22"/>
          <w:szCs w:val="22"/>
        </w:rPr>
        <w:t xml:space="preserve">The broker manages documentation collection, lender submission, condition satisfaction, and closing coordination</w:t>
      </w:r>
    </w:p>
    <w:p>
      <w:pPr>
        <w:pStyle w:val="ListParagraph"/>
        <w:numPr>
          <w:ilvl w:val="0"/>
          <w:numId w:val="2"/>
        </w:numPr>
        <w:spacing w:after="60" w:before="60"/>
      </w:pPr>
      <w:r>
        <w:rPr>
          <w:rFonts w:ascii="Arial" w:cs="Arial" w:eastAsia="Arial" w:hAnsi="Arial"/>
          <w:sz w:val="22"/>
          <w:szCs w:val="22"/>
        </w:rPr>
        <w:t xml:space="preserve">Final approval requires both borrower qualification and property approval (appraisal, title search, insurance)</w:t>
      </w:r>
    </w:p>
    <w:p>
      <w:pPr>
        <w:pStyle w:val="ListParagraph"/>
        <w:numPr>
          <w:ilvl w:val="0"/>
          <w:numId w:val="2"/>
        </w:numPr>
        <w:spacing w:after="60" w:before="60"/>
      </w:pPr>
      <w:r>
        <w:rPr>
          <w:rFonts w:ascii="Arial" w:cs="Arial" w:eastAsia="Arial" w:hAnsi="Arial"/>
          <w:sz w:val="22"/>
          <w:szCs w:val="22"/>
        </w:rPr>
        <w:t xml:space="preserve">All Ontario mortgage brokers and agents must hold a valid FSRA license; borrowers can verify a broker's license on the FSRA public registry</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16. US Mortgage Market - Key Comparisons and Context</w:t>
      </w:r>
    </w:p>
    <w:p>
      <w:pPr>
        <w:spacing w:after="120" w:before="40"/>
      </w:pPr>
      <w:r>
        <w:rPr>
          <w:rFonts w:ascii="Arial" w:cs="Arial" w:eastAsia="Arial" w:hAnsi="Arial"/>
          <w:i/>
          <w:iCs/>
          <w:color w:val="777777"/>
          <w:sz w:val="20"/>
          <w:szCs w:val="20"/>
        </w:rPr>
        <w:t xml:space="preserve">This section provides general US market context for comparative reference only. It does not constitute advice for US mortgage transactions.</w:t>
      </w:r>
    </w:p>
    <w:p>
      <w:pPr>
        <w:pStyle w:val="Heading2"/>
        <w:spacing w:after="100" w:before="280"/>
      </w:pPr>
      <w:r>
        <w:rPr>
          <w:rFonts w:ascii="Arial" w:cs="Arial" w:eastAsia="Arial" w:hAnsi="Arial"/>
          <w:b/>
          <w:bCs/>
          <w:color w:val="0a5c7a"/>
          <w:sz w:val="26"/>
          <w:szCs w:val="26"/>
        </w:rPr>
        <w:t xml:space="preserve">US Market Structure</w:t>
      </w:r>
    </w:p>
    <w:p>
      <w:pPr>
        <w:pStyle w:val="ListParagraph"/>
        <w:numPr>
          <w:ilvl w:val="0"/>
          <w:numId w:val="2"/>
        </w:numPr>
        <w:spacing w:after="60" w:before="60"/>
      </w:pPr>
      <w:r>
        <w:rPr>
          <w:rFonts w:ascii="Arial" w:cs="Arial" w:eastAsia="Arial" w:hAnsi="Arial"/>
          <w:sz w:val="22"/>
          <w:szCs w:val="22"/>
        </w:rPr>
        <w:t xml:space="preserve">The US mortgage market is significantly larger and more securitized than Canada's; the majority of US mortgages are sold to government-sponsored enterprises Fannie Mae and Freddie Mac</w:t>
      </w:r>
    </w:p>
    <w:p>
      <w:pPr>
        <w:pStyle w:val="ListParagraph"/>
        <w:numPr>
          <w:ilvl w:val="0"/>
          <w:numId w:val="2"/>
        </w:numPr>
        <w:spacing w:after="60" w:before="60"/>
      </w:pPr>
      <w:r>
        <w:rPr>
          <w:rFonts w:ascii="Arial" w:cs="Arial" w:eastAsia="Arial" w:hAnsi="Arial"/>
          <w:sz w:val="22"/>
          <w:szCs w:val="22"/>
        </w:rPr>
        <w:t xml:space="preserve">30-year fixed-rate mortgages dominate the US market; this product does not exist in the same form in Canada, where terms are typically 5 years or less</w:t>
      </w:r>
    </w:p>
    <w:p>
      <w:pPr>
        <w:pStyle w:val="ListParagraph"/>
        <w:numPr>
          <w:ilvl w:val="0"/>
          <w:numId w:val="2"/>
        </w:numPr>
        <w:spacing w:after="60" w:before="60"/>
      </w:pPr>
      <w:r>
        <w:rPr>
          <w:rFonts w:ascii="Arial" w:cs="Arial" w:eastAsia="Arial" w:hAnsi="Arial"/>
          <w:sz w:val="22"/>
          <w:szCs w:val="22"/>
        </w:rPr>
        <w:t xml:space="preserve">US mortgage rates are generally quoted as fixed for the full 30-year amortization period, providing long-term payment certainty unavailable in the Canadian system</w:t>
      </w:r>
    </w:p>
    <w:p>
      <w:pPr>
        <w:pStyle w:val="ListParagraph"/>
        <w:numPr>
          <w:ilvl w:val="0"/>
          <w:numId w:val="2"/>
        </w:numPr>
        <w:spacing w:after="60" w:before="60"/>
      </w:pPr>
      <w:r>
        <w:rPr>
          <w:rFonts w:ascii="Arial" w:cs="Arial" w:eastAsia="Arial" w:hAnsi="Arial"/>
          <w:sz w:val="22"/>
          <w:szCs w:val="22"/>
        </w:rPr>
        <w:t xml:space="preserve">The US has no equivalent to the Canadian mortgage stress test, though lenders apply their own debt-to-income limits</w:t>
      </w:r>
    </w:p>
    <w:p>
      <w:pPr>
        <w:pStyle w:val="ListParagraph"/>
        <w:numPr>
          <w:ilvl w:val="0"/>
          <w:numId w:val="2"/>
        </w:numPr>
        <w:spacing w:after="60" w:before="60"/>
      </w:pPr>
      <w:r>
        <w:rPr>
          <w:rFonts w:ascii="Arial" w:cs="Arial" w:eastAsia="Arial" w:hAnsi="Arial"/>
          <w:sz w:val="22"/>
          <w:szCs w:val="22"/>
        </w:rPr>
        <w:t xml:space="preserve">US borrowers do not face renewal risk because the rate is locked for the full loan term in most cases</w:t>
      </w:r>
    </w:p>
    <w:p>
      <w:pPr>
        <w:pStyle w:val="Heading2"/>
        <w:spacing w:after="100" w:before="280"/>
      </w:pPr>
      <w:r>
        <w:rPr>
          <w:rFonts w:ascii="Arial" w:cs="Arial" w:eastAsia="Arial" w:hAnsi="Arial"/>
          <w:b/>
          <w:bCs/>
          <w:color w:val="0a5c7a"/>
          <w:sz w:val="26"/>
          <w:szCs w:val="26"/>
        </w:rPr>
        <w:t xml:space="preserve">Down Payment and Insurance Differences</w:t>
      </w:r>
    </w:p>
    <w:p>
      <w:pPr>
        <w:pStyle w:val="ListParagraph"/>
        <w:numPr>
          <w:ilvl w:val="0"/>
          <w:numId w:val="2"/>
        </w:numPr>
        <w:spacing w:after="60" w:before="60"/>
      </w:pPr>
      <w:r>
        <w:rPr>
          <w:rFonts w:ascii="Arial" w:cs="Arial" w:eastAsia="Arial" w:hAnsi="Arial"/>
          <w:sz w:val="22"/>
          <w:szCs w:val="22"/>
        </w:rPr>
        <w:t xml:space="preserve">US minimum down payment for an FHA-insured loan: 3.5% for borrowers with a credit score of 580 or above</w:t>
      </w:r>
    </w:p>
    <w:p>
      <w:pPr>
        <w:pStyle w:val="ListParagraph"/>
        <w:numPr>
          <w:ilvl w:val="0"/>
          <w:numId w:val="2"/>
        </w:numPr>
        <w:spacing w:after="60" w:before="60"/>
      </w:pPr>
      <w:r>
        <w:rPr>
          <w:rFonts w:ascii="Arial" w:cs="Arial" w:eastAsia="Arial" w:hAnsi="Arial"/>
          <w:sz w:val="22"/>
          <w:szCs w:val="22"/>
        </w:rPr>
        <w:t xml:space="preserve">US conventional loans backed by Fannie Mae or Freddie Mac can allow down payments as low as 3% for qualifying borrowers</w:t>
      </w:r>
    </w:p>
    <w:p>
      <w:pPr>
        <w:pStyle w:val="ListParagraph"/>
        <w:numPr>
          <w:ilvl w:val="0"/>
          <w:numId w:val="2"/>
        </w:numPr>
        <w:spacing w:after="60" w:before="60"/>
      </w:pPr>
      <w:r>
        <w:rPr>
          <w:rFonts w:ascii="Arial" w:cs="Arial" w:eastAsia="Arial" w:hAnsi="Arial"/>
          <w:sz w:val="22"/>
          <w:szCs w:val="22"/>
        </w:rPr>
        <w:t xml:space="preserve">US Private Mortgage Insurance (PMI) is the equivalent of Canadian CMHC default insurance; it is paid monthly and can be removed once the LTV reaches 80%</w:t>
      </w:r>
    </w:p>
    <w:p>
      <w:pPr>
        <w:pStyle w:val="ListParagraph"/>
        <w:numPr>
          <w:ilvl w:val="0"/>
          <w:numId w:val="2"/>
        </w:numPr>
        <w:spacing w:after="60" w:before="60"/>
      </w:pPr>
      <w:r>
        <w:rPr>
          <w:rFonts w:ascii="Arial" w:cs="Arial" w:eastAsia="Arial" w:hAnsi="Arial"/>
          <w:sz w:val="22"/>
          <w:szCs w:val="22"/>
        </w:rPr>
        <w:t xml:space="preserve">In Canada, mortgage default insurance is a one-time premium added to the loan balance; it cannot be removed once added</w:t>
      </w:r>
    </w:p>
    <w:p>
      <w:pPr>
        <w:pStyle w:val="ListParagraph"/>
        <w:numPr>
          <w:ilvl w:val="0"/>
          <w:numId w:val="2"/>
        </w:numPr>
        <w:spacing w:after="60" w:before="60"/>
      </w:pPr>
      <w:r>
        <w:rPr>
          <w:rFonts w:ascii="Arial" w:cs="Arial" w:eastAsia="Arial" w:hAnsi="Arial"/>
          <w:sz w:val="22"/>
          <w:szCs w:val="22"/>
        </w:rPr>
        <w:t xml:space="preserve">US down payment gifts are more broadly accepted from family and in some cases non-family sources depending on the loan program</w:t>
      </w:r>
    </w:p>
    <w:p>
      <w:pPr>
        <w:pStyle w:val="Heading2"/>
        <w:spacing w:after="100" w:before="280"/>
      </w:pPr>
      <w:r>
        <w:rPr>
          <w:rFonts w:ascii="Arial" w:cs="Arial" w:eastAsia="Arial" w:hAnsi="Arial"/>
          <w:b/>
          <w:bCs/>
          <w:color w:val="0a5c7a"/>
          <w:sz w:val="26"/>
          <w:szCs w:val="26"/>
        </w:rPr>
        <w:t xml:space="preserve">Credit and Qualification</w:t>
      </w:r>
    </w:p>
    <w:p>
      <w:pPr>
        <w:pStyle w:val="ListParagraph"/>
        <w:numPr>
          <w:ilvl w:val="0"/>
          <w:numId w:val="2"/>
        </w:numPr>
        <w:spacing w:after="60" w:before="60"/>
      </w:pPr>
      <w:r>
        <w:rPr>
          <w:rFonts w:ascii="Arial" w:cs="Arial" w:eastAsia="Arial" w:hAnsi="Arial"/>
          <w:sz w:val="22"/>
          <w:szCs w:val="22"/>
        </w:rPr>
        <w:t xml:space="preserve">US credit scores (FICO) range from 300 to 850; Canadian scores (Equifax/TransUnion) also range from 300 to 900</w:t>
      </w:r>
    </w:p>
    <w:p>
      <w:pPr>
        <w:pStyle w:val="ListParagraph"/>
        <w:numPr>
          <w:ilvl w:val="0"/>
          <w:numId w:val="2"/>
        </w:numPr>
        <w:spacing w:after="60" w:before="60"/>
      </w:pPr>
      <w:r>
        <w:rPr>
          <w:rFonts w:ascii="Arial" w:cs="Arial" w:eastAsia="Arial" w:hAnsi="Arial"/>
          <w:sz w:val="22"/>
          <w:szCs w:val="22"/>
        </w:rPr>
        <w:t xml:space="preserve">FHA loans in the US accept FICO scores as low as 500 with a 10% down payment, providing an accessible entry point for bad credit borrowers</w:t>
      </w:r>
    </w:p>
    <w:p>
      <w:pPr>
        <w:pStyle w:val="ListParagraph"/>
        <w:numPr>
          <w:ilvl w:val="0"/>
          <w:numId w:val="2"/>
        </w:numPr>
        <w:spacing w:after="60" w:before="60"/>
      </w:pPr>
      <w:r>
        <w:rPr>
          <w:rFonts w:ascii="Arial" w:cs="Arial" w:eastAsia="Arial" w:hAnsi="Arial"/>
          <w:sz w:val="22"/>
          <w:szCs w:val="22"/>
        </w:rPr>
        <w:t xml:space="preserve">US non-QM (Non-Qualified Mortgage) loans are the approximate equivalent of Canadian B Lender or alternative lending programs</w:t>
      </w:r>
    </w:p>
    <w:p>
      <w:pPr>
        <w:pStyle w:val="ListParagraph"/>
        <w:numPr>
          <w:ilvl w:val="0"/>
          <w:numId w:val="2"/>
        </w:numPr>
        <w:spacing w:after="60" w:before="60"/>
      </w:pPr>
      <w:r>
        <w:rPr>
          <w:rFonts w:ascii="Arial" w:cs="Arial" w:eastAsia="Arial" w:hAnsi="Arial"/>
          <w:sz w:val="22"/>
          <w:szCs w:val="22"/>
        </w:rPr>
        <w:t xml:space="preserve">US hard money loans are the rough equivalent of Canadian private mortgages: short-term, asset-based, high-rate, equity-driven</w:t>
      </w:r>
    </w:p>
    <w:p>
      <w:pPr>
        <w:pStyle w:val="ListParagraph"/>
        <w:numPr>
          <w:ilvl w:val="0"/>
          <w:numId w:val="2"/>
        </w:numPr>
        <w:spacing w:after="60" w:before="60"/>
      </w:pPr>
      <w:r>
        <w:rPr>
          <w:rFonts w:ascii="Arial" w:cs="Arial" w:eastAsia="Arial" w:hAnsi="Arial"/>
          <w:sz w:val="22"/>
          <w:szCs w:val="22"/>
        </w:rPr>
        <w:t xml:space="preserve">The US does not have an equivalent of the Canadian FHSA; the closest tool is the Roth IRA first-time homebuyer exception, which allows up to $10,000 in lifetime penalty-free withdrawals</w:t>
      </w:r>
    </w:p>
    <w:p>
      <w:pPr>
        <w:pStyle w:val="Heading2"/>
        <w:spacing w:after="100" w:before="280"/>
      </w:pPr>
      <w:r>
        <w:rPr>
          <w:rFonts w:ascii="Arial" w:cs="Arial" w:eastAsia="Arial" w:hAnsi="Arial"/>
          <w:b/>
          <w:bCs/>
          <w:color w:val="0a5c7a"/>
          <w:sz w:val="26"/>
          <w:szCs w:val="26"/>
        </w:rPr>
        <w:t xml:space="preserve">Enforcement and Legal</w:t>
      </w:r>
    </w:p>
    <w:p>
      <w:pPr>
        <w:pStyle w:val="ListParagraph"/>
        <w:numPr>
          <w:ilvl w:val="0"/>
          <w:numId w:val="2"/>
        </w:numPr>
        <w:spacing w:after="60" w:before="60"/>
      </w:pPr>
      <w:r>
        <w:rPr>
          <w:rFonts w:ascii="Arial" w:cs="Arial" w:eastAsia="Arial" w:hAnsi="Arial"/>
          <w:sz w:val="22"/>
          <w:szCs w:val="22"/>
        </w:rPr>
        <w:t xml:space="preserve">US foreclosure processes vary significantly by state: judicial foreclosure states require a court process (longer timelines), while non-judicial or power-of-sale states are faster</w:t>
      </w:r>
    </w:p>
    <w:p>
      <w:pPr>
        <w:pStyle w:val="ListParagraph"/>
        <w:numPr>
          <w:ilvl w:val="0"/>
          <w:numId w:val="2"/>
        </w:numPr>
        <w:spacing w:after="60" w:before="60"/>
      </w:pPr>
      <w:r>
        <w:rPr>
          <w:rFonts w:ascii="Arial" w:cs="Arial" w:eastAsia="Arial" w:hAnsi="Arial"/>
          <w:sz w:val="22"/>
          <w:szCs w:val="22"/>
        </w:rPr>
        <w:t xml:space="preserve">Ontario's Power of Sale process is most similar to non-judicial foreclosure states in the US; it does not require a court order</w:t>
      </w:r>
    </w:p>
    <w:p>
      <w:pPr>
        <w:pStyle w:val="ListParagraph"/>
        <w:numPr>
          <w:ilvl w:val="0"/>
          <w:numId w:val="2"/>
        </w:numPr>
        <w:spacing w:after="60" w:before="60"/>
      </w:pPr>
      <w:r>
        <w:rPr>
          <w:rFonts w:ascii="Arial" w:cs="Arial" w:eastAsia="Arial" w:hAnsi="Arial"/>
          <w:sz w:val="22"/>
          <w:szCs w:val="22"/>
        </w:rPr>
        <w:t xml:space="preserve">US reverse mortgages are called Home Equity Conversion Mortgages (HECMs) and are federally insured by the FHA; the minimum age is 62 versus 55 in Canada</w:t>
      </w:r>
    </w:p>
    <w:p>
      <w:pPr>
        <w:pStyle w:val="ListParagraph"/>
        <w:numPr>
          <w:ilvl w:val="0"/>
          <w:numId w:val="2"/>
        </w:numPr>
        <w:spacing w:after="60" w:before="60"/>
      </w:pPr>
      <w:r>
        <w:rPr>
          <w:rFonts w:ascii="Arial" w:cs="Arial" w:eastAsia="Arial" w:hAnsi="Arial"/>
          <w:sz w:val="22"/>
          <w:szCs w:val="22"/>
        </w:rPr>
        <w:t xml:space="preserve">Canadian HELOC rules cap standalone HELOCs at 65% LTV; US HELOC limits vary by lender and state but often go up to 80% or 85% CLTV (combined loan-to-value)</w:t>
      </w:r>
    </w:p>
    <w:p>
      <w:pPr>
        <w:pStyle w:val="ListParagraph"/>
        <w:numPr>
          <w:ilvl w:val="0"/>
          <w:numId w:val="2"/>
        </w:numPr>
        <w:spacing w:after="60" w:before="60"/>
      </w:pPr>
      <w:r>
        <w:rPr>
          <w:rFonts w:ascii="Arial" w:cs="Arial" w:eastAsia="Arial" w:hAnsi="Arial"/>
          <w:sz w:val="22"/>
          <w:szCs w:val="22"/>
        </w:rPr>
        <w:t xml:space="preserve">US mortgage interest is tax-deductible for primary residences up to certain loan limits; Canadian mortgage interest on a primary residence is not tax-deductible</w:t>
      </w:r>
    </w:p>
    <w:p>
      <w:pPr>
        <w:pStyle w:val="Heading2"/>
        <w:spacing w:after="100" w:before="280"/>
      </w:pPr>
      <w:r>
        <w:rPr>
          <w:rFonts w:ascii="Arial" w:cs="Arial" w:eastAsia="Arial" w:hAnsi="Arial"/>
          <w:b/>
          <w:bCs/>
          <w:color w:val="0a5c7a"/>
          <w:sz w:val="26"/>
          <w:szCs w:val="26"/>
        </w:rPr>
        <w:t xml:space="preserve">Broker Landscape - US vs. Canada</w:t>
      </w:r>
    </w:p>
    <w:p>
      <w:pPr>
        <w:pStyle w:val="ListParagraph"/>
        <w:numPr>
          <w:ilvl w:val="0"/>
          <w:numId w:val="2"/>
        </w:numPr>
        <w:spacing w:after="60" w:before="60"/>
      </w:pPr>
      <w:r>
        <w:rPr>
          <w:rFonts w:ascii="Arial" w:cs="Arial" w:eastAsia="Arial" w:hAnsi="Arial"/>
          <w:sz w:val="22"/>
          <w:szCs w:val="22"/>
        </w:rPr>
        <w:t xml:space="preserve">In the US, mortgage brokers are licensed at both the federal level (NMLS - Nationwide Multistate Licensing System) and the state level</w:t>
      </w:r>
    </w:p>
    <w:p>
      <w:pPr>
        <w:pStyle w:val="ListParagraph"/>
        <w:numPr>
          <w:ilvl w:val="0"/>
          <w:numId w:val="2"/>
        </w:numPr>
        <w:spacing w:after="60" w:before="60"/>
      </w:pPr>
      <w:r>
        <w:rPr>
          <w:rFonts w:ascii="Arial" w:cs="Arial" w:eastAsia="Arial" w:hAnsi="Arial"/>
          <w:sz w:val="22"/>
          <w:szCs w:val="22"/>
        </w:rPr>
        <w:t xml:space="preserve">In Canada, Ontario mortgage brokers are licensed by FSRA under the MBLAA; each province regulates its own brokers separately</w:t>
      </w:r>
    </w:p>
    <w:p>
      <w:pPr>
        <w:pStyle w:val="ListParagraph"/>
        <w:numPr>
          <w:ilvl w:val="0"/>
          <w:numId w:val="2"/>
        </w:numPr>
        <w:spacing w:after="60" w:before="60"/>
      </w:pPr>
      <w:r>
        <w:rPr>
          <w:rFonts w:ascii="Arial" w:cs="Arial" w:eastAsia="Arial" w:hAnsi="Arial"/>
          <w:sz w:val="22"/>
          <w:szCs w:val="22"/>
        </w:rPr>
        <w:t xml:space="preserve">US lenders can lend directly in most states without going through a broker; in Canada, borrowers can also go directly to banks, credit unions, or other lenders</w:t>
      </w:r>
    </w:p>
    <w:p>
      <w:pPr>
        <w:pStyle w:val="ListParagraph"/>
        <w:numPr>
          <w:ilvl w:val="0"/>
          <w:numId w:val="2"/>
        </w:numPr>
        <w:spacing w:after="60" w:before="60"/>
      </w:pPr>
      <w:r>
        <w:rPr>
          <w:rFonts w:ascii="Arial" w:cs="Arial" w:eastAsia="Arial" w:hAnsi="Arial"/>
          <w:sz w:val="22"/>
          <w:szCs w:val="22"/>
        </w:rPr>
        <w:t xml:space="preserve">US mortgage broker compensation is governed by the Consumer Financial Protection Bureau (CFPB) and the Dodd-Frank Act, which limits certain compensation structures</w:t>
      </w:r>
    </w:p>
    <w:p>
      <w:pPr>
        <w:pStyle w:val="ListParagraph"/>
        <w:numPr>
          <w:ilvl w:val="0"/>
          <w:numId w:val="2"/>
        </w:numPr>
        <w:spacing w:after="60" w:before="60"/>
      </w:pPr>
      <w:r>
        <w:rPr>
          <w:rFonts w:ascii="Arial" w:cs="Arial" w:eastAsia="Arial" w:hAnsi="Arial"/>
          <w:sz w:val="22"/>
          <w:szCs w:val="22"/>
        </w:rPr>
        <w:t xml:space="preserve">Both US and Canadian mortgage brokers are obligated to disclose their compensation to borrowers before a transaction closes</w:t>
      </w:r>
    </w:p>
    <w:p>
      <w:pPr>
        <w:pBdr>
          <w:bottom w:val="single" w:color="07e4c6" w:sz="6" w:space="1"/>
        </w:pBdr>
        <w:spacing w:after="100" w:before="100"/>
      </w:pPr>
      <w:r>
        <w:t xml:space="preserve"/>
      </w:r>
    </w:p>
    <w:p>
      <w:pPr>
        <w:pStyle w:val="Heading1"/>
        <w:spacing w:after="160" w:before="400"/>
      </w:pPr>
      <w:r>
        <w:rPr>
          <w:rFonts w:ascii="Arial" w:cs="Arial" w:eastAsia="Arial" w:hAnsi="Arial"/>
          <w:b/>
          <w:bCs/>
          <w:color w:val="1a1a1a"/>
          <w:sz w:val="32"/>
          <w:szCs w:val="32"/>
        </w:rPr>
        <w:t xml:space="preserve">17. Licensed Mortgage Broker - Five Key Facts</w:t>
      </w:r>
    </w:p>
    <w:p>
      <w:pPr>
        <w:spacing w:after="120" w:before="40"/>
      </w:pPr>
      <w:r>
        <w:rPr>
          <w:rFonts w:ascii="Arial" w:cs="Arial" w:eastAsia="Arial" w:hAnsi="Arial"/>
          <w:i/>
          <w:iCs/>
          <w:color w:val="777777"/>
          <w:sz w:val="20"/>
          <w:szCs w:val="20"/>
        </w:rPr>
        <w:t xml:space="preserve">This section covers the five most essential facts about working with a licensed mortgage broker in Ontario and Canada.</w:t>
      </w:r>
    </w:p>
    <w:p>
      <w:pPr>
        <w:pStyle w:val="ListParagraph"/>
        <w:numPr>
          <w:ilvl w:val="0"/>
          <w:numId w:val="2"/>
        </w:numPr>
        <w:spacing w:after="60" w:before="60"/>
      </w:pPr>
      <w:r>
        <w:rPr>
          <w:rFonts w:ascii="Arial" w:cs="Arial" w:eastAsia="Arial" w:hAnsi="Arial"/>
          <w:b/>
          <w:bCs/>
          <w:sz w:val="22"/>
          <w:szCs w:val="22"/>
        </w:rPr>
        <w:t xml:space="preserve">1. FSRA Licensing is Mandatory in Ontario. </w:t>
      </w: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444444"/>
          <w:sz w:val="20"/>
          <w:szCs w:val="20"/>
        </w:rPr>
        <w:t xml:space="preserve">All mortgage brokers, agents, brokerages, and administrators in Ontario must be licensed by the Financial Services Regulatory Authority of Ontario (FSRA) under the Mortgage Brokerages, Lenders and Administrators Act (MBLAA). Borrowers can verify any broker's license at the FSRA public registry online at fsrao.ca.</w:t>
      </w:r>
    </w:p>
    <w:p>
      <w:pPr>
        <w:pStyle w:val="ListParagraph"/>
        <w:numPr>
          <w:ilvl w:val="0"/>
          <w:numId w:val="2"/>
        </w:numPr>
        <w:spacing w:after="60" w:before="60"/>
      </w:pPr>
      <w:r>
        <w:rPr>
          <w:rFonts w:ascii="Arial" w:cs="Arial" w:eastAsia="Arial" w:hAnsi="Arial"/>
          <w:b/>
          <w:bCs/>
          <w:sz w:val="22"/>
          <w:szCs w:val="22"/>
        </w:rPr>
        <w:t xml:space="preserve">2. Brokers Have Access Across the Full Lender Spectrum. </w:t>
      </w: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444444"/>
          <w:sz w:val="20"/>
          <w:szCs w:val="20"/>
        </w:rPr>
        <w:t xml:space="preserve">A licensed broker can access A Banks, credit unions, mortgage finance companies (monolines), alternative B Lenders, and private lenders. A single bank branch can only offer its own products. This market-wide access is the primary advantage of working with a broker.</w:t>
      </w:r>
    </w:p>
    <w:p>
      <w:pPr>
        <w:pStyle w:val="ListParagraph"/>
        <w:numPr>
          <w:ilvl w:val="0"/>
          <w:numId w:val="2"/>
        </w:numPr>
        <w:spacing w:after="60" w:before="60"/>
      </w:pPr>
      <w:r>
        <w:rPr>
          <w:rFonts w:ascii="Arial" w:cs="Arial" w:eastAsia="Arial" w:hAnsi="Arial"/>
          <w:b/>
          <w:bCs/>
          <w:sz w:val="22"/>
          <w:szCs w:val="22"/>
        </w:rPr>
        <w:t xml:space="preserve">3. Fee Disclosure is a Legal Requirement. </w:t>
      </w: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444444"/>
          <w:sz w:val="20"/>
          <w:szCs w:val="20"/>
        </w:rPr>
        <w:t xml:space="preserve">Ontario brokers are legally required to disclose all compensation, fees, and conflicts of interest in writing before the borrower commits to a mortgage. On standard residential files, the lender pays the broker. On alternative, private, or complex files, a borrower-paid broker fee applies and must be disclosed clearly.</w:t>
      </w:r>
    </w:p>
    <w:p>
      <w:pPr>
        <w:pStyle w:val="ListParagraph"/>
        <w:numPr>
          <w:ilvl w:val="0"/>
          <w:numId w:val="2"/>
        </w:numPr>
        <w:spacing w:after="60" w:before="60"/>
      </w:pPr>
      <w:r>
        <w:rPr>
          <w:rFonts w:ascii="Arial" w:cs="Arial" w:eastAsia="Arial" w:hAnsi="Arial"/>
          <w:b/>
          <w:bCs/>
          <w:sz w:val="22"/>
          <w:szCs w:val="22"/>
        </w:rPr>
        <w:t xml:space="preserve">4. A Broker Cannot Guarantee Approval, Rates, or Timelines. </w:t>
      </w: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444444"/>
          <w:sz w:val="20"/>
          <w:szCs w:val="20"/>
        </w:rPr>
        <w:t xml:space="preserve">Pre-approval from a broker is an estimate based on borrower information provided. Final approval requires the lender to review and accept both the borrower file and the specific property. Rates are only confirmed once a lender issues a formal commitment letter.</w:t>
      </w:r>
    </w:p>
    <w:p>
      <w:pPr>
        <w:pStyle w:val="ListParagraph"/>
        <w:numPr>
          <w:ilvl w:val="0"/>
          <w:numId w:val="2"/>
        </w:numPr>
        <w:spacing w:after="60" w:before="60"/>
      </w:pPr>
      <w:r>
        <w:rPr>
          <w:rFonts w:ascii="Arial" w:cs="Arial" w:eastAsia="Arial" w:hAnsi="Arial"/>
          <w:b/>
          <w:bCs/>
          <w:sz w:val="22"/>
          <w:szCs w:val="22"/>
        </w:rPr>
        <w:t xml:space="preserve">5. The Broker's Role Extends Beyond Finding a Rate. </w:t>
      </w: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color w:val="444444"/>
          <w:sz w:val="20"/>
          <w:szCs w:val="20"/>
        </w:rPr>
        <w:t xml:space="preserve">A strong broker manages the full transaction: pre-approval, document collection, lender submission, condition satisfaction, appraisal coordination, and closing. For complex files (bad credit, self-employed, alternative lending), the broker's ability to structure and position the file is often the difference between approval and decline.</w:t>
      </w:r>
    </w:p>
    <w:p>
      <w:pPr>
        <w:pBdr>
          <w:bottom w:val="single" w:color="07e4c6" w:sz="6" w:space="1"/>
        </w:pBdr>
        <w:spacing w:after="100" w:before="100"/>
      </w:pPr>
      <w:r>
        <w:t xml:space="preserve"/>
      </w:r>
    </w:p>
    <w:p>
      <w:pPr>
        <w:spacing w:after="0" w:before="200"/>
        <w:jc w:val="center"/>
      </w:pPr>
      <w:r>
        <w:rPr>
          <w:rFonts w:ascii="Arial" w:cs="Arial" w:eastAsia="Arial" w:hAnsi="Arial"/>
          <w:i/>
          <w:iCs/>
          <w:color w:val="999999"/>
          <w:sz w:val="18"/>
          <w:szCs w:val="18"/>
        </w:rPr>
        <w:t xml:space="preserve">Output Systems | connect@output.systems | 647 622 3799 | chat.output.systems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a5c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2026-06-21T18:00:58.883Z</dcterms:created>
  <dcterms:modified xsi:type="dcterms:W3CDTF">2026-06-21T18:00:58.884Z</dcterms:modified>
</cp:coreProperties>
</file>

<file path=docProps/custom.xml><?xml version="1.0" encoding="utf-8"?>
<Properties xmlns="http://schemas.openxmlformats.org/officeDocument/2006/custom-properties" xmlns:vt="http://schemas.openxmlformats.org/officeDocument/2006/docPropsVTypes"/>
</file>