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6"/>
        </w:rPr>
        <w:t>U4U GENOMICS PLATFORM</w:t>
      </w:r>
    </w:p>
    <w:p>
      <w:pPr>
        <w:jc w:val="center"/>
      </w:pPr>
      <w:r>
        <w:rPr>
          <w:b w:val="0"/>
          <w:color w:val="2E75B6"/>
          <w:sz w:val="36"/>
        </w:rPr>
        <w:t>Cybersecurity Execution Plan</w:t>
      </w:r>
    </w:p>
    <w:p/>
    <w:p>
      <w:pPr>
        <w:jc w:val="center"/>
      </w:pPr>
      <w:r>
        <w:rPr>
          <w:i/>
          <w:color w:val="444444"/>
          <w:sz w:val="22"/>
        </w:rPr>
        <w:t>MVP Security Architecture | Privacy Policy | Audit Plan</w:t>
      </w:r>
    </w:p>
    <w:p/>
    <w:p>
      <w:pPr>
        <w:jc w:val="center"/>
      </w:pPr>
      <w:r>
        <w:rPr>
          <w:color w:val="666666"/>
          <w:sz w:val="20"/>
        </w:rPr>
        <w:t>40 Minute Bioscience  |  March 2026  |  CONFIDENTIAL</w:t>
      </w:r>
    </w:p>
    <w:p/>
    <w:p/>
    <w:p>
      <w:pPr>
        <w:pBdr>
          <w:bottom w:val="single" w:sz="6" w:space="1" w:color="1F3864"/>
        </w:pBdr>
        <w:spacing w:before="80" w:after="160"/>
      </w:pPr>
    </w:p>
    <w:tbl>
      <w:tblPr>
        <w:tblW w:type="auto" w:w="0"/>
        <w:jc w:val="left"/>
        <w:tblLook w:firstColumn="1" w:firstRow="1" w:lastColumn="0" w:lastRow="0" w:noHBand="0" w:noVBand="1" w:val="04A0"/>
      </w:tblPr>
      <w:tblGrid>
        <w:gridCol w:w="4536"/>
        <w:gridCol w:w="4536"/>
      </w:tblGrid>
      <w:tr>
        <w:tc>
          <w:tcPr>
            <w:tcW w:type="dxa" w:w="5040"/>
            <w:tcBorders>
              <w:top w:val="single" w:sz="4" w:space="0" w:color="2E75B6"/>
              <w:left w:val="single" w:sz="4" w:space="0" w:color="CCCCCC"/>
              <w:bottom w:val="single" w:sz="4" w:space="0" w:color="CCCCCC"/>
              <w:right w:val="single" w:sz="4" w:space="0" w:color="CCCCCC"/>
            </w:tcBorders>
            <w:shd w:val="clear" w:color="auto" w:fill="EBF3FB"/>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120"/>
            </w:pPr>
            <w:r>
              <w:rPr>
                <w:b/>
              </w:rPr>
              <w:t>Security Owner</w:t>
            </w:r>
          </w:p>
          <w:p>
            <w:r>
              <w:rPr>
                <w:sz w:val="20"/>
              </w:rPr>
              <w:t>Cane</w:t>
            </w:r>
          </w:p>
        </w:tc>
        <w:tc>
          <w:tcPr>
            <w:tcW w:type="dxa" w:w="5040"/>
            <w:tcBorders>
              <w:top w:val="single" w:sz="4" w:space="0" w:color="2E75B6"/>
              <w:left w:val="single" w:sz="4" w:space="0" w:color="CCCCCC"/>
              <w:bottom w:val="single" w:sz="4" w:space="0" w:color="CCCCCC"/>
              <w:right w:val="single" w:sz="4" w:space="0" w:color="CCCCCC"/>
            </w:tcBorders>
            <w:shd w:val="clear" w:color="auto" w:fill="EBF3FB"/>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120"/>
            </w:pPr>
            <w:r>
              <w:rPr>
                <w:b/>
              </w:rPr>
              <w:t>GitHub Docs</w:t>
            </w:r>
          </w:p>
          <w:p>
            <w:r>
              <w:rPr>
                <w:sz w:val="18"/>
              </w:rPr>
              <w:t>docs/architecture.md | docs/integrations.md</w:t>
            </w:r>
          </w:p>
        </w:tc>
      </w:tr>
    </w:tbl>
    <w:p/>
    <w:p>
      <w:r>
        <w:br w:type="page"/>
      </w:r>
    </w:p>
    <w:p>
      <w:pPr>
        <w:pStyle w:val="Heading1"/>
      </w:pPr>
      <w:r>
        <w:rPr>
          <w:b/>
          <w:color w:val="1F3864"/>
        </w:rPr>
        <w:t>1.  Security Architecture Overview</w:t>
      </w:r>
    </w:p>
    <w:p>
      <w:pPr>
        <w:pBdr>
          <w:bottom w:val="single" w:sz="6" w:space="1" w:color="2E75B6"/>
        </w:pBdr>
        <w:spacing w:before="80" w:after="160"/>
      </w:pPr>
    </w:p>
    <w:p>
      <w:pPr>
        <w:spacing w:before="0" w:after="160"/>
      </w:pPr>
      <w:r>
        <w:rPr>
          <w:b w:val="0"/>
          <w:i w:val="0"/>
          <w:sz w:val="20"/>
        </w:rPr>
        <w:t>U4U is a server-side genomic variant interpretation platform. A user uploads a raw genome file (VCF, 23andMe .txt, or CSV), the annotation engine processes it in memory, and a results dashboard is returned. The raw file is never stored. This architecture was chosen specifically to minimize genomic data exposure and regulatory surface area.</w:t>
      </w:r>
    </w:p>
    <w:p>
      <w:pPr>
        <w:pStyle w:val="Heading2"/>
      </w:pPr>
      <w:r>
        <w:rPr>
          <w:b/>
          <w:color w:val="1F3864"/>
        </w:rPr>
        <w:t>1.1  Data Flow and Trust Boundaries</w:t>
      </w:r>
    </w:p>
    <w:p>
      <w:pPr>
        <w:spacing w:before="0" w:after="80"/>
      </w:pPr>
      <w:r>
        <w:rPr>
          <w:b/>
          <w:i w:val="0"/>
          <w:sz w:val="20"/>
        </w:rPr>
        <w:t>The following describes what moves where and what never leaves:</w:t>
      </w:r>
    </w:p>
    <w:tbl>
      <w:tblPr>
        <w:tblStyle w:val="TableGrid"/>
        <w:tblW w:type="auto" w:w="0"/>
        <w:tblLook w:firstColumn="1" w:firstRow="1" w:lastColumn="0" w:lastRow="0" w:noHBand="0" w:noVBand="1" w:val="04A0"/>
      </w:tblPr>
      <w:tblGrid>
        <w:gridCol w:w="2268"/>
        <w:gridCol w:w="2268"/>
        <w:gridCol w:w="2268"/>
        <w:gridCol w:w="2268"/>
      </w:tblGrid>
      <w:tr>
        <w:tc>
          <w:tcPr>
            <w:tcW w:type="dxa" w:w="2016"/>
            <w:shd w:val="clear" w:color="auto" w:fill="1F3864"/>
          </w:tcPr>
          <w:p>
            <w:pPr>
              <w:spacing w:before="40" w:after="40"/>
            </w:pPr>
            <w:r>
              <w:rPr>
                <w:b/>
                <w:color w:val="FFFFFF"/>
                <w:sz w:val="18"/>
              </w:rPr>
              <w:t>Step</w:t>
            </w:r>
          </w:p>
        </w:tc>
        <w:tc>
          <w:tcPr>
            <w:tcW w:type="dxa" w:w="2880"/>
            <w:shd w:val="clear" w:color="auto" w:fill="1F3864"/>
          </w:tcPr>
          <w:p>
            <w:pPr>
              <w:spacing w:before="40" w:after="40"/>
            </w:pPr>
            <w:r>
              <w:rPr>
                <w:b/>
                <w:color w:val="FFFFFF"/>
                <w:sz w:val="18"/>
              </w:rPr>
              <w:t>What moves</w:t>
            </w:r>
          </w:p>
        </w:tc>
        <w:tc>
          <w:tcPr>
            <w:tcW w:type="dxa" w:w="3600"/>
            <w:shd w:val="clear" w:color="auto" w:fill="1F3864"/>
          </w:tcPr>
          <w:p>
            <w:pPr>
              <w:spacing w:before="40" w:after="40"/>
            </w:pPr>
            <w:r>
              <w:rPr>
                <w:b/>
                <w:color w:val="FFFFFF"/>
                <w:sz w:val="18"/>
              </w:rPr>
              <w:t>Where</w:t>
            </w:r>
          </w:p>
        </w:tc>
        <w:tc>
          <w:tcPr>
            <w:tcW w:type="dxa" w:w="1584"/>
            <w:shd w:val="clear" w:color="auto" w:fill="1F3864"/>
          </w:tcPr>
          <w:p>
            <w:pPr>
              <w:spacing w:before="40" w:after="40"/>
            </w:pPr>
            <w:r>
              <w:rPr>
                <w:b/>
                <w:color w:val="FFFFFF"/>
                <w:sz w:val="18"/>
              </w:rPr>
              <w:t>Stored?</w:t>
            </w:r>
          </w:p>
        </w:tc>
      </w:tr>
      <w:tr>
        <w:tc>
          <w:tcPr>
            <w:tcW w:type="dxa" w:w="2016"/>
            <w:shd w:val="clear" w:color="auto" w:fill="FFFFFF"/>
          </w:tcPr>
          <w:p>
            <w:pPr>
              <w:spacing w:before="40" w:after="40"/>
            </w:pPr>
            <w:r>
              <w:rPr>
                <w:b w:val="0"/>
                <w:sz w:val="18"/>
              </w:rPr>
              <w:t>1. Upload</w:t>
            </w:r>
          </w:p>
        </w:tc>
        <w:tc>
          <w:tcPr>
            <w:tcW w:type="dxa" w:w="2880"/>
            <w:shd w:val="clear" w:color="auto" w:fill="FFFFFF"/>
          </w:tcPr>
          <w:p>
            <w:pPr>
              <w:spacing w:before="40" w:after="40"/>
            </w:pPr>
            <w:r>
              <w:rPr>
                <w:b w:val="0"/>
                <w:sz w:val="18"/>
              </w:rPr>
              <w:t>Raw genome file bytes</w:t>
            </w:r>
          </w:p>
        </w:tc>
        <w:tc>
          <w:tcPr>
            <w:tcW w:type="dxa" w:w="3600"/>
            <w:shd w:val="clear" w:color="auto" w:fill="FFFFFF"/>
          </w:tcPr>
          <w:p>
            <w:pPr>
              <w:spacing w:before="40" w:after="40"/>
            </w:pPr>
            <w:r>
              <w:rPr>
                <w:b w:val="0"/>
                <w:sz w:val="18"/>
              </w:rPr>
              <w:t>Client browser → HTTPS → FastAPI</w:t>
            </w:r>
          </w:p>
        </w:tc>
        <w:tc>
          <w:tcPr>
            <w:tcW w:type="dxa" w:w="1584"/>
            <w:shd w:val="clear" w:color="auto" w:fill="FFFFFF"/>
          </w:tcPr>
          <w:p>
            <w:pPr>
              <w:spacing w:before="40" w:after="40"/>
            </w:pPr>
            <w:r>
              <w:rPr>
                <w:b w:val="0"/>
                <w:sz w:val="18"/>
              </w:rPr>
              <w:t>No — memory only</w:t>
            </w:r>
          </w:p>
        </w:tc>
      </w:tr>
      <w:tr>
        <w:tc>
          <w:tcPr>
            <w:tcW w:type="dxa" w:w="2016"/>
            <w:shd w:val="clear" w:color="auto" w:fill="F2F7FC"/>
          </w:tcPr>
          <w:p>
            <w:pPr>
              <w:spacing w:before="40" w:after="40"/>
            </w:pPr>
            <w:r>
              <w:rPr>
                <w:b w:val="0"/>
                <w:sz w:val="18"/>
              </w:rPr>
              <w:t>2. Parse + filter</w:t>
            </w:r>
          </w:p>
        </w:tc>
        <w:tc>
          <w:tcPr>
            <w:tcW w:type="dxa" w:w="2880"/>
            <w:shd w:val="clear" w:color="auto" w:fill="F2F7FC"/>
          </w:tcPr>
          <w:p>
            <w:pPr>
              <w:spacing w:before="40" w:after="40"/>
            </w:pPr>
            <w:r>
              <w:rPr>
                <w:b w:val="0"/>
                <w:sz w:val="18"/>
              </w:rPr>
              <w:t>Variant coordinates (chrom, pos, ref, alt, rsID)</w:t>
            </w:r>
          </w:p>
        </w:tc>
        <w:tc>
          <w:tcPr>
            <w:tcW w:type="dxa" w:w="3600"/>
            <w:shd w:val="clear" w:color="auto" w:fill="F2F7FC"/>
          </w:tcPr>
          <w:p>
            <w:pPr>
              <w:spacing w:before="40" w:after="40"/>
            </w:pPr>
            <w:r>
              <w:rPr>
                <w:b w:val="0"/>
                <w:sz w:val="18"/>
              </w:rPr>
              <w:t>In-process (engine/)</w:t>
            </w:r>
          </w:p>
        </w:tc>
        <w:tc>
          <w:tcPr>
            <w:tcW w:type="dxa" w:w="1584"/>
            <w:shd w:val="clear" w:color="auto" w:fill="F2F7FC"/>
          </w:tcPr>
          <w:p>
            <w:pPr>
              <w:spacing w:before="40" w:after="40"/>
            </w:pPr>
            <w:r>
              <w:rPr>
                <w:b w:val="0"/>
                <w:sz w:val="18"/>
              </w:rPr>
              <w:t>No</w:t>
            </w:r>
          </w:p>
        </w:tc>
      </w:tr>
      <w:tr>
        <w:tc>
          <w:tcPr>
            <w:tcW w:type="dxa" w:w="2016"/>
            <w:shd w:val="clear" w:color="auto" w:fill="FFFFFF"/>
          </w:tcPr>
          <w:p>
            <w:pPr>
              <w:spacing w:before="40" w:after="40"/>
            </w:pPr>
            <w:r>
              <w:rPr>
                <w:b w:val="0"/>
                <w:sz w:val="18"/>
              </w:rPr>
              <w:t>3. Annotation</w:t>
            </w:r>
          </w:p>
        </w:tc>
        <w:tc>
          <w:tcPr>
            <w:tcW w:type="dxa" w:w="2880"/>
            <w:shd w:val="clear" w:color="auto" w:fill="FFFFFF"/>
          </w:tcPr>
          <w:p>
            <w:pPr>
              <w:spacing w:before="40" w:after="40"/>
            </w:pPr>
            <w:r>
              <w:rPr>
                <w:b w:val="0"/>
                <w:sz w:val="18"/>
              </w:rPr>
              <w:t>Variant coordinates and rsIDs</w:t>
            </w:r>
          </w:p>
        </w:tc>
        <w:tc>
          <w:tcPr>
            <w:tcW w:type="dxa" w:w="3600"/>
            <w:shd w:val="clear" w:color="auto" w:fill="FFFFFF"/>
          </w:tcPr>
          <w:p>
            <w:pPr>
              <w:spacing w:before="40" w:after="40"/>
            </w:pPr>
            <w:r>
              <w:rPr>
                <w:b w:val="0"/>
                <w:sz w:val="18"/>
              </w:rPr>
              <w:t>FastAPI → ClinVar, gnomAD, VEP APIs</w:t>
            </w:r>
          </w:p>
        </w:tc>
        <w:tc>
          <w:tcPr>
            <w:tcW w:type="dxa" w:w="1584"/>
            <w:shd w:val="clear" w:color="auto" w:fill="FFFFFF"/>
          </w:tcPr>
          <w:p>
            <w:pPr>
              <w:spacing w:before="40" w:after="40"/>
            </w:pPr>
            <w:r>
              <w:rPr>
                <w:b w:val="0"/>
                <w:sz w:val="18"/>
              </w:rPr>
              <w:t>No — transient requests</w:t>
            </w:r>
          </w:p>
        </w:tc>
      </w:tr>
      <w:tr>
        <w:tc>
          <w:tcPr>
            <w:tcW w:type="dxa" w:w="2016"/>
            <w:shd w:val="clear" w:color="auto" w:fill="F2F7FC"/>
          </w:tcPr>
          <w:p>
            <w:pPr>
              <w:spacing w:before="40" w:after="40"/>
            </w:pPr>
            <w:r>
              <w:rPr>
                <w:b w:val="0"/>
                <w:sz w:val="18"/>
              </w:rPr>
              <w:t>4. Scoring/summary</w:t>
            </w:r>
          </w:p>
        </w:tc>
        <w:tc>
          <w:tcPr>
            <w:tcW w:type="dxa" w:w="2880"/>
            <w:shd w:val="clear" w:color="auto" w:fill="F2F7FC"/>
          </w:tcPr>
          <w:p>
            <w:pPr>
              <w:spacing w:before="40" w:after="40"/>
            </w:pPr>
            <w:r>
              <w:rPr>
                <w:b w:val="0"/>
                <w:sz w:val="18"/>
              </w:rPr>
              <w:t>Annotated variant dicts</w:t>
            </w:r>
          </w:p>
        </w:tc>
        <w:tc>
          <w:tcPr>
            <w:tcW w:type="dxa" w:w="3600"/>
            <w:shd w:val="clear" w:color="auto" w:fill="F2F7FC"/>
          </w:tcPr>
          <w:p>
            <w:pPr>
              <w:spacing w:before="40" w:after="40"/>
            </w:pPr>
            <w:r>
              <w:rPr>
                <w:b w:val="0"/>
                <w:sz w:val="18"/>
              </w:rPr>
              <w:t>In-process (engine/)</w:t>
            </w:r>
          </w:p>
        </w:tc>
        <w:tc>
          <w:tcPr>
            <w:tcW w:type="dxa" w:w="1584"/>
            <w:shd w:val="clear" w:color="auto" w:fill="F2F7FC"/>
          </w:tcPr>
          <w:p>
            <w:pPr>
              <w:spacing w:before="40" w:after="40"/>
            </w:pPr>
            <w:r>
              <w:rPr>
                <w:b w:val="0"/>
                <w:sz w:val="18"/>
              </w:rPr>
              <w:t>No</w:t>
            </w:r>
          </w:p>
        </w:tc>
      </w:tr>
      <w:tr>
        <w:tc>
          <w:tcPr>
            <w:tcW w:type="dxa" w:w="2016"/>
            <w:shd w:val="clear" w:color="auto" w:fill="FFFFFF"/>
          </w:tcPr>
          <w:p>
            <w:pPr>
              <w:spacing w:before="40" w:after="40"/>
            </w:pPr>
            <w:r>
              <w:rPr>
                <w:b w:val="0"/>
                <w:sz w:val="18"/>
              </w:rPr>
              <w:t>5. Results</w:t>
            </w:r>
          </w:p>
        </w:tc>
        <w:tc>
          <w:tcPr>
            <w:tcW w:type="dxa" w:w="2880"/>
            <w:shd w:val="clear" w:color="auto" w:fill="FFFFFF"/>
          </w:tcPr>
          <w:p>
            <w:pPr>
              <w:spacing w:before="40" w:after="40"/>
            </w:pPr>
            <w:r>
              <w:rPr>
                <w:b w:val="0"/>
                <w:sz w:val="18"/>
              </w:rPr>
              <w:t>Scored JSON (no raw genome)</w:t>
            </w:r>
          </w:p>
        </w:tc>
        <w:tc>
          <w:tcPr>
            <w:tcW w:type="dxa" w:w="3600"/>
            <w:shd w:val="clear" w:color="auto" w:fill="FFFFFF"/>
          </w:tcPr>
          <w:p>
            <w:pPr>
              <w:spacing w:before="40" w:after="40"/>
            </w:pPr>
            <w:r>
              <w:rPr>
                <w:b w:val="0"/>
                <w:sz w:val="18"/>
              </w:rPr>
              <w:t>FastAPI → client browser (HTTPS)</w:t>
            </w:r>
          </w:p>
        </w:tc>
        <w:tc>
          <w:tcPr>
            <w:tcW w:type="dxa" w:w="1584"/>
            <w:shd w:val="clear" w:color="auto" w:fill="FFFFFF"/>
          </w:tcPr>
          <w:p>
            <w:pPr>
              <w:spacing w:before="40" w:after="40"/>
            </w:pPr>
            <w:r>
              <w:rPr>
                <w:b w:val="0"/>
                <w:sz w:val="18"/>
              </w:rPr>
              <w:t>Job record in Postgres</w:t>
            </w:r>
          </w:p>
        </w:tc>
      </w:tr>
      <w:tr>
        <w:tc>
          <w:tcPr>
            <w:tcW w:type="dxa" w:w="2016"/>
            <w:shd w:val="clear" w:color="auto" w:fill="F2F7FC"/>
          </w:tcPr>
          <w:p>
            <w:pPr>
              <w:spacing w:before="40" w:after="40"/>
            </w:pPr>
            <w:r>
              <w:rPr>
                <w:b w:val="0"/>
                <w:sz w:val="18"/>
              </w:rPr>
              <w:t>6. Discard</w:t>
            </w:r>
          </w:p>
        </w:tc>
        <w:tc>
          <w:tcPr>
            <w:tcW w:type="dxa" w:w="2880"/>
            <w:shd w:val="clear" w:color="auto" w:fill="F2F7FC"/>
          </w:tcPr>
          <w:p>
            <w:pPr>
              <w:spacing w:before="40" w:after="40"/>
            </w:pPr>
            <w:r>
              <w:rPr>
                <w:b w:val="0"/>
                <w:sz w:val="18"/>
              </w:rPr>
              <w:t>Raw file bytes + intermediate data</w:t>
            </w:r>
          </w:p>
        </w:tc>
        <w:tc>
          <w:tcPr>
            <w:tcW w:type="dxa" w:w="3600"/>
            <w:shd w:val="clear" w:color="auto" w:fill="F2F7FC"/>
          </w:tcPr>
          <w:p>
            <w:pPr>
              <w:spacing w:before="40" w:after="40"/>
            </w:pPr>
            <w:r>
              <w:rPr>
                <w:b w:val="0"/>
                <w:sz w:val="18"/>
              </w:rPr>
              <w:t>GC / end of request</w:t>
            </w:r>
          </w:p>
        </w:tc>
        <w:tc>
          <w:tcPr>
            <w:tcW w:type="dxa" w:w="1584"/>
            <w:shd w:val="clear" w:color="auto" w:fill="F2F7FC"/>
          </w:tcPr>
          <w:p>
            <w:pPr>
              <w:spacing w:before="40" w:after="40"/>
            </w:pPr>
            <w:r>
              <w:rPr>
                <w:b w:val="0"/>
                <w:sz w:val="18"/>
              </w:rPr>
              <w:t>Never persisted</w:t>
            </w:r>
          </w:p>
        </w:tc>
      </w:tr>
    </w:tbl>
    <w:p/>
    <w:p>
      <w:pPr>
        <w:pStyle w:val="Heading2"/>
      </w:pPr>
      <w:r>
        <w:rPr>
          <w:b/>
          <w:color w:val="1F3864"/>
        </w:rPr>
        <w:t>1.2  Key Security Properties</w:t>
      </w:r>
    </w:p>
    <w:p>
      <w:pPr>
        <w:pStyle w:val="ListBullet"/>
        <w:spacing w:after="60"/>
      </w:pPr>
      <w:r>
        <w:rPr>
          <w:b/>
          <w:sz w:val="20"/>
        </w:rPr>
        <w:t xml:space="preserve">No genome persistence. </w:t>
      </w:r>
      <w:r>
        <w:rPr>
          <w:sz w:val="20"/>
        </w:rPr>
        <w:t>Raw genome files are never written to disk or database. Bytes live only in RAM for the duration of one request.</w:t>
      </w:r>
    </w:p>
    <w:p>
      <w:pPr>
        <w:pStyle w:val="ListBullet"/>
        <w:spacing w:after="60"/>
      </w:pPr>
      <w:r>
        <w:rPr>
          <w:b/>
          <w:sz w:val="20"/>
        </w:rPr>
        <w:t xml:space="preserve">Minimal external exposure. </w:t>
      </w:r>
      <w:r>
        <w:rPr>
          <w:sz w:val="20"/>
        </w:rPr>
        <w:t>Only variant coordinates (chrom, pos, ref, alt, rsID) leave the system during annotation. The assembled file never leaves.</w:t>
      </w:r>
    </w:p>
    <w:p>
      <w:pPr>
        <w:pStyle w:val="ListBullet"/>
        <w:spacing w:after="60"/>
      </w:pPr>
      <w:r>
        <w:rPr>
          <w:b/>
          <w:sz w:val="20"/>
        </w:rPr>
        <w:t xml:space="preserve">Encryption in transit. </w:t>
      </w:r>
      <w:r>
        <w:rPr>
          <w:sz w:val="20"/>
        </w:rPr>
        <w:t>All client-server and server-API traffic is encrypted via TLS 1.2+.</w:t>
      </w:r>
    </w:p>
    <w:p>
      <w:pPr>
        <w:pStyle w:val="ListBullet"/>
        <w:spacing w:after="60"/>
      </w:pPr>
      <w:r>
        <w:rPr>
          <w:b/>
          <w:sz w:val="20"/>
        </w:rPr>
        <w:t xml:space="preserve">No genome-to-identity link in MVP. </w:t>
      </w:r>
      <w:r>
        <w:rPr>
          <w:sz w:val="20"/>
        </w:rPr>
        <w:t>No user accounts, no stored genome profiles, no PII linked to genomic data in MVP.</w:t>
      </w:r>
    </w:p>
    <w:p>
      <w:pPr>
        <w:pStyle w:val="ListBullet"/>
        <w:spacing w:after="60"/>
      </w:pPr>
      <w:r>
        <w:rPr>
          <w:b/>
          <w:sz w:val="20"/>
        </w:rPr>
        <w:t xml:space="preserve">Container isolation. </w:t>
      </w:r>
      <w:r>
        <w:rPr>
          <w:sz w:val="20"/>
        </w:rPr>
        <w:t>Hampton's Kubernetes cluster provides container isolation, encrypted storage volumes, and automated backups.</w:t>
      </w:r>
    </w:p>
    <w:p>
      <w:pPr>
        <w:pStyle w:val="Heading2"/>
      </w:pPr>
      <w:r>
        <w:rPr>
          <w:b/>
          <w:color w:val="1F3864"/>
        </w:rPr>
        <w:t>1.3  Regulatory Position</w:t>
      </w:r>
    </w:p>
    <w:p>
      <w:pPr>
        <w:spacing w:before="0" w:after="80"/>
      </w:pPr>
      <w:r>
        <w:rPr>
          <w:b w:val="0"/>
          <w:i w:val="0"/>
          <w:sz w:val="20"/>
        </w:rPr>
        <w:t>U4U is positioned as a consumer genomic information platform, not a clinical diagnostic service. This is an important distinction:</w:t>
      </w:r>
    </w:p>
    <w:p>
      <w:pPr>
        <w:pStyle w:val="ListBullet"/>
        <w:spacing w:after="60"/>
      </w:pPr>
      <w:r>
        <w:rPr>
          <w:sz w:val="20"/>
        </w:rPr>
        <w:t>HIPAA applies to covered entities (healthcare providers, insurers) and their business associates. A direct-to-consumer informational genomics platform that does not interact with the healthcare system, does not store PHI, and does not bill insurance is generally NOT a covered entity under HIPAA.</w:t>
      </w:r>
    </w:p>
    <w:p>
      <w:pPr>
        <w:pStyle w:val="ListBullet"/>
        <w:spacing w:after="60"/>
      </w:pPr>
      <w:r>
        <w:rPr>
          <w:sz w:val="20"/>
        </w:rPr>
        <w:t>The FTC Act and state genetic privacy laws (GIPA in Illinois, CalGENIA in California) apply. These require honest disclosure about data handling — which the current architecture satisfies by design (no genome storage).</w:t>
      </w:r>
    </w:p>
    <w:p>
      <w:pPr>
        <w:pStyle w:val="ListBullet"/>
        <w:spacing w:after="60"/>
      </w:pPr>
      <w:r>
        <w:rPr>
          <w:sz w:val="20"/>
        </w:rPr>
        <w:t>FDA oversight: consumer genomic interpretation tools that make claims about disease risk occupy a gray area. U4U frames outputs as 'general genomic information, not medical advice.' Legal counsel should confirm this framing before Phase 3 launch.</w:t>
      </w:r>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FFF3CD"/>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856404"/>
                <w:sz w:val="20"/>
              </w:rPr>
              <w:t xml:space="preserve">RECOMMENDATION:  </w:t>
            </w:r>
            <w:r>
              <w:rPr>
                <w:sz w:val="20"/>
              </w:rPr>
              <w:t>Do not store genome files in MVP under any circumstances — not even temporarily to disk. The current in-memory architecture is the primary privacy protection and keeps U4U out of the highest-risk regulatory tier.</w:t>
            </w:r>
          </w:p>
        </w:tc>
      </w:tr>
    </w:tbl>
    <w:p/>
    <w:p>
      <w:r>
        <w:br w:type="page"/>
      </w:r>
    </w:p>
    <w:p>
      <w:pPr>
        <w:pStyle w:val="Heading1"/>
      </w:pPr>
      <w:r>
        <w:rPr>
          <w:b/>
          <w:color w:val="1F3864"/>
        </w:rPr>
        <w:t>2.  Privacy Policy — Landing Page Copy</w:t>
      </w:r>
    </w:p>
    <w:p>
      <w:pPr>
        <w:pBdr>
          <w:bottom w:val="single" w:sz="6" w:space="1" w:color="2E75B6"/>
        </w:pBdr>
        <w:spacing w:before="80" w:after="160"/>
      </w:pPr>
    </w:p>
    <w:p>
      <w:pPr>
        <w:spacing w:before="0" w:after="200"/>
      </w:pPr>
      <w:r>
        <w:rPr>
          <w:b w:val="0"/>
          <w:i/>
          <w:sz w:val="20"/>
        </w:rPr>
        <w:t>The following is production-ready privacy policy copy for the U4U landing page. It is written in plain English to build user trust — not legal boilerplate. Have legal counsel review before Phase 3 launch.</w:t>
      </w:r>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EBF3FB"/>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1F3864"/>
                <w:sz w:val="20"/>
              </w:rPr>
              <w:t xml:space="preserve">PLACEMENT:  </w:t>
            </w:r>
            <w:r>
              <w:rPr>
                <w:sz w:val="20"/>
              </w:rPr>
              <w:t>Link in the landing page footer ('Privacy Policy') and display inline below the upload consent gate. Full URL should be /privacy.</w:t>
            </w:r>
          </w:p>
        </w:tc>
      </w:tr>
    </w:tbl>
    <w:p/>
    <w:p>
      <w:pPr>
        <w:pStyle w:val="Heading2"/>
      </w:pPr>
      <w:r>
        <w:rPr>
          <w:b/>
          <w:color w:val="2E75B6"/>
        </w:rPr>
        <w:t>U4U Privacy Policy</w:t>
      </w:r>
    </w:p>
    <w:p>
      <w:pPr>
        <w:spacing w:before="0" w:after="120"/>
      </w:pPr>
      <w:r>
        <w:rPr>
          <w:b w:val="0"/>
          <w:i/>
          <w:color w:val="666666"/>
          <w:sz w:val="18"/>
        </w:rPr>
        <w:t>Last updated: March 2026</w:t>
      </w:r>
    </w:p>
    <w:p/>
    <w:p>
      <w:pPr>
        <w:spacing w:before="120" w:after="40"/>
      </w:pPr>
      <w:r>
        <w:rPr>
          <w:b/>
          <w:i w:val="0"/>
          <w:sz w:val="20"/>
        </w:rPr>
        <w:t>What U4U does with your genome file</w:t>
      </w:r>
    </w:p>
    <w:p>
      <w:pPr>
        <w:spacing w:before="0" w:after="160"/>
      </w:pPr>
      <w:r>
        <w:rPr>
          <w:b w:val="0"/>
          <w:i w:val="0"/>
          <w:sz w:val="20"/>
        </w:rPr>
        <w:t>When you upload a genome file, it is loaded into memory on our server, processed to identify and annotate clinically relevant variants, and then permanently deleted. We do not save, copy, archive, or back up your raw genome file at any point. By the time you see your results, the original file no longer exists on our systems.</w:t>
      </w:r>
    </w:p>
    <w:p>
      <w:pPr>
        <w:spacing w:before="120" w:after="40"/>
      </w:pPr>
      <w:r>
        <w:rPr>
          <w:b/>
          <w:i w:val="0"/>
          <w:sz w:val="20"/>
        </w:rPr>
        <w:t>What leaves our system</w:t>
      </w:r>
    </w:p>
    <w:p>
      <w:pPr>
        <w:spacing w:before="0" w:after="160"/>
      </w:pPr>
      <w:r>
        <w:rPr>
          <w:b w:val="0"/>
          <w:i w:val="0"/>
          <w:sz w:val="20"/>
        </w:rPr>
        <w:t>During analysis, we look up each variant in three external scientific databases: ClinVar (NIH), gnomAD (Broad Institute), and Ensembl VEP (EMBL-EBI). These lookups send only the variant coordinate — chromosome, position, reference allele, and alternate allele — not your genome file, not your name, and not any identifier that links back to you.</w:t>
      </w:r>
    </w:p>
    <w:p>
      <w:pPr>
        <w:spacing w:before="120" w:after="40"/>
      </w:pPr>
      <w:r>
        <w:rPr>
          <w:b/>
          <w:i w:val="0"/>
          <w:sz w:val="20"/>
        </w:rPr>
        <w:t>What we store</w:t>
      </w:r>
    </w:p>
    <w:p>
      <w:pPr>
        <w:spacing w:before="0" w:after="160"/>
      </w:pPr>
      <w:r>
        <w:rPr>
          <w:b w:val="0"/>
          <w:i w:val="0"/>
          <w:sz w:val="20"/>
        </w:rPr>
        <w:t>We store the results of your analysis (the scored and annotated variant list) associated with your session ID — a randomly generated string stored in your browser. We do not link results to your name, email address, or any personal identifier unless you choose to share your email for research update notifications (see below). We do not sell, license, or share your results with any third party.</w:t>
      </w:r>
    </w:p>
    <w:p>
      <w:pPr>
        <w:spacing w:before="120" w:after="40"/>
      </w:pPr>
      <w:r>
        <w:rPr>
          <w:b/>
          <w:i w:val="0"/>
          <w:sz w:val="20"/>
        </w:rPr>
        <w:t>Email notifications (optional)</w:t>
      </w:r>
    </w:p>
    <w:p>
      <w:pPr>
        <w:spacing w:before="0" w:after="160"/>
      </w:pPr>
      <w:r>
        <w:rPr>
          <w:b w:val="0"/>
          <w:i w:val="0"/>
          <w:sz w:val="20"/>
        </w:rPr>
        <w:t>If you choose to subscribe for research update notifications, we store your email address. We use your email only to notify you when new published research is relevant to variants in your analysis. We do not share your email with third parties. You can unsubscribe at any time.</w:t>
      </w:r>
    </w:p>
    <w:p>
      <w:pPr>
        <w:spacing w:before="120" w:after="40"/>
      </w:pPr>
      <w:r>
        <w:rPr>
          <w:b/>
          <w:i w:val="0"/>
          <w:sz w:val="20"/>
        </w:rPr>
        <w:t>Cookies and analytics</w:t>
      </w:r>
    </w:p>
    <w:p>
      <w:pPr>
        <w:spacing w:before="0" w:after="160"/>
      </w:pPr>
      <w:r>
        <w:rPr>
          <w:b w:val="0"/>
          <w:i w:val="0"/>
          <w:sz w:val="20"/>
        </w:rPr>
        <w:t>We use minimal analytics to understand how many people use the platform and whether the analysis completes successfully. We do not use third-party advertising trackers. We do not fingerprint users.</w:t>
      </w:r>
    </w:p>
    <w:p>
      <w:pPr>
        <w:spacing w:before="120" w:after="40"/>
      </w:pPr>
      <w:r>
        <w:rPr>
          <w:b/>
          <w:i w:val="0"/>
          <w:sz w:val="20"/>
        </w:rPr>
        <w:t>Children</w:t>
      </w:r>
    </w:p>
    <w:p>
      <w:pPr>
        <w:spacing w:before="0" w:after="160"/>
      </w:pPr>
      <w:r>
        <w:rPr>
          <w:b w:val="0"/>
          <w:i w:val="0"/>
          <w:sz w:val="20"/>
        </w:rPr>
        <w:t>U4U is not intended for users under 18. We do not knowingly collect genomic or personal data from minors.</w:t>
      </w:r>
    </w:p>
    <w:p>
      <w:pPr>
        <w:spacing w:before="120" w:after="40"/>
      </w:pPr>
      <w:r>
        <w:rPr>
          <w:b/>
          <w:i w:val="0"/>
          <w:sz w:val="20"/>
        </w:rPr>
        <w:t>Your rights</w:t>
      </w:r>
    </w:p>
    <w:p>
      <w:pPr>
        <w:spacing w:before="0" w:after="160"/>
      </w:pPr>
      <w:r>
        <w:rPr>
          <w:b w:val="0"/>
          <w:i w:val="0"/>
          <w:sz w:val="20"/>
        </w:rPr>
        <w:t>You can delete your analysis results at any time by clearing your browser session. If you subscribed to research notifications, email us at privacy@u4u.bio to remove your address from our records.</w:t>
      </w:r>
    </w:p>
    <w:p>
      <w:pPr>
        <w:spacing w:before="120" w:after="40"/>
      </w:pPr>
      <w:r>
        <w:rPr>
          <w:b/>
          <w:i w:val="0"/>
          <w:sz w:val="20"/>
        </w:rPr>
        <w:t>Contact</w:t>
      </w:r>
    </w:p>
    <w:p>
      <w:pPr>
        <w:spacing w:before="0" w:after="160"/>
      </w:pPr>
      <w:r>
        <w:rPr>
          <w:b w:val="0"/>
          <w:i w:val="0"/>
          <w:sz w:val="20"/>
        </w:rPr>
        <w:t>Questions about this policy: privacy@u4u.bio</w:t>
      </w:r>
    </w:p>
    <w:p>
      <w:r>
        <w:br w:type="page"/>
      </w:r>
    </w:p>
    <w:p>
      <w:pPr>
        <w:pStyle w:val="Heading1"/>
      </w:pPr>
      <w:r>
        <w:rPr>
          <w:b/>
          <w:color w:val="1F3864"/>
        </w:rPr>
        <w:t>3.  Consent Gate Language</w:t>
      </w:r>
    </w:p>
    <w:p>
      <w:pPr>
        <w:pBdr>
          <w:bottom w:val="single" w:sz="6" w:space="1" w:color="2E75B6"/>
        </w:pBdr>
        <w:spacing w:before="80" w:after="160"/>
      </w:pPr>
    </w:p>
    <w:p>
      <w:pPr>
        <w:spacing w:before="0" w:after="200"/>
      </w:pPr>
      <w:r>
        <w:rPr>
          <w:b w:val="0"/>
          <w:i/>
          <w:sz w:val="20"/>
        </w:rPr>
        <w:t>The following copy must be shown to users before they can click Analyze. It consists of two parts: a disclosure statement (shown as text, not a checkbox) and a consent checkbox the user must actively tick.</w:t>
      </w:r>
    </w:p>
    <w:p>
      <w:pPr>
        <w:pStyle w:val="Heading2"/>
      </w:pPr>
      <w:r>
        <w:rPr>
          <w:b/>
          <w:color w:val="1F3864"/>
        </w:rPr>
        <w:t>3.1  Privacy Disclosure (display text, no checkbox required)</w:t>
      </w:r>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F8F9FA"/>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444444"/>
                <w:sz w:val="20"/>
              </w:rPr>
              <w:t xml:space="preserve">DISPLAY AS:  </w:t>
            </w:r>
            <w:r>
              <w:rPr>
                <w:sz w:val="20"/>
              </w:rPr>
              <w:t>Gray box above the upload button. Not a checkbox — just visible text.</w:t>
            </w:r>
          </w:p>
        </w:tc>
      </w:tr>
    </w:tbl>
    <w:p/>
    <w:p>
      <w:pPr>
        <w:spacing w:before="0" w:after="60"/>
      </w:pPr>
      <w:r>
        <w:rPr>
          <w:b/>
          <w:i w:val="0"/>
          <w:sz w:val="20"/>
        </w:rPr>
        <w:t>How we handle your file:</w:t>
      </w:r>
    </w:p>
    <w:p>
      <w:pPr>
        <w:pStyle w:val="ListBullet"/>
        <w:spacing w:after="60"/>
      </w:pPr>
      <w:r>
        <w:rPr>
          <w:sz w:val="20"/>
        </w:rPr>
        <w:t>Your genome file is processed in memory and permanently deleted after analysis.</w:t>
      </w:r>
    </w:p>
    <w:p>
      <w:pPr>
        <w:pStyle w:val="ListBullet"/>
        <w:spacing w:after="60"/>
      </w:pPr>
      <w:r>
        <w:rPr>
          <w:sz w:val="20"/>
        </w:rPr>
        <w:t>It is never stored on our servers.</w:t>
      </w:r>
    </w:p>
    <w:p>
      <w:pPr>
        <w:pStyle w:val="ListBullet"/>
        <w:spacing w:after="60"/>
      </w:pPr>
      <w:r>
        <w:rPr>
          <w:sz w:val="20"/>
        </w:rPr>
        <w:t>Only variant coordinates are sent to scientific databases (ClinVar, gnomAD, Ensembl) to look up what each variant means.</w:t>
      </w:r>
    </w:p>
    <w:p>
      <w:pPr>
        <w:pStyle w:val="ListBullet"/>
        <w:spacing w:after="60"/>
      </w:pPr>
      <w:r>
        <w:rPr>
          <w:sz w:val="20"/>
        </w:rPr>
        <w:t>Your assembled genome never leaves our system.</w:t>
      </w:r>
    </w:p>
    <w:p/>
    <w:p>
      <w:pPr>
        <w:pStyle w:val="Heading2"/>
      </w:pPr>
      <w:r>
        <w:rPr>
          <w:b/>
          <w:color w:val="1F3864"/>
        </w:rPr>
        <w:t>3.2  Consent Checkbox (required — Analyze button disabled until checked)</w:t>
      </w:r>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EBF3FB"/>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1F3864"/>
                <w:sz w:val="20"/>
              </w:rPr>
              <w:t xml:space="preserve">CHECKBOX LABEL:  </w:t>
            </w:r>
            <w:r>
              <w:rPr>
                <w:sz w:val="20"/>
              </w:rPr>
              <w:t>I understand that U4U provides general genomic information, not medical advice. I consent to my genome file being processed as described above. I will discuss any significant findings with a qualified healthcare provider before taking any action.</w:t>
            </w:r>
          </w:p>
        </w:tc>
      </w:tr>
    </w:tbl>
    <w:p/>
    <w:p>
      <w:pPr>
        <w:spacing w:before="0" w:after="60"/>
      </w:pPr>
      <w:r>
        <w:rPr>
          <w:b/>
          <w:i w:val="0"/>
          <w:sz w:val="20"/>
        </w:rPr>
        <w:t>Implementation notes:</w:t>
      </w:r>
    </w:p>
    <w:p>
      <w:pPr>
        <w:pStyle w:val="ListBullet"/>
        <w:spacing w:after="60"/>
      </w:pPr>
      <w:r>
        <w:rPr>
          <w:sz w:val="20"/>
        </w:rPr>
        <w:t>The Analyze button must be disabled (greyed out) until both: (a) a file is selected AND (b) the checkbox is checked.</w:t>
      </w:r>
    </w:p>
    <w:p>
      <w:pPr>
        <w:pStyle w:val="ListBullet"/>
        <w:spacing w:after="60"/>
      </w:pPr>
      <w:r>
        <w:rPr>
          <w:sz w:val="20"/>
        </w:rPr>
        <w:t>Log the consent event server-side with timestamp and session ID — not linked to personal data, but useful for demonstrating informed consent if questioned.</w:t>
      </w:r>
    </w:p>
    <w:p>
      <w:pPr>
        <w:pStyle w:val="ListBullet"/>
        <w:spacing w:after="60"/>
      </w:pPr>
      <w:r>
        <w:rPr>
          <w:sz w:val="20"/>
        </w:rPr>
        <w:t>Do not pre-check the checkbox. The user must actively choose to check it.</w:t>
      </w:r>
    </w:p>
    <w:p>
      <w:pPr>
        <w:pStyle w:val="ListBullet"/>
        <w:spacing w:after="60"/>
      </w:pPr>
      <w:r>
        <w:rPr>
          <w:sz w:val="20"/>
        </w:rPr>
        <w:t>If user unchecks after selecting a file, disable the Analyze button again.</w:t>
      </w:r>
    </w:p>
    <w:p>
      <w:pPr>
        <w:pStyle w:val="Heading2"/>
      </w:pPr>
      <w:r>
        <w:rPr>
          <w:b/>
          <w:color w:val="1F3864"/>
        </w:rPr>
        <w:t>3.3  Post-results Disclaimer (persistent on results page)</w:t>
      </w:r>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FFF3CD"/>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856404"/>
                <w:sz w:val="20"/>
              </w:rPr>
              <w:t xml:space="preserve">PERSISTENT FOOTER TEXT:  </w:t>
            </w:r>
            <w:r>
              <w:rPr>
                <w:sz w:val="20"/>
              </w:rPr>
              <w:t>This is not medical advice. These results reflect publicly available research and may not be complete or applicable to your individual health situation. Discuss significant findings with a genetic counselor or physician before making any health decisions.</w:t>
            </w:r>
          </w:p>
        </w:tc>
      </w:tr>
    </w:tbl>
    <w:p/>
    <w:p>
      <w:r>
        <w:br w:type="page"/>
      </w:r>
    </w:p>
    <w:p>
      <w:pPr>
        <w:pStyle w:val="Heading1"/>
      </w:pPr>
      <w:r>
        <w:rPr>
          <w:b/>
          <w:color w:val="1F3864"/>
        </w:rPr>
        <w:t>4.  Security Audit Plan</w:t>
      </w:r>
    </w:p>
    <w:p>
      <w:pPr>
        <w:pBdr>
          <w:bottom w:val="single" w:sz="6" w:space="1" w:color="2E75B6"/>
        </w:pBdr>
        <w:spacing w:before="80" w:after="160"/>
      </w:pPr>
    </w:p>
    <w:p>
      <w:pPr>
        <w:spacing w:before="0" w:after="160"/>
      </w:pPr>
      <w:r>
        <w:rPr>
          <w:b w:val="0"/>
          <w:i w:val="0"/>
          <w:sz w:val="20"/>
        </w:rPr>
        <w:t>This plan is phased to match the product roadmap. Pre-launch audits (Phases 1-2) are essential. Red team and penetration testing is post-MVP.</w:t>
      </w:r>
    </w:p>
    <w:p>
      <w:pPr>
        <w:spacing w:before="200" w:after="80"/>
      </w:pPr>
      <w:r>
        <w:rPr>
          <w:b/>
          <w:i w:val="0"/>
          <w:color w:val="1F3864"/>
          <w:sz w:val="22"/>
        </w:rPr>
        <w:t>Phase 1 — Pre-Deploy (Before public URL goes live)</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F3864"/>
          </w:tcPr>
          <w:p>
            <w:pPr>
              <w:spacing w:before="60" w:after="60"/>
            </w:pPr>
            <w:r>
              <w:rPr>
                <w:b/>
                <w:color w:val="FFFFFF"/>
                <w:sz w:val="18"/>
              </w:rPr>
              <w:t>Task</w:t>
            </w:r>
          </w:p>
        </w:tc>
        <w:tc>
          <w:tcPr>
            <w:tcW w:type="dxa" w:w="1728"/>
            <w:shd w:val="clear" w:color="auto" w:fill="1F3864"/>
          </w:tcPr>
          <w:p>
            <w:pPr>
              <w:spacing w:before="60" w:after="60"/>
            </w:pPr>
            <w:r>
              <w:rPr>
                <w:b/>
                <w:color w:val="FFFFFF"/>
                <w:sz w:val="18"/>
              </w:rPr>
              <w:t>Owner</w:t>
            </w:r>
          </w:p>
        </w:tc>
        <w:tc>
          <w:tcPr>
            <w:tcW w:type="dxa" w:w="5472"/>
            <w:shd w:val="clear" w:color="auto" w:fill="1F3864"/>
          </w:tcPr>
          <w:p>
            <w:pPr>
              <w:spacing w:before="60" w:after="60"/>
            </w:pPr>
            <w:r>
              <w:rPr>
                <w:b/>
                <w:color w:val="FFFFFF"/>
                <w:sz w:val="18"/>
              </w:rPr>
              <w:t>Description</w:t>
            </w:r>
          </w:p>
        </w:tc>
      </w:tr>
      <w:tr>
        <w:tc>
          <w:tcPr>
            <w:tcW w:type="dxa" w:w="2880"/>
            <w:shd w:val="clear" w:color="auto" w:fill="FFFFFF"/>
          </w:tcPr>
          <w:p>
            <w:pPr>
              <w:spacing w:before="40" w:after="40"/>
            </w:pPr>
            <w:r>
              <w:rPr>
                <w:b w:val="0"/>
                <w:sz w:val="18"/>
              </w:rPr>
              <w:t>API surface review</w:t>
            </w:r>
          </w:p>
        </w:tc>
        <w:tc>
          <w:tcPr>
            <w:tcW w:type="dxa" w:w="1728"/>
            <w:shd w:val="clear" w:color="auto" w:fill="FFFFFF"/>
          </w:tcPr>
          <w:p>
            <w:pPr>
              <w:spacing w:before="40" w:after="40"/>
            </w:pPr>
            <w:r>
              <w:rPr>
                <w:b w:val="0"/>
                <w:sz w:val="18"/>
              </w:rPr>
              <w:t>Cane</w:t>
            </w:r>
          </w:p>
        </w:tc>
        <w:tc>
          <w:tcPr>
            <w:tcW w:type="dxa" w:w="5472"/>
            <w:shd w:val="clear" w:color="auto" w:fill="FFFFFF"/>
          </w:tcPr>
          <w:p>
            <w:pPr>
              <w:spacing w:before="40" w:after="40"/>
            </w:pPr>
            <w:r>
              <w:rPr>
                <w:b w:val="0"/>
                <w:sz w:val="18"/>
              </w:rPr>
              <w:t>Review all FastAPI endpoints for unintended exposure, missing auth, rate limiting gaps</w:t>
            </w:r>
          </w:p>
        </w:tc>
      </w:tr>
      <w:tr>
        <w:tc>
          <w:tcPr>
            <w:tcW w:type="dxa" w:w="2880"/>
            <w:shd w:val="clear" w:color="auto" w:fill="F2F7FC"/>
          </w:tcPr>
          <w:p>
            <w:pPr>
              <w:spacing w:before="40" w:after="40"/>
            </w:pPr>
            <w:r>
              <w:rPr>
                <w:b w:val="0"/>
                <w:sz w:val="18"/>
              </w:rPr>
              <w:t>Container image scan</w:t>
            </w:r>
          </w:p>
        </w:tc>
        <w:tc>
          <w:tcPr>
            <w:tcW w:type="dxa" w:w="1728"/>
            <w:shd w:val="clear" w:color="auto" w:fill="F2F7FC"/>
          </w:tcPr>
          <w:p>
            <w:pPr>
              <w:spacing w:before="40" w:after="40"/>
            </w:pPr>
            <w:r>
              <w:rPr>
                <w:b w:val="0"/>
                <w:sz w:val="18"/>
              </w:rPr>
              <w:t>Cane</w:t>
            </w:r>
          </w:p>
        </w:tc>
        <w:tc>
          <w:tcPr>
            <w:tcW w:type="dxa" w:w="5472"/>
            <w:shd w:val="clear" w:color="auto" w:fill="F2F7FC"/>
          </w:tcPr>
          <w:p>
            <w:pPr>
              <w:spacing w:before="40" w:after="40"/>
            </w:pPr>
            <w:r>
              <w:rPr>
                <w:b w:val="0"/>
                <w:sz w:val="18"/>
              </w:rPr>
              <w:t>Run Trivy against Docker image; remediate CRITICAL/HIGH CVEs before deploy</w:t>
            </w:r>
          </w:p>
        </w:tc>
      </w:tr>
      <w:tr>
        <w:tc>
          <w:tcPr>
            <w:tcW w:type="dxa" w:w="2880"/>
            <w:shd w:val="clear" w:color="auto" w:fill="FFFFFF"/>
          </w:tcPr>
          <w:p>
            <w:pPr>
              <w:spacing w:before="40" w:after="40"/>
            </w:pPr>
            <w:r>
              <w:rPr>
                <w:b w:val="0"/>
                <w:sz w:val="18"/>
              </w:rPr>
              <w:t>Kubernetes cluster audit</w:t>
            </w:r>
          </w:p>
        </w:tc>
        <w:tc>
          <w:tcPr>
            <w:tcW w:type="dxa" w:w="1728"/>
            <w:shd w:val="clear" w:color="auto" w:fill="FFFFFF"/>
          </w:tcPr>
          <w:p>
            <w:pPr>
              <w:spacing w:before="40" w:after="40"/>
            </w:pPr>
            <w:r>
              <w:rPr>
                <w:b w:val="0"/>
                <w:sz w:val="18"/>
              </w:rPr>
              <w:t>Cane + Hampton</w:t>
            </w:r>
          </w:p>
        </w:tc>
        <w:tc>
          <w:tcPr>
            <w:tcW w:type="dxa" w:w="5472"/>
            <w:shd w:val="clear" w:color="auto" w:fill="FFFFFF"/>
          </w:tcPr>
          <w:p>
            <w:pPr>
              <w:spacing w:before="40" w:after="40"/>
            </w:pPr>
            <w:r>
              <w:rPr>
                <w:b w:val="0"/>
                <w:sz w:val="18"/>
              </w:rPr>
              <w:t>Run kube-bench CIS benchmark; fix Level 1 findings</w:t>
            </w:r>
          </w:p>
        </w:tc>
      </w:tr>
      <w:tr>
        <w:tc>
          <w:tcPr>
            <w:tcW w:type="dxa" w:w="2880"/>
            <w:shd w:val="clear" w:color="auto" w:fill="F2F7FC"/>
          </w:tcPr>
          <w:p>
            <w:pPr>
              <w:spacing w:before="40" w:after="40"/>
            </w:pPr>
            <w:r>
              <w:rPr>
                <w:b w:val="0"/>
                <w:sz w:val="18"/>
              </w:rPr>
              <w:t>Dependency audit</w:t>
            </w:r>
          </w:p>
        </w:tc>
        <w:tc>
          <w:tcPr>
            <w:tcW w:type="dxa" w:w="1728"/>
            <w:shd w:val="clear" w:color="auto" w:fill="F2F7FC"/>
          </w:tcPr>
          <w:p>
            <w:pPr>
              <w:spacing w:before="40" w:after="40"/>
            </w:pPr>
            <w:r>
              <w:rPr>
                <w:b w:val="0"/>
                <w:sz w:val="18"/>
              </w:rPr>
              <w:t>Cane</w:t>
            </w:r>
          </w:p>
        </w:tc>
        <w:tc>
          <w:tcPr>
            <w:tcW w:type="dxa" w:w="5472"/>
            <w:shd w:val="clear" w:color="auto" w:fill="F2F7FC"/>
          </w:tcPr>
          <w:p>
            <w:pPr>
              <w:spacing w:before="40" w:after="40"/>
            </w:pPr>
            <w:r>
              <w:rPr>
                <w:b w:val="0"/>
                <w:sz w:val="18"/>
              </w:rPr>
              <w:t>Run pip-audit against engine/ + API dependencies; fix known vulns</w:t>
            </w:r>
          </w:p>
        </w:tc>
      </w:tr>
      <w:tr>
        <w:tc>
          <w:tcPr>
            <w:tcW w:type="dxa" w:w="2880"/>
            <w:shd w:val="clear" w:color="auto" w:fill="FFFFFF"/>
          </w:tcPr>
          <w:p>
            <w:pPr>
              <w:spacing w:before="40" w:after="40"/>
            </w:pPr>
            <w:r>
              <w:rPr>
                <w:b w:val="0"/>
                <w:sz w:val="18"/>
              </w:rPr>
              <w:t>TLS configuration check</w:t>
            </w:r>
          </w:p>
        </w:tc>
        <w:tc>
          <w:tcPr>
            <w:tcW w:type="dxa" w:w="1728"/>
            <w:shd w:val="clear" w:color="auto" w:fill="FFFFFF"/>
          </w:tcPr>
          <w:p>
            <w:pPr>
              <w:spacing w:before="40" w:after="40"/>
            </w:pPr>
            <w:r>
              <w:rPr>
                <w:b w:val="0"/>
                <w:sz w:val="18"/>
              </w:rPr>
              <w:t>Hampton</w:t>
            </w:r>
          </w:p>
        </w:tc>
        <w:tc>
          <w:tcPr>
            <w:tcW w:type="dxa" w:w="5472"/>
            <w:shd w:val="clear" w:color="auto" w:fill="FFFFFF"/>
          </w:tcPr>
          <w:p>
            <w:pPr>
              <w:spacing w:before="40" w:after="40"/>
            </w:pPr>
            <w:r>
              <w:rPr>
                <w:b w:val="0"/>
                <w:sz w:val="18"/>
              </w:rPr>
              <w:t>Confirm TLS 1.2+ enforced, certificates from trusted CA, HSTS header set</w:t>
            </w:r>
          </w:p>
        </w:tc>
      </w:tr>
      <w:tr>
        <w:tc>
          <w:tcPr>
            <w:tcW w:type="dxa" w:w="2880"/>
            <w:shd w:val="clear" w:color="auto" w:fill="F2F7FC"/>
          </w:tcPr>
          <w:p>
            <w:pPr>
              <w:spacing w:before="40" w:after="40"/>
            </w:pPr>
            <w:r>
              <w:rPr>
                <w:b w:val="0"/>
                <w:sz w:val="18"/>
              </w:rPr>
              <w:t>Secrets audit</w:t>
            </w:r>
          </w:p>
        </w:tc>
        <w:tc>
          <w:tcPr>
            <w:tcW w:type="dxa" w:w="1728"/>
            <w:shd w:val="clear" w:color="auto" w:fill="F2F7FC"/>
          </w:tcPr>
          <w:p>
            <w:pPr>
              <w:spacing w:before="40" w:after="40"/>
            </w:pPr>
            <w:r>
              <w:rPr>
                <w:b w:val="0"/>
                <w:sz w:val="18"/>
              </w:rPr>
              <w:t>Cane + Hampton</w:t>
            </w:r>
          </w:p>
        </w:tc>
        <w:tc>
          <w:tcPr>
            <w:tcW w:type="dxa" w:w="5472"/>
            <w:shd w:val="clear" w:color="auto" w:fill="F2F7FC"/>
          </w:tcPr>
          <w:p>
            <w:pPr>
              <w:spacing w:before="40" w:after="40"/>
            </w:pPr>
            <w:r>
              <w:rPr>
                <w:b w:val="0"/>
                <w:sz w:val="18"/>
              </w:rPr>
              <w:t>Confirm no secrets in Docker image, git history, or K8s pod specs; all via env vars or K8s Secrets</w:t>
            </w:r>
          </w:p>
        </w:tc>
      </w:tr>
      <w:tr>
        <w:tc>
          <w:tcPr>
            <w:tcW w:type="dxa" w:w="2880"/>
            <w:shd w:val="clear" w:color="auto" w:fill="FFFFFF"/>
          </w:tcPr>
          <w:p>
            <w:pPr>
              <w:spacing w:before="40" w:after="40"/>
            </w:pPr>
            <w:r>
              <w:rPr>
                <w:b w:val="0"/>
                <w:sz w:val="18"/>
              </w:rPr>
              <w:t>Port scan (Nmap)</w:t>
            </w:r>
          </w:p>
        </w:tc>
        <w:tc>
          <w:tcPr>
            <w:tcW w:type="dxa" w:w="1728"/>
            <w:shd w:val="clear" w:color="auto" w:fill="FFFFFF"/>
          </w:tcPr>
          <w:p>
            <w:pPr>
              <w:spacing w:before="40" w:after="40"/>
            </w:pPr>
            <w:r>
              <w:rPr>
                <w:b w:val="0"/>
                <w:sz w:val="18"/>
              </w:rPr>
              <w:t>Cane</w:t>
            </w:r>
          </w:p>
        </w:tc>
        <w:tc>
          <w:tcPr>
            <w:tcW w:type="dxa" w:w="5472"/>
            <w:shd w:val="clear" w:color="auto" w:fill="FFFFFF"/>
          </w:tcPr>
          <w:p>
            <w:pPr>
              <w:spacing w:before="40" w:after="40"/>
            </w:pPr>
            <w:r>
              <w:rPr>
                <w:b w:val="0"/>
                <w:sz w:val="18"/>
              </w:rPr>
              <w:t>Run Nmap against cluster; confirm only expected ports open (443, 80 redirect)</w:t>
            </w:r>
          </w:p>
        </w:tc>
      </w:tr>
    </w:tbl>
    <w:p/>
    <w:p>
      <w:pPr>
        <w:spacing w:before="200" w:after="80"/>
      </w:pPr>
      <w:r>
        <w:rPr>
          <w:b/>
          <w:i w:val="0"/>
          <w:color w:val="2E75B6"/>
          <w:sz w:val="22"/>
        </w:rPr>
        <w:t>Phase 2 — Post-Deploy (Within 2 weeks of first public user)</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F3864"/>
          </w:tcPr>
          <w:p>
            <w:pPr>
              <w:spacing w:before="60" w:after="60"/>
            </w:pPr>
            <w:r>
              <w:rPr>
                <w:b/>
                <w:color w:val="FFFFFF"/>
                <w:sz w:val="18"/>
              </w:rPr>
              <w:t>Task</w:t>
            </w:r>
          </w:p>
        </w:tc>
        <w:tc>
          <w:tcPr>
            <w:tcW w:type="dxa" w:w="1728"/>
            <w:shd w:val="clear" w:color="auto" w:fill="1F3864"/>
          </w:tcPr>
          <w:p>
            <w:pPr>
              <w:spacing w:before="60" w:after="60"/>
            </w:pPr>
            <w:r>
              <w:rPr>
                <w:b/>
                <w:color w:val="FFFFFF"/>
                <w:sz w:val="18"/>
              </w:rPr>
              <w:t>Owner</w:t>
            </w:r>
          </w:p>
        </w:tc>
        <w:tc>
          <w:tcPr>
            <w:tcW w:type="dxa" w:w="5472"/>
            <w:shd w:val="clear" w:color="auto" w:fill="1F3864"/>
          </w:tcPr>
          <w:p>
            <w:pPr>
              <w:spacing w:before="60" w:after="60"/>
            </w:pPr>
            <w:r>
              <w:rPr>
                <w:b/>
                <w:color w:val="FFFFFF"/>
                <w:sz w:val="18"/>
              </w:rPr>
              <w:t>Description</w:t>
            </w:r>
          </w:p>
        </w:tc>
      </w:tr>
      <w:tr>
        <w:tc>
          <w:tcPr>
            <w:tcW w:type="dxa" w:w="2880"/>
            <w:shd w:val="clear" w:color="auto" w:fill="FFFFFF"/>
          </w:tcPr>
          <w:p>
            <w:pPr>
              <w:spacing w:before="40" w:after="40"/>
            </w:pPr>
            <w:r>
              <w:rPr>
                <w:b w:val="0"/>
                <w:sz w:val="18"/>
              </w:rPr>
              <w:t>OWASP Top 10 review</w:t>
            </w:r>
          </w:p>
        </w:tc>
        <w:tc>
          <w:tcPr>
            <w:tcW w:type="dxa" w:w="1728"/>
            <w:shd w:val="clear" w:color="auto" w:fill="FFFFFF"/>
          </w:tcPr>
          <w:p>
            <w:pPr>
              <w:spacing w:before="40" w:after="40"/>
            </w:pPr>
            <w:r>
              <w:rPr>
                <w:b w:val="0"/>
                <w:sz w:val="18"/>
              </w:rPr>
              <w:t>Cane</w:t>
            </w:r>
          </w:p>
        </w:tc>
        <w:tc>
          <w:tcPr>
            <w:tcW w:type="dxa" w:w="5472"/>
            <w:shd w:val="clear" w:color="auto" w:fill="FFFFFF"/>
          </w:tcPr>
          <w:p>
            <w:pPr>
              <w:spacing w:before="40" w:after="40"/>
            </w:pPr>
            <w:r>
              <w:rPr>
                <w:b w:val="0"/>
                <w:sz w:val="18"/>
              </w:rPr>
              <w:t>Manual review of upload endpoint, job polling endpoint, email capture against OWASP Top 10</w:t>
            </w:r>
          </w:p>
        </w:tc>
      </w:tr>
      <w:tr>
        <w:tc>
          <w:tcPr>
            <w:tcW w:type="dxa" w:w="2880"/>
            <w:shd w:val="clear" w:color="auto" w:fill="F2F7FC"/>
          </w:tcPr>
          <w:p>
            <w:pPr>
              <w:spacing w:before="40" w:after="40"/>
            </w:pPr>
            <w:r>
              <w:rPr>
                <w:b w:val="0"/>
                <w:sz w:val="18"/>
              </w:rPr>
              <w:t>File upload security test</w:t>
            </w:r>
          </w:p>
        </w:tc>
        <w:tc>
          <w:tcPr>
            <w:tcW w:type="dxa" w:w="1728"/>
            <w:shd w:val="clear" w:color="auto" w:fill="F2F7FC"/>
          </w:tcPr>
          <w:p>
            <w:pPr>
              <w:spacing w:before="40" w:after="40"/>
            </w:pPr>
            <w:r>
              <w:rPr>
                <w:b w:val="0"/>
                <w:sz w:val="18"/>
              </w:rPr>
              <w:t>Cane</w:t>
            </w:r>
          </w:p>
        </w:tc>
        <w:tc>
          <w:tcPr>
            <w:tcW w:type="dxa" w:w="5472"/>
            <w:shd w:val="clear" w:color="auto" w:fill="F2F7FC"/>
          </w:tcPr>
          <w:p>
            <w:pPr>
              <w:spacing w:before="40" w:after="40"/>
            </w:pPr>
            <w:r>
              <w:rPr>
                <w:b w:val="0"/>
                <w:sz w:val="18"/>
              </w:rPr>
              <w:t>Attempt to upload malicious files (executables, oversized files, path traversal filenames)</w:t>
            </w:r>
          </w:p>
        </w:tc>
      </w:tr>
      <w:tr>
        <w:tc>
          <w:tcPr>
            <w:tcW w:type="dxa" w:w="2880"/>
            <w:shd w:val="clear" w:color="auto" w:fill="FFFFFF"/>
          </w:tcPr>
          <w:p>
            <w:pPr>
              <w:spacing w:before="40" w:after="40"/>
            </w:pPr>
            <w:r>
              <w:rPr>
                <w:b w:val="0"/>
                <w:sz w:val="18"/>
              </w:rPr>
              <w:t>Rate limiting test</w:t>
            </w:r>
          </w:p>
        </w:tc>
        <w:tc>
          <w:tcPr>
            <w:tcW w:type="dxa" w:w="1728"/>
            <w:shd w:val="clear" w:color="auto" w:fill="FFFFFF"/>
          </w:tcPr>
          <w:p>
            <w:pPr>
              <w:spacing w:before="40" w:after="40"/>
            </w:pPr>
            <w:r>
              <w:rPr>
                <w:b w:val="0"/>
                <w:sz w:val="18"/>
              </w:rPr>
              <w:t>Cane</w:t>
            </w:r>
          </w:p>
        </w:tc>
        <w:tc>
          <w:tcPr>
            <w:tcW w:type="dxa" w:w="5472"/>
            <w:shd w:val="clear" w:color="auto" w:fill="FFFFFF"/>
          </w:tcPr>
          <w:p>
            <w:pPr>
              <w:spacing w:before="40" w:after="40"/>
            </w:pPr>
            <w:r>
              <w:rPr>
                <w:b w:val="0"/>
                <w:sz w:val="18"/>
              </w:rPr>
              <w:t>Confirm /analyze endpoint rate-limited; test for abuse vectors</w:t>
            </w:r>
          </w:p>
        </w:tc>
      </w:tr>
      <w:tr>
        <w:tc>
          <w:tcPr>
            <w:tcW w:type="dxa" w:w="2880"/>
            <w:shd w:val="clear" w:color="auto" w:fill="F2F7FC"/>
          </w:tcPr>
          <w:p>
            <w:pPr>
              <w:spacing w:before="40" w:after="40"/>
            </w:pPr>
            <w:r>
              <w:rPr>
                <w:b w:val="0"/>
                <w:sz w:val="18"/>
              </w:rPr>
              <w:t>Log review</w:t>
            </w:r>
          </w:p>
        </w:tc>
        <w:tc>
          <w:tcPr>
            <w:tcW w:type="dxa" w:w="1728"/>
            <w:shd w:val="clear" w:color="auto" w:fill="F2F7FC"/>
          </w:tcPr>
          <w:p>
            <w:pPr>
              <w:spacing w:before="40" w:after="40"/>
            </w:pPr>
            <w:r>
              <w:rPr>
                <w:b w:val="0"/>
                <w:sz w:val="18"/>
              </w:rPr>
              <w:t>Cane + Hampton</w:t>
            </w:r>
          </w:p>
        </w:tc>
        <w:tc>
          <w:tcPr>
            <w:tcW w:type="dxa" w:w="5472"/>
            <w:shd w:val="clear" w:color="auto" w:fill="F2F7FC"/>
          </w:tcPr>
          <w:p>
            <w:pPr>
              <w:spacing w:before="40" w:after="40"/>
            </w:pPr>
            <w:r>
              <w:rPr>
                <w:b w:val="0"/>
                <w:sz w:val="18"/>
              </w:rPr>
              <w:t>Review server logs for unexpected access patterns, credential probing, unusual IPs</w:t>
            </w:r>
          </w:p>
        </w:tc>
      </w:tr>
      <w:tr>
        <w:tc>
          <w:tcPr>
            <w:tcW w:type="dxa" w:w="2880"/>
            <w:shd w:val="clear" w:color="auto" w:fill="FFFFFF"/>
          </w:tcPr>
          <w:p>
            <w:pPr>
              <w:spacing w:before="40" w:after="40"/>
            </w:pPr>
            <w:r>
              <w:rPr>
                <w:b w:val="0"/>
                <w:sz w:val="18"/>
              </w:rPr>
              <w:t>Vulnerability scan (Nessus or equivalent)</w:t>
            </w:r>
          </w:p>
        </w:tc>
        <w:tc>
          <w:tcPr>
            <w:tcW w:type="dxa" w:w="1728"/>
            <w:shd w:val="clear" w:color="auto" w:fill="FFFFFF"/>
          </w:tcPr>
          <w:p>
            <w:pPr>
              <w:spacing w:before="40" w:after="40"/>
            </w:pPr>
            <w:r>
              <w:rPr>
                <w:b w:val="0"/>
                <w:sz w:val="18"/>
              </w:rPr>
              <w:t>Cane</w:t>
            </w:r>
          </w:p>
        </w:tc>
        <w:tc>
          <w:tcPr>
            <w:tcW w:type="dxa" w:w="5472"/>
            <w:shd w:val="clear" w:color="auto" w:fill="FFFFFF"/>
          </w:tcPr>
          <w:p>
            <w:pPr>
              <w:spacing w:before="40" w:after="40"/>
            </w:pPr>
            <w:r>
              <w:rPr>
                <w:b w:val="0"/>
                <w:sz w:val="18"/>
              </w:rPr>
              <w:t>Full vulnerability scan against live API; remediate CRITICAL/HIGH</w:t>
            </w:r>
          </w:p>
        </w:tc>
      </w:tr>
    </w:tbl>
    <w:p/>
    <w:p>
      <w:pPr>
        <w:spacing w:before="200" w:after="80"/>
      </w:pPr>
      <w:r>
        <w:rPr>
          <w:b/>
          <w:i w:val="0"/>
          <w:color w:val="1A6B3C"/>
          <w:sz w:val="22"/>
        </w:rPr>
        <w:t>Phase 3 — Pre-Beta (Before 10 users upload real genomes)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F3864"/>
          </w:tcPr>
          <w:p>
            <w:pPr>
              <w:spacing w:before="60" w:after="60"/>
            </w:pPr>
            <w:r>
              <w:rPr>
                <w:b/>
                <w:color w:val="FFFFFF"/>
                <w:sz w:val="18"/>
              </w:rPr>
              <w:t>Task</w:t>
            </w:r>
          </w:p>
        </w:tc>
        <w:tc>
          <w:tcPr>
            <w:tcW w:type="dxa" w:w="1728"/>
            <w:shd w:val="clear" w:color="auto" w:fill="1F3864"/>
          </w:tcPr>
          <w:p>
            <w:pPr>
              <w:spacing w:before="60" w:after="60"/>
            </w:pPr>
            <w:r>
              <w:rPr>
                <w:b/>
                <w:color w:val="FFFFFF"/>
                <w:sz w:val="18"/>
              </w:rPr>
              <w:t>Owner</w:t>
            </w:r>
          </w:p>
        </w:tc>
        <w:tc>
          <w:tcPr>
            <w:tcW w:type="dxa" w:w="5472"/>
            <w:shd w:val="clear" w:color="auto" w:fill="1F3864"/>
          </w:tcPr>
          <w:p>
            <w:pPr>
              <w:spacing w:before="60" w:after="60"/>
            </w:pPr>
            <w:r>
              <w:rPr>
                <w:b/>
                <w:color w:val="FFFFFF"/>
                <w:sz w:val="18"/>
              </w:rPr>
              <w:t>Description</w:t>
            </w:r>
          </w:p>
        </w:tc>
      </w:tr>
      <w:tr>
        <w:tc>
          <w:tcPr>
            <w:tcW w:type="dxa" w:w="2880"/>
            <w:shd w:val="clear" w:color="auto" w:fill="FFFFFF"/>
          </w:tcPr>
          <w:p>
            <w:pPr>
              <w:spacing w:before="40" w:after="40"/>
            </w:pPr>
            <w:r>
              <w:rPr>
                <w:b w:val="0"/>
                <w:sz w:val="18"/>
              </w:rPr>
              <w:t>Privacy audit</w:t>
            </w:r>
          </w:p>
        </w:tc>
        <w:tc>
          <w:tcPr>
            <w:tcW w:type="dxa" w:w="1728"/>
            <w:shd w:val="clear" w:color="auto" w:fill="FFFFFF"/>
          </w:tcPr>
          <w:p>
            <w:pPr>
              <w:spacing w:before="40" w:after="40"/>
            </w:pPr>
            <w:r>
              <w:rPr>
                <w:b w:val="0"/>
                <w:sz w:val="18"/>
              </w:rPr>
              <w:t>Cane + Curtis</w:t>
            </w:r>
          </w:p>
        </w:tc>
        <w:tc>
          <w:tcPr>
            <w:tcW w:type="dxa" w:w="5472"/>
            <w:shd w:val="clear" w:color="auto" w:fill="FFFFFF"/>
          </w:tcPr>
          <w:p>
            <w:pPr>
              <w:spacing w:before="40" w:after="40"/>
            </w:pPr>
            <w:r>
              <w:rPr>
                <w:b w:val="0"/>
                <w:sz w:val="18"/>
              </w:rPr>
              <w:t>Verify no genome data persists after job completion; check DB for unexpected storage</w:t>
            </w:r>
          </w:p>
        </w:tc>
      </w:tr>
      <w:tr>
        <w:tc>
          <w:tcPr>
            <w:tcW w:type="dxa" w:w="2880"/>
            <w:shd w:val="clear" w:color="auto" w:fill="F2F7FC"/>
          </w:tcPr>
          <w:p>
            <w:pPr>
              <w:spacing w:before="40" w:after="40"/>
            </w:pPr>
            <w:r>
              <w:rPr>
                <w:b w:val="0"/>
                <w:sz w:val="18"/>
              </w:rPr>
              <w:t>Third-party API review</w:t>
            </w:r>
          </w:p>
        </w:tc>
        <w:tc>
          <w:tcPr>
            <w:tcW w:type="dxa" w:w="1728"/>
            <w:shd w:val="clear" w:color="auto" w:fill="F2F7FC"/>
          </w:tcPr>
          <w:p>
            <w:pPr>
              <w:spacing w:before="40" w:after="40"/>
            </w:pPr>
            <w:r>
              <w:rPr>
                <w:b w:val="0"/>
                <w:sz w:val="18"/>
              </w:rPr>
              <w:t>Cane</w:t>
            </w:r>
          </w:p>
        </w:tc>
        <w:tc>
          <w:tcPr>
            <w:tcW w:type="dxa" w:w="5472"/>
            <w:shd w:val="clear" w:color="auto" w:fill="F2F7FC"/>
          </w:tcPr>
          <w:p>
            <w:pPr>
              <w:spacing w:before="40" w:after="40"/>
            </w:pPr>
            <w:r>
              <w:rPr>
                <w:b w:val="0"/>
                <w:sz w:val="18"/>
              </w:rPr>
              <w:t>Confirm ClinVar, gnomAD, VEP queries contain only variant coordinates — no PII, no session identifiers</w:t>
            </w:r>
          </w:p>
        </w:tc>
      </w:tr>
      <w:tr>
        <w:tc>
          <w:tcPr>
            <w:tcW w:type="dxa" w:w="2880"/>
            <w:shd w:val="clear" w:color="auto" w:fill="FFFFFF"/>
          </w:tcPr>
          <w:p>
            <w:pPr>
              <w:spacing w:before="40" w:after="40"/>
            </w:pPr>
            <w:r>
              <w:rPr>
                <w:b w:val="0"/>
                <w:sz w:val="18"/>
              </w:rPr>
              <w:t>Incident response plan</w:t>
            </w:r>
          </w:p>
        </w:tc>
        <w:tc>
          <w:tcPr>
            <w:tcW w:type="dxa" w:w="1728"/>
            <w:shd w:val="clear" w:color="auto" w:fill="FFFFFF"/>
          </w:tcPr>
          <w:p>
            <w:pPr>
              <w:spacing w:before="40" w:after="40"/>
            </w:pPr>
            <w:r>
              <w:rPr>
                <w:b w:val="0"/>
                <w:sz w:val="18"/>
              </w:rPr>
              <w:t>Cane + Curtis</w:t>
            </w:r>
          </w:p>
        </w:tc>
        <w:tc>
          <w:tcPr>
            <w:tcW w:type="dxa" w:w="5472"/>
            <w:shd w:val="clear" w:color="auto" w:fill="FFFFFF"/>
          </w:tcPr>
          <w:p>
            <w:pPr>
              <w:spacing w:before="40" w:after="40"/>
            </w:pPr>
            <w:r>
              <w:rPr>
                <w:b w:val="0"/>
                <w:sz w:val="18"/>
              </w:rPr>
              <w:t>Define what happens if a data breach occurs: who to notify, what to disclose, timeline</w:t>
            </w:r>
          </w:p>
        </w:tc>
      </w:tr>
      <w:tr>
        <w:tc>
          <w:tcPr>
            <w:tcW w:type="dxa" w:w="2880"/>
            <w:shd w:val="clear" w:color="auto" w:fill="F2F7FC"/>
          </w:tcPr>
          <w:p>
            <w:pPr>
              <w:spacing w:before="40" w:after="40"/>
            </w:pPr>
            <w:r>
              <w:rPr>
                <w:b w:val="0"/>
                <w:sz w:val="18"/>
              </w:rPr>
              <w:t>Legal review</w:t>
            </w:r>
          </w:p>
        </w:tc>
        <w:tc>
          <w:tcPr>
            <w:tcW w:type="dxa" w:w="1728"/>
            <w:shd w:val="clear" w:color="auto" w:fill="F2F7FC"/>
          </w:tcPr>
          <w:p>
            <w:pPr>
              <w:spacing w:before="40" w:after="40"/>
            </w:pPr>
            <w:r>
              <w:rPr>
                <w:b w:val="0"/>
                <w:sz w:val="18"/>
              </w:rPr>
              <w:t>Curtis + legal counsel</w:t>
            </w:r>
          </w:p>
        </w:tc>
        <w:tc>
          <w:tcPr>
            <w:tcW w:type="dxa" w:w="5472"/>
            <w:shd w:val="clear" w:color="auto" w:fill="F2F7FC"/>
          </w:tcPr>
          <w:p>
            <w:pPr>
              <w:spacing w:before="40" w:after="40"/>
            </w:pPr>
            <w:r>
              <w:rPr>
                <w:b w:val="0"/>
                <w:sz w:val="18"/>
              </w:rPr>
              <w:t>Confirm platform positioning (information vs. medical device); review privacy policy</w:t>
            </w:r>
          </w:p>
        </w:tc>
      </w:tr>
    </w:tbl>
    <w:p/>
    <w:p>
      <w:pPr>
        <w:spacing w:before="200" w:after="80"/>
      </w:pPr>
      <w:r>
        <w:rPr>
          <w:b/>
          <w:i w:val="0"/>
          <w:color w:val="7B3FA0"/>
          <w:sz w:val="22"/>
        </w:rPr>
        <w:t>Phase 4 — Post-MVP (Bug bounty / red team — when traffic warrants)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F3864"/>
          </w:tcPr>
          <w:p>
            <w:pPr>
              <w:spacing w:before="60" w:after="60"/>
            </w:pPr>
            <w:r>
              <w:rPr>
                <w:b/>
                <w:color w:val="FFFFFF"/>
                <w:sz w:val="18"/>
              </w:rPr>
              <w:t>Task</w:t>
            </w:r>
          </w:p>
        </w:tc>
        <w:tc>
          <w:tcPr>
            <w:tcW w:type="dxa" w:w="1728"/>
            <w:shd w:val="clear" w:color="auto" w:fill="1F3864"/>
          </w:tcPr>
          <w:p>
            <w:pPr>
              <w:spacing w:before="60" w:after="60"/>
            </w:pPr>
            <w:r>
              <w:rPr>
                <w:b/>
                <w:color w:val="FFFFFF"/>
                <w:sz w:val="18"/>
              </w:rPr>
              <w:t>Owner</w:t>
            </w:r>
          </w:p>
        </w:tc>
        <w:tc>
          <w:tcPr>
            <w:tcW w:type="dxa" w:w="5472"/>
            <w:shd w:val="clear" w:color="auto" w:fill="1F3864"/>
          </w:tcPr>
          <w:p>
            <w:pPr>
              <w:spacing w:before="60" w:after="60"/>
            </w:pPr>
            <w:r>
              <w:rPr>
                <w:b/>
                <w:color w:val="FFFFFF"/>
                <w:sz w:val="18"/>
              </w:rPr>
              <w:t>Description</w:t>
            </w:r>
          </w:p>
        </w:tc>
      </w:tr>
      <w:tr>
        <w:tc>
          <w:tcPr>
            <w:tcW w:type="dxa" w:w="2880"/>
            <w:shd w:val="clear" w:color="auto" w:fill="FFFFFF"/>
          </w:tcPr>
          <w:p>
            <w:pPr>
              <w:spacing w:before="40" w:after="40"/>
            </w:pPr>
            <w:r>
              <w:rPr>
                <w:b w:val="0"/>
                <w:sz w:val="18"/>
              </w:rPr>
              <w:t>Bug bounty program</w:t>
            </w:r>
          </w:p>
        </w:tc>
        <w:tc>
          <w:tcPr>
            <w:tcW w:type="dxa" w:w="1728"/>
            <w:shd w:val="clear" w:color="auto" w:fill="FFFFFF"/>
          </w:tcPr>
          <w:p>
            <w:pPr>
              <w:spacing w:before="40" w:after="40"/>
            </w:pPr>
            <w:r>
              <w:rPr>
                <w:b w:val="0"/>
                <w:sz w:val="18"/>
              </w:rPr>
              <w:t>Curtis + Cane</w:t>
            </w:r>
          </w:p>
        </w:tc>
        <w:tc>
          <w:tcPr>
            <w:tcW w:type="dxa" w:w="5472"/>
            <w:shd w:val="clear" w:color="auto" w:fill="FFFFFF"/>
          </w:tcPr>
          <w:p>
            <w:pPr>
              <w:spacing w:before="40" w:after="40"/>
            </w:pPr>
            <w:r>
              <w:rPr>
                <w:b w:val="0"/>
                <w:sz w:val="18"/>
              </w:rPr>
              <w:t>Set up HackerOne or Bugcrowd; define scope, rules, rewards; launch when 100+ users</w:t>
            </w:r>
          </w:p>
        </w:tc>
      </w:tr>
      <w:tr>
        <w:tc>
          <w:tcPr>
            <w:tcW w:type="dxa" w:w="2880"/>
            <w:shd w:val="clear" w:color="auto" w:fill="F2F7FC"/>
          </w:tcPr>
          <w:p>
            <w:pPr>
              <w:spacing w:before="40" w:after="40"/>
            </w:pPr>
            <w:r>
              <w:rPr>
                <w:b w:val="0"/>
                <w:sz w:val="18"/>
              </w:rPr>
              <w:t>Penetration test</w:t>
            </w:r>
          </w:p>
        </w:tc>
        <w:tc>
          <w:tcPr>
            <w:tcW w:type="dxa" w:w="1728"/>
            <w:shd w:val="clear" w:color="auto" w:fill="F2F7FC"/>
          </w:tcPr>
          <w:p>
            <w:pPr>
              <w:spacing w:before="40" w:after="40"/>
            </w:pPr>
            <w:r>
              <w:rPr>
                <w:b w:val="0"/>
                <w:sz w:val="18"/>
              </w:rPr>
              <w:t>External firm</w:t>
            </w:r>
          </w:p>
        </w:tc>
        <w:tc>
          <w:tcPr>
            <w:tcW w:type="dxa" w:w="5472"/>
            <w:shd w:val="clear" w:color="auto" w:fill="F2F7FC"/>
          </w:tcPr>
          <w:p>
            <w:pPr>
              <w:spacing w:before="40" w:after="40"/>
            </w:pPr>
            <w:r>
              <w:rPr>
                <w:b w:val="0"/>
                <w:sz w:val="18"/>
              </w:rPr>
              <w:t>Full external penetration test; annual cadence once subscription revenue covers cost</w:t>
            </w:r>
          </w:p>
        </w:tc>
      </w:tr>
      <w:tr>
        <w:tc>
          <w:tcPr>
            <w:tcW w:type="dxa" w:w="2880"/>
            <w:shd w:val="clear" w:color="auto" w:fill="FFFFFF"/>
          </w:tcPr>
          <w:p>
            <w:pPr>
              <w:spacing w:before="40" w:after="40"/>
            </w:pPr>
            <w:r>
              <w:rPr>
                <w:b w:val="0"/>
                <w:sz w:val="18"/>
              </w:rPr>
              <w:t>SOC 2 Type I</w:t>
            </w:r>
          </w:p>
        </w:tc>
        <w:tc>
          <w:tcPr>
            <w:tcW w:type="dxa" w:w="1728"/>
            <w:shd w:val="clear" w:color="auto" w:fill="FFFFFF"/>
          </w:tcPr>
          <w:p>
            <w:pPr>
              <w:spacing w:before="40" w:after="40"/>
            </w:pPr>
            <w:r>
              <w:rPr>
                <w:b w:val="0"/>
                <w:sz w:val="18"/>
              </w:rPr>
              <w:t>Curtis</w:t>
            </w:r>
          </w:p>
        </w:tc>
        <w:tc>
          <w:tcPr>
            <w:tcW w:type="dxa" w:w="5472"/>
            <w:shd w:val="clear" w:color="auto" w:fill="FFFFFF"/>
          </w:tcPr>
          <w:p>
            <w:pPr>
              <w:spacing w:before="40" w:after="40"/>
            </w:pPr>
            <w:r>
              <w:rPr>
                <w:b w:val="0"/>
                <w:sz w:val="18"/>
              </w:rPr>
              <w:t>Evaluate when enterprise/institutional customers are in pipeline</w:t>
            </w:r>
          </w:p>
        </w:tc>
      </w:tr>
    </w:tbl>
    <w:p/>
    <w:p>
      <w:r>
        <w:br w:type="page"/>
      </w:r>
    </w:p>
    <w:p>
      <w:pPr>
        <w:pStyle w:val="Heading1"/>
      </w:pPr>
      <w:r>
        <w:rPr>
          <w:b/>
          <w:color w:val="1F3864"/>
        </w:rPr>
        <w:t>5.  Kubernetes Cluster Audit Checklist</w:t>
      </w:r>
    </w:p>
    <w:p>
      <w:pPr>
        <w:pBdr>
          <w:bottom w:val="single" w:sz="6" w:space="1" w:color="2E75B6"/>
        </w:pBdr>
        <w:spacing w:before="80" w:after="160"/>
      </w:pPr>
    </w:p>
    <w:p>
      <w:pPr>
        <w:spacing w:before="0" w:after="160"/>
      </w:pPr>
      <w:r>
        <w:rPr>
          <w:b w:val="0"/>
          <w:i w:val="0"/>
          <w:sz w:val="20"/>
        </w:rPr>
        <w:t>Run kube-bench (https://github.com/aquasecurity/kube-bench) against the cluster. It checks the CIS Kubernetes Benchmark automatically. The items below are the highest-priority manual checks Cane should verify alongside kube-bench output.</w:t>
      </w:r>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EBF3FB"/>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1F3864"/>
                <w:sz w:val="20"/>
              </w:rPr>
              <w:t xml:space="preserve">TOOL:  </w:t>
            </w:r>
            <w:r>
              <w:rPr>
                <w:sz w:val="20"/>
              </w:rPr>
              <w:t>kube-bench — run as a pod in the cluster. Outputs pass/fail for every CIS benchmark control. Fix all FAIL items before accepting users.</w:t>
            </w:r>
          </w:p>
        </w:tc>
      </w:tr>
    </w:tbl>
    <w:p/>
    <w:tbl>
      <w:tblPr>
        <w:tblStyle w:val="TableGrid"/>
        <w:tblW w:type="auto" w:w="0"/>
        <w:jc w:val="left"/>
        <w:tblLook w:firstColumn="1" w:firstRow="1" w:lastColumn="0" w:lastRow="0" w:noHBand="0" w:noVBand="1" w:val="04A0"/>
      </w:tblPr>
      <w:tblGrid>
        <w:gridCol w:w="3024"/>
        <w:gridCol w:w="3024"/>
        <w:gridCol w:w="3024"/>
      </w:tblGrid>
      <w:tr>
        <w:tc>
          <w:tcPr>
            <w:tcW w:type="dxa" w:w="1728"/>
            <w:shd w:val="clear" w:color="auto" w:fill="1F3864"/>
          </w:tcPr>
          <w:p>
            <w:pPr>
              <w:spacing w:before="60" w:after="60"/>
            </w:pPr>
            <w:r>
              <w:rPr>
                <w:b/>
                <w:color w:val="FFFFFF"/>
                <w:sz w:val="18"/>
              </w:rPr>
              <w:t>Area</w:t>
            </w:r>
          </w:p>
        </w:tc>
        <w:tc>
          <w:tcPr>
            <w:tcW w:type="dxa" w:w="7632"/>
            <w:shd w:val="clear" w:color="auto" w:fill="1F3864"/>
          </w:tcPr>
          <w:p>
            <w:pPr>
              <w:spacing w:before="60" w:after="60"/>
            </w:pPr>
            <w:r>
              <w:rPr>
                <w:b/>
                <w:color w:val="FFFFFF"/>
                <w:sz w:val="18"/>
              </w:rPr>
              <w:t>Check</w:t>
            </w:r>
          </w:p>
        </w:tc>
        <w:tc>
          <w:tcPr>
            <w:tcW w:type="dxa" w:w="1296"/>
            <w:shd w:val="clear" w:color="auto" w:fill="1F3864"/>
          </w:tcPr>
          <w:p>
            <w:pPr>
              <w:spacing w:before="60" w:after="60"/>
            </w:pPr>
            <w:r>
              <w:rPr>
                <w:b/>
                <w:color w:val="FFFFFF"/>
                <w:sz w:val="18"/>
              </w:rPr>
              <w:t>Priority</w:t>
            </w:r>
          </w:p>
        </w:tc>
      </w:tr>
      <w:tr>
        <w:tc>
          <w:tcPr>
            <w:tcW w:type="dxa" w:w="1728"/>
            <w:shd w:val="clear" w:color="auto" w:fill="FFFFFF"/>
          </w:tcPr>
          <w:p>
            <w:pPr>
              <w:spacing w:before="40" w:after="40"/>
            </w:pPr>
            <w:r>
              <w:rPr>
                <w:b/>
                <w:sz w:val="18"/>
              </w:rPr>
              <w:t>API Server</w:t>
            </w:r>
          </w:p>
        </w:tc>
        <w:tc>
          <w:tcPr>
            <w:tcW w:type="dxa" w:w="7632"/>
            <w:shd w:val="clear" w:color="auto" w:fill="FFFFFF"/>
          </w:tcPr>
          <w:p>
            <w:pPr>
              <w:spacing w:before="40" w:after="40"/>
            </w:pPr>
            <w:r>
              <w:rPr>
                <w:b w:val="0"/>
                <w:sz w:val="18"/>
              </w:rPr>
              <w:t>Ensure --anonymous-auth=false (no unauthenticated access to API server)</w:t>
            </w:r>
          </w:p>
        </w:tc>
        <w:tc>
          <w:tcPr>
            <w:tcW w:type="dxa" w:w="1296"/>
            <w:shd w:val="clear" w:color="auto" w:fill="FFFFFF"/>
          </w:tcPr>
          <w:p>
            <w:pPr>
              <w:spacing w:before="40" w:after="40"/>
            </w:pPr>
            <w:r>
              <w:rPr>
                <w:b w:val="0"/>
                <w:sz w:val="18"/>
              </w:rPr>
              <w:t>CRITICAL</w:t>
            </w:r>
          </w:p>
        </w:tc>
      </w:tr>
      <w:tr>
        <w:tc>
          <w:tcPr>
            <w:tcW w:type="dxa" w:w="1728"/>
            <w:shd w:val="clear" w:color="auto" w:fill="F2F7FC"/>
          </w:tcPr>
          <w:p>
            <w:pPr>
              <w:spacing w:before="40" w:after="40"/>
            </w:pPr>
            <w:r>
              <w:rPr>
                <w:b/>
                <w:sz w:val="18"/>
              </w:rPr>
              <w:t>API Server</w:t>
            </w:r>
          </w:p>
        </w:tc>
        <w:tc>
          <w:tcPr>
            <w:tcW w:type="dxa" w:w="7632"/>
            <w:shd w:val="clear" w:color="auto" w:fill="F2F7FC"/>
          </w:tcPr>
          <w:p>
            <w:pPr>
              <w:spacing w:before="40" w:after="40"/>
            </w:pPr>
            <w:r>
              <w:rPr>
                <w:b w:val="0"/>
                <w:sz w:val="18"/>
              </w:rPr>
              <w:t>Confirm --authorization-mode is NOT AlwaysAllow; should be RBAC</w:t>
            </w:r>
          </w:p>
        </w:tc>
        <w:tc>
          <w:tcPr>
            <w:tcW w:type="dxa" w:w="1296"/>
            <w:shd w:val="clear" w:color="auto" w:fill="F2F7FC"/>
          </w:tcPr>
          <w:p>
            <w:pPr>
              <w:spacing w:before="40" w:after="40"/>
            </w:pPr>
            <w:r>
              <w:rPr>
                <w:b w:val="0"/>
                <w:sz w:val="18"/>
              </w:rPr>
              <w:t>CRITICAL</w:t>
            </w:r>
          </w:p>
        </w:tc>
      </w:tr>
      <w:tr>
        <w:tc>
          <w:tcPr>
            <w:tcW w:type="dxa" w:w="1728"/>
            <w:shd w:val="clear" w:color="auto" w:fill="FFFFFF"/>
          </w:tcPr>
          <w:p>
            <w:pPr>
              <w:spacing w:before="40" w:after="40"/>
            </w:pPr>
            <w:r>
              <w:rPr>
                <w:b/>
                <w:sz w:val="18"/>
              </w:rPr>
              <w:t>API Server</w:t>
            </w:r>
          </w:p>
        </w:tc>
        <w:tc>
          <w:tcPr>
            <w:tcW w:type="dxa" w:w="7632"/>
            <w:shd w:val="clear" w:color="auto" w:fill="FFFFFF"/>
          </w:tcPr>
          <w:p>
            <w:pPr>
              <w:spacing w:before="40" w:after="40"/>
            </w:pPr>
            <w:r>
              <w:rPr>
                <w:b w:val="0"/>
                <w:sz w:val="18"/>
              </w:rPr>
              <w:t>Confirm --audit-log-path is set; audit logs must be on</w:t>
            </w:r>
          </w:p>
        </w:tc>
        <w:tc>
          <w:tcPr>
            <w:tcW w:type="dxa" w:w="1296"/>
            <w:shd w:val="clear" w:color="auto" w:fill="FFFFFF"/>
          </w:tcPr>
          <w:p>
            <w:pPr>
              <w:spacing w:before="40" w:after="40"/>
            </w:pPr>
            <w:r>
              <w:rPr>
                <w:b w:val="0"/>
                <w:sz w:val="18"/>
              </w:rPr>
              <w:t>HIGH</w:t>
            </w:r>
          </w:p>
        </w:tc>
      </w:tr>
      <w:tr>
        <w:tc>
          <w:tcPr>
            <w:tcW w:type="dxa" w:w="1728"/>
            <w:shd w:val="clear" w:color="auto" w:fill="F2F7FC"/>
          </w:tcPr>
          <w:p>
            <w:pPr>
              <w:spacing w:before="40" w:after="40"/>
            </w:pPr>
            <w:r>
              <w:rPr>
                <w:b/>
                <w:sz w:val="18"/>
              </w:rPr>
              <w:t>API Server</w:t>
            </w:r>
          </w:p>
        </w:tc>
        <w:tc>
          <w:tcPr>
            <w:tcW w:type="dxa" w:w="7632"/>
            <w:shd w:val="clear" w:color="auto" w:fill="F2F7FC"/>
          </w:tcPr>
          <w:p>
            <w:pPr>
              <w:spacing w:before="40" w:after="40"/>
            </w:pPr>
            <w:r>
              <w:rPr>
                <w:b w:val="0"/>
                <w:sz w:val="18"/>
              </w:rPr>
              <w:t>TLS: --tls-cert-file and --tls-private-key-file configured; no self-signed in prod</w:t>
            </w:r>
          </w:p>
        </w:tc>
        <w:tc>
          <w:tcPr>
            <w:tcW w:type="dxa" w:w="1296"/>
            <w:shd w:val="clear" w:color="auto" w:fill="F2F7FC"/>
          </w:tcPr>
          <w:p>
            <w:pPr>
              <w:spacing w:before="40" w:after="40"/>
            </w:pPr>
            <w:r>
              <w:rPr>
                <w:b w:val="0"/>
                <w:sz w:val="18"/>
              </w:rPr>
              <w:t>HIGH</w:t>
            </w:r>
          </w:p>
        </w:tc>
      </w:tr>
      <w:tr>
        <w:tc>
          <w:tcPr>
            <w:tcW w:type="dxa" w:w="1728"/>
            <w:shd w:val="clear" w:color="auto" w:fill="FFFFFF"/>
          </w:tcPr>
          <w:p>
            <w:pPr>
              <w:spacing w:before="40" w:after="40"/>
            </w:pPr>
            <w:r>
              <w:rPr>
                <w:b/>
                <w:sz w:val="18"/>
              </w:rPr>
              <w:t>Nodes</w:t>
            </w:r>
          </w:p>
        </w:tc>
        <w:tc>
          <w:tcPr>
            <w:tcW w:type="dxa" w:w="7632"/>
            <w:shd w:val="clear" w:color="auto" w:fill="FFFFFF"/>
          </w:tcPr>
          <w:p>
            <w:pPr>
              <w:spacing w:before="40" w:after="40"/>
            </w:pPr>
            <w:r>
              <w:rPr>
                <w:b w:val="0"/>
                <w:sz w:val="18"/>
              </w:rPr>
              <w:t>kubelet --anonymous-auth=false on all worker nodes</w:t>
            </w:r>
          </w:p>
        </w:tc>
        <w:tc>
          <w:tcPr>
            <w:tcW w:type="dxa" w:w="1296"/>
            <w:shd w:val="clear" w:color="auto" w:fill="FFFFFF"/>
          </w:tcPr>
          <w:p>
            <w:pPr>
              <w:spacing w:before="40" w:after="40"/>
            </w:pPr>
            <w:r>
              <w:rPr>
                <w:b w:val="0"/>
                <w:sz w:val="18"/>
              </w:rPr>
              <w:t>CRITICAL</w:t>
            </w:r>
          </w:p>
        </w:tc>
      </w:tr>
      <w:tr>
        <w:tc>
          <w:tcPr>
            <w:tcW w:type="dxa" w:w="1728"/>
            <w:shd w:val="clear" w:color="auto" w:fill="F2F7FC"/>
          </w:tcPr>
          <w:p>
            <w:pPr>
              <w:spacing w:before="40" w:after="40"/>
            </w:pPr>
            <w:r>
              <w:rPr>
                <w:b/>
                <w:sz w:val="18"/>
              </w:rPr>
              <w:t>Nodes</w:t>
            </w:r>
          </w:p>
        </w:tc>
        <w:tc>
          <w:tcPr>
            <w:tcW w:type="dxa" w:w="7632"/>
            <w:shd w:val="clear" w:color="auto" w:fill="F2F7FC"/>
          </w:tcPr>
          <w:p>
            <w:pPr>
              <w:spacing w:before="40" w:after="40"/>
            </w:pPr>
            <w:r>
              <w:rPr>
                <w:b w:val="0"/>
                <w:sz w:val="18"/>
              </w:rPr>
              <w:t>kubelet --authorization-mode=Webhook (not AlwaysAllow)</w:t>
            </w:r>
          </w:p>
        </w:tc>
        <w:tc>
          <w:tcPr>
            <w:tcW w:type="dxa" w:w="1296"/>
            <w:shd w:val="clear" w:color="auto" w:fill="F2F7FC"/>
          </w:tcPr>
          <w:p>
            <w:pPr>
              <w:spacing w:before="40" w:after="40"/>
            </w:pPr>
            <w:r>
              <w:rPr>
                <w:b w:val="0"/>
                <w:sz w:val="18"/>
              </w:rPr>
              <w:t>CRITICAL</w:t>
            </w:r>
          </w:p>
        </w:tc>
      </w:tr>
      <w:tr>
        <w:tc>
          <w:tcPr>
            <w:tcW w:type="dxa" w:w="1728"/>
            <w:shd w:val="clear" w:color="auto" w:fill="FFFFFF"/>
          </w:tcPr>
          <w:p>
            <w:pPr>
              <w:spacing w:before="40" w:after="40"/>
            </w:pPr>
            <w:r>
              <w:rPr>
                <w:b/>
                <w:sz w:val="18"/>
              </w:rPr>
              <w:t>Nodes</w:t>
            </w:r>
          </w:p>
        </w:tc>
        <w:tc>
          <w:tcPr>
            <w:tcW w:type="dxa" w:w="7632"/>
            <w:shd w:val="clear" w:color="auto" w:fill="FFFFFF"/>
          </w:tcPr>
          <w:p>
            <w:pPr>
              <w:spacing w:before="40" w:after="40"/>
            </w:pPr>
            <w:r>
              <w:rPr>
                <w:b w:val="0"/>
                <w:sz w:val="18"/>
              </w:rPr>
              <w:t>Container runtime socket not world-accessible</w:t>
            </w:r>
          </w:p>
        </w:tc>
        <w:tc>
          <w:tcPr>
            <w:tcW w:type="dxa" w:w="1296"/>
            <w:shd w:val="clear" w:color="auto" w:fill="FFFFFF"/>
          </w:tcPr>
          <w:p>
            <w:pPr>
              <w:spacing w:before="40" w:after="40"/>
            </w:pPr>
            <w:r>
              <w:rPr>
                <w:b w:val="0"/>
                <w:sz w:val="18"/>
              </w:rPr>
              <w:t>HIGH</w:t>
            </w:r>
          </w:p>
        </w:tc>
      </w:tr>
      <w:tr>
        <w:tc>
          <w:tcPr>
            <w:tcW w:type="dxa" w:w="1728"/>
            <w:shd w:val="clear" w:color="auto" w:fill="F2F7FC"/>
          </w:tcPr>
          <w:p>
            <w:pPr>
              <w:spacing w:before="40" w:after="40"/>
            </w:pPr>
            <w:r>
              <w:rPr>
                <w:b/>
                <w:sz w:val="18"/>
              </w:rPr>
              <w:t>RBAC</w:t>
            </w:r>
          </w:p>
        </w:tc>
        <w:tc>
          <w:tcPr>
            <w:tcW w:type="dxa" w:w="7632"/>
            <w:shd w:val="clear" w:color="auto" w:fill="F2F7FC"/>
          </w:tcPr>
          <w:p>
            <w:pPr>
              <w:spacing w:before="40" w:after="40"/>
            </w:pPr>
            <w:r>
              <w:rPr>
                <w:b w:val="0"/>
                <w:sz w:val="18"/>
              </w:rPr>
              <w:t>No service account with cluster-admin role unless explicitly required</w:t>
            </w:r>
          </w:p>
        </w:tc>
        <w:tc>
          <w:tcPr>
            <w:tcW w:type="dxa" w:w="1296"/>
            <w:shd w:val="clear" w:color="auto" w:fill="F2F7FC"/>
          </w:tcPr>
          <w:p>
            <w:pPr>
              <w:spacing w:before="40" w:after="40"/>
            </w:pPr>
            <w:r>
              <w:rPr>
                <w:b w:val="0"/>
                <w:sz w:val="18"/>
              </w:rPr>
              <w:t>CRITICAL</w:t>
            </w:r>
          </w:p>
        </w:tc>
      </w:tr>
      <w:tr>
        <w:tc>
          <w:tcPr>
            <w:tcW w:type="dxa" w:w="1728"/>
            <w:shd w:val="clear" w:color="auto" w:fill="FFFFFF"/>
          </w:tcPr>
          <w:p>
            <w:pPr>
              <w:spacing w:before="40" w:after="40"/>
            </w:pPr>
            <w:r>
              <w:rPr>
                <w:b/>
                <w:sz w:val="18"/>
              </w:rPr>
              <w:t>RBAC</w:t>
            </w:r>
          </w:p>
        </w:tc>
        <w:tc>
          <w:tcPr>
            <w:tcW w:type="dxa" w:w="7632"/>
            <w:shd w:val="clear" w:color="auto" w:fill="FFFFFF"/>
          </w:tcPr>
          <w:p>
            <w:pPr>
              <w:spacing w:before="40" w:after="40"/>
            </w:pPr>
            <w:r>
              <w:rPr>
                <w:b w:val="0"/>
                <w:sz w:val="18"/>
              </w:rPr>
              <w:t>API pod runs as non-root user (confirmed in Dockerfile — appuser)</w:t>
            </w:r>
          </w:p>
        </w:tc>
        <w:tc>
          <w:tcPr>
            <w:tcW w:type="dxa" w:w="1296"/>
            <w:shd w:val="clear" w:color="auto" w:fill="FFFFFF"/>
          </w:tcPr>
          <w:p>
            <w:pPr>
              <w:spacing w:before="40" w:after="40"/>
            </w:pPr>
            <w:r>
              <w:rPr>
                <w:b w:val="0"/>
                <w:sz w:val="18"/>
              </w:rPr>
              <w:t>HIGH</w:t>
            </w:r>
          </w:p>
        </w:tc>
      </w:tr>
      <w:tr>
        <w:tc>
          <w:tcPr>
            <w:tcW w:type="dxa" w:w="1728"/>
            <w:shd w:val="clear" w:color="auto" w:fill="F2F7FC"/>
          </w:tcPr>
          <w:p>
            <w:pPr>
              <w:spacing w:before="40" w:after="40"/>
            </w:pPr>
            <w:r>
              <w:rPr>
                <w:b/>
                <w:sz w:val="18"/>
              </w:rPr>
              <w:t>RBAC</w:t>
            </w:r>
          </w:p>
        </w:tc>
        <w:tc>
          <w:tcPr>
            <w:tcW w:type="dxa" w:w="7632"/>
            <w:shd w:val="clear" w:color="auto" w:fill="F2F7FC"/>
          </w:tcPr>
          <w:p>
            <w:pPr>
              <w:spacing w:before="40" w:after="40"/>
            </w:pPr>
            <w:r>
              <w:rPr>
                <w:b w:val="0"/>
                <w:sz w:val="18"/>
              </w:rPr>
              <w:t>Engine pod has no unnecessary RBAC permissions (read-only or none)</w:t>
            </w:r>
          </w:p>
        </w:tc>
        <w:tc>
          <w:tcPr>
            <w:tcW w:type="dxa" w:w="1296"/>
            <w:shd w:val="clear" w:color="auto" w:fill="F2F7FC"/>
          </w:tcPr>
          <w:p>
            <w:pPr>
              <w:spacing w:before="40" w:after="40"/>
            </w:pPr>
            <w:r>
              <w:rPr>
                <w:b w:val="0"/>
                <w:sz w:val="18"/>
              </w:rPr>
              <w:t>HIGH</w:t>
            </w:r>
          </w:p>
        </w:tc>
      </w:tr>
      <w:tr>
        <w:tc>
          <w:tcPr>
            <w:tcW w:type="dxa" w:w="1728"/>
            <w:shd w:val="clear" w:color="auto" w:fill="FFFFFF"/>
          </w:tcPr>
          <w:p>
            <w:pPr>
              <w:spacing w:before="40" w:after="40"/>
            </w:pPr>
            <w:r>
              <w:rPr>
                <w:b/>
                <w:sz w:val="18"/>
              </w:rPr>
              <w:t>Network</w:t>
            </w:r>
          </w:p>
        </w:tc>
        <w:tc>
          <w:tcPr>
            <w:tcW w:type="dxa" w:w="7632"/>
            <w:shd w:val="clear" w:color="auto" w:fill="FFFFFF"/>
          </w:tcPr>
          <w:p>
            <w:pPr>
              <w:spacing w:before="40" w:after="40"/>
            </w:pPr>
            <w:r>
              <w:rPr>
                <w:b w:val="0"/>
                <w:sz w:val="18"/>
              </w:rPr>
              <w:t>NetworkPolicy defined: API pod can reach only Postgres, external annotation APIs</w:t>
            </w:r>
          </w:p>
        </w:tc>
        <w:tc>
          <w:tcPr>
            <w:tcW w:type="dxa" w:w="1296"/>
            <w:shd w:val="clear" w:color="auto" w:fill="FFFFFF"/>
          </w:tcPr>
          <w:p>
            <w:pPr>
              <w:spacing w:before="40" w:after="40"/>
            </w:pPr>
            <w:r>
              <w:rPr>
                <w:b w:val="0"/>
                <w:sz w:val="18"/>
              </w:rPr>
              <w:t>HIGH</w:t>
            </w:r>
          </w:p>
        </w:tc>
      </w:tr>
      <w:tr>
        <w:tc>
          <w:tcPr>
            <w:tcW w:type="dxa" w:w="1728"/>
            <w:shd w:val="clear" w:color="auto" w:fill="F2F7FC"/>
          </w:tcPr>
          <w:p>
            <w:pPr>
              <w:spacing w:before="40" w:after="40"/>
            </w:pPr>
            <w:r>
              <w:rPr>
                <w:b/>
                <w:sz w:val="18"/>
              </w:rPr>
              <w:t>Network</w:t>
            </w:r>
          </w:p>
        </w:tc>
        <w:tc>
          <w:tcPr>
            <w:tcW w:type="dxa" w:w="7632"/>
            <w:shd w:val="clear" w:color="auto" w:fill="F2F7FC"/>
          </w:tcPr>
          <w:p>
            <w:pPr>
              <w:spacing w:before="40" w:after="40"/>
            </w:pPr>
            <w:r>
              <w:rPr>
                <w:b w:val="0"/>
                <w:sz w:val="18"/>
              </w:rPr>
              <w:t>No NodePort services exposed — use ClusterIP + Ingress only</w:t>
            </w:r>
          </w:p>
        </w:tc>
        <w:tc>
          <w:tcPr>
            <w:tcW w:type="dxa" w:w="1296"/>
            <w:shd w:val="clear" w:color="auto" w:fill="F2F7FC"/>
          </w:tcPr>
          <w:p>
            <w:pPr>
              <w:spacing w:before="40" w:after="40"/>
            </w:pPr>
            <w:r>
              <w:rPr>
                <w:b w:val="0"/>
                <w:sz w:val="18"/>
              </w:rPr>
              <w:t>HIGH</w:t>
            </w:r>
          </w:p>
        </w:tc>
      </w:tr>
      <w:tr>
        <w:tc>
          <w:tcPr>
            <w:tcW w:type="dxa" w:w="1728"/>
            <w:shd w:val="clear" w:color="auto" w:fill="FFFFFF"/>
          </w:tcPr>
          <w:p>
            <w:pPr>
              <w:spacing w:before="40" w:after="40"/>
            </w:pPr>
            <w:r>
              <w:rPr>
                <w:b/>
                <w:sz w:val="18"/>
              </w:rPr>
              <w:t>Network</w:t>
            </w:r>
          </w:p>
        </w:tc>
        <w:tc>
          <w:tcPr>
            <w:tcW w:type="dxa" w:w="7632"/>
            <w:shd w:val="clear" w:color="auto" w:fill="FFFFFF"/>
          </w:tcPr>
          <w:p>
            <w:pPr>
              <w:spacing w:before="40" w:after="40"/>
            </w:pPr>
            <w:r>
              <w:rPr>
                <w:b w:val="0"/>
                <w:sz w:val="18"/>
              </w:rPr>
              <w:t>Ingress controller enforces TLS; HTTP redirects to HTTPS</w:t>
            </w:r>
          </w:p>
        </w:tc>
        <w:tc>
          <w:tcPr>
            <w:tcW w:type="dxa" w:w="1296"/>
            <w:shd w:val="clear" w:color="auto" w:fill="FFFFFF"/>
          </w:tcPr>
          <w:p>
            <w:pPr>
              <w:spacing w:before="40" w:after="40"/>
            </w:pPr>
            <w:r>
              <w:rPr>
                <w:b w:val="0"/>
                <w:sz w:val="18"/>
              </w:rPr>
              <w:t>CRITICAL</w:t>
            </w:r>
          </w:p>
        </w:tc>
      </w:tr>
      <w:tr>
        <w:tc>
          <w:tcPr>
            <w:tcW w:type="dxa" w:w="1728"/>
            <w:shd w:val="clear" w:color="auto" w:fill="F2F7FC"/>
          </w:tcPr>
          <w:p>
            <w:pPr>
              <w:spacing w:before="40" w:after="40"/>
            </w:pPr>
            <w:r>
              <w:rPr>
                <w:b/>
                <w:sz w:val="18"/>
              </w:rPr>
              <w:t>Secrets</w:t>
            </w:r>
          </w:p>
        </w:tc>
        <w:tc>
          <w:tcPr>
            <w:tcW w:type="dxa" w:w="7632"/>
            <w:shd w:val="clear" w:color="auto" w:fill="F2F7FC"/>
          </w:tcPr>
          <w:p>
            <w:pPr>
              <w:spacing w:before="40" w:after="40"/>
            </w:pPr>
            <w:r>
              <w:rPr>
                <w:b w:val="0"/>
                <w:sz w:val="18"/>
              </w:rPr>
              <w:t>NCBI_API_KEY stored as K8s Secret, not in ConfigMap or environment in pod spec</w:t>
            </w:r>
          </w:p>
        </w:tc>
        <w:tc>
          <w:tcPr>
            <w:tcW w:type="dxa" w:w="1296"/>
            <w:shd w:val="clear" w:color="auto" w:fill="F2F7FC"/>
          </w:tcPr>
          <w:p>
            <w:pPr>
              <w:spacing w:before="40" w:after="40"/>
            </w:pPr>
            <w:r>
              <w:rPr>
                <w:b w:val="0"/>
                <w:sz w:val="18"/>
              </w:rPr>
              <w:t>CRITICAL</w:t>
            </w:r>
          </w:p>
        </w:tc>
      </w:tr>
      <w:tr>
        <w:tc>
          <w:tcPr>
            <w:tcW w:type="dxa" w:w="1728"/>
            <w:shd w:val="clear" w:color="auto" w:fill="FFFFFF"/>
          </w:tcPr>
          <w:p>
            <w:pPr>
              <w:spacing w:before="40" w:after="40"/>
            </w:pPr>
            <w:r>
              <w:rPr>
                <w:b/>
                <w:sz w:val="18"/>
              </w:rPr>
              <w:t>Secrets</w:t>
            </w:r>
          </w:p>
        </w:tc>
        <w:tc>
          <w:tcPr>
            <w:tcW w:type="dxa" w:w="7632"/>
            <w:shd w:val="clear" w:color="auto" w:fill="FFFFFF"/>
          </w:tcPr>
          <w:p>
            <w:pPr>
              <w:spacing w:before="40" w:after="40"/>
            </w:pPr>
            <w:r>
              <w:rPr>
                <w:b w:val="0"/>
                <w:sz w:val="18"/>
              </w:rPr>
              <w:t>Postgres connection string stored as K8s Secret</w:t>
            </w:r>
          </w:p>
        </w:tc>
        <w:tc>
          <w:tcPr>
            <w:tcW w:type="dxa" w:w="1296"/>
            <w:shd w:val="clear" w:color="auto" w:fill="FFFFFF"/>
          </w:tcPr>
          <w:p>
            <w:pPr>
              <w:spacing w:before="40" w:after="40"/>
            </w:pPr>
            <w:r>
              <w:rPr>
                <w:b w:val="0"/>
                <w:sz w:val="18"/>
              </w:rPr>
              <w:t>CRITICAL</w:t>
            </w:r>
          </w:p>
        </w:tc>
      </w:tr>
      <w:tr>
        <w:tc>
          <w:tcPr>
            <w:tcW w:type="dxa" w:w="1728"/>
            <w:shd w:val="clear" w:color="auto" w:fill="F2F7FC"/>
          </w:tcPr>
          <w:p>
            <w:pPr>
              <w:spacing w:before="40" w:after="40"/>
            </w:pPr>
            <w:r>
              <w:rPr>
                <w:b/>
                <w:sz w:val="18"/>
              </w:rPr>
              <w:t>Secrets</w:t>
            </w:r>
          </w:p>
        </w:tc>
        <w:tc>
          <w:tcPr>
            <w:tcW w:type="dxa" w:w="7632"/>
            <w:shd w:val="clear" w:color="auto" w:fill="F2F7FC"/>
          </w:tcPr>
          <w:p>
            <w:pPr>
              <w:spacing w:before="40" w:after="40"/>
            </w:pPr>
            <w:r>
              <w:rPr>
                <w:b w:val="0"/>
                <w:sz w:val="18"/>
              </w:rPr>
              <w:t>No secrets visible in git history (run git log -S 'password' to verify)</w:t>
            </w:r>
          </w:p>
        </w:tc>
        <w:tc>
          <w:tcPr>
            <w:tcW w:type="dxa" w:w="1296"/>
            <w:shd w:val="clear" w:color="auto" w:fill="F2F7FC"/>
          </w:tcPr>
          <w:p>
            <w:pPr>
              <w:spacing w:before="40" w:after="40"/>
            </w:pPr>
            <w:r>
              <w:rPr>
                <w:b w:val="0"/>
                <w:sz w:val="18"/>
              </w:rPr>
              <w:t>HIGH</w:t>
            </w:r>
          </w:p>
        </w:tc>
      </w:tr>
      <w:tr>
        <w:tc>
          <w:tcPr>
            <w:tcW w:type="dxa" w:w="1728"/>
            <w:shd w:val="clear" w:color="auto" w:fill="FFFFFF"/>
          </w:tcPr>
          <w:p>
            <w:pPr>
              <w:spacing w:before="40" w:after="40"/>
            </w:pPr>
            <w:r>
              <w:rPr>
                <w:b/>
                <w:sz w:val="18"/>
              </w:rPr>
              <w:t>Images</w:t>
            </w:r>
          </w:p>
        </w:tc>
        <w:tc>
          <w:tcPr>
            <w:tcW w:type="dxa" w:w="7632"/>
            <w:shd w:val="clear" w:color="auto" w:fill="FFFFFF"/>
          </w:tcPr>
          <w:p>
            <w:pPr>
              <w:spacing w:before="40" w:after="40"/>
            </w:pPr>
            <w:r>
              <w:rPr>
                <w:b w:val="0"/>
                <w:sz w:val="18"/>
              </w:rPr>
              <w:t>Images pulled from private registry, not public DockerHub (avoids pull rate limits + supply chain risk)</w:t>
            </w:r>
          </w:p>
        </w:tc>
        <w:tc>
          <w:tcPr>
            <w:tcW w:type="dxa" w:w="1296"/>
            <w:shd w:val="clear" w:color="auto" w:fill="FFFFFF"/>
          </w:tcPr>
          <w:p>
            <w:pPr>
              <w:spacing w:before="40" w:after="40"/>
            </w:pPr>
            <w:r>
              <w:rPr>
                <w:b w:val="0"/>
                <w:sz w:val="18"/>
              </w:rPr>
              <w:t>MEDIUM</w:t>
            </w:r>
          </w:p>
        </w:tc>
      </w:tr>
      <w:tr>
        <w:tc>
          <w:tcPr>
            <w:tcW w:type="dxa" w:w="1728"/>
            <w:shd w:val="clear" w:color="auto" w:fill="F2F7FC"/>
          </w:tcPr>
          <w:p>
            <w:pPr>
              <w:spacing w:before="40" w:after="40"/>
            </w:pPr>
            <w:r>
              <w:rPr>
                <w:b/>
                <w:sz w:val="18"/>
              </w:rPr>
              <w:t>Images</w:t>
            </w:r>
          </w:p>
        </w:tc>
        <w:tc>
          <w:tcPr>
            <w:tcW w:type="dxa" w:w="7632"/>
            <w:shd w:val="clear" w:color="auto" w:fill="F2F7FC"/>
          </w:tcPr>
          <w:p>
            <w:pPr>
              <w:spacing w:before="40" w:after="40"/>
            </w:pPr>
            <w:r>
              <w:rPr>
                <w:b w:val="0"/>
                <w:sz w:val="18"/>
              </w:rPr>
              <w:t>Image pull policy: Always (ensures latest patched image on redeploy)</w:t>
            </w:r>
          </w:p>
        </w:tc>
        <w:tc>
          <w:tcPr>
            <w:tcW w:type="dxa" w:w="1296"/>
            <w:shd w:val="clear" w:color="auto" w:fill="F2F7FC"/>
          </w:tcPr>
          <w:p>
            <w:pPr>
              <w:spacing w:before="40" w:after="40"/>
            </w:pPr>
            <w:r>
              <w:rPr>
                <w:b w:val="0"/>
                <w:sz w:val="18"/>
              </w:rPr>
              <w:t>MEDIUM</w:t>
            </w:r>
          </w:p>
        </w:tc>
      </w:tr>
      <w:tr>
        <w:tc>
          <w:tcPr>
            <w:tcW w:type="dxa" w:w="1728"/>
            <w:shd w:val="clear" w:color="auto" w:fill="FFFFFF"/>
          </w:tcPr>
          <w:p>
            <w:pPr>
              <w:spacing w:before="40" w:after="40"/>
            </w:pPr>
            <w:r>
              <w:rPr>
                <w:b/>
                <w:sz w:val="18"/>
              </w:rPr>
              <w:t>Storage</w:t>
            </w:r>
          </w:p>
        </w:tc>
        <w:tc>
          <w:tcPr>
            <w:tcW w:type="dxa" w:w="7632"/>
            <w:shd w:val="clear" w:color="auto" w:fill="FFFFFF"/>
          </w:tcPr>
          <w:p>
            <w:pPr>
              <w:spacing w:before="40" w:after="40"/>
            </w:pPr>
            <w:r>
              <w:rPr>
                <w:b w:val="0"/>
                <w:sz w:val="18"/>
              </w:rPr>
              <w:t>Hampton confirmed: encrypted storage volumes and automated backups in place</w:t>
            </w:r>
          </w:p>
        </w:tc>
        <w:tc>
          <w:tcPr>
            <w:tcW w:type="dxa" w:w="1296"/>
            <w:shd w:val="clear" w:color="auto" w:fill="FFFFFF"/>
          </w:tcPr>
          <w:p>
            <w:pPr>
              <w:spacing w:before="40" w:after="40"/>
            </w:pPr>
            <w:r>
              <w:rPr>
                <w:b w:val="0"/>
                <w:sz w:val="18"/>
              </w:rPr>
              <w:t>HIGH</w:t>
            </w:r>
          </w:p>
        </w:tc>
      </w:tr>
      <w:tr>
        <w:tc>
          <w:tcPr>
            <w:tcW w:type="dxa" w:w="1728"/>
            <w:shd w:val="clear" w:color="auto" w:fill="F2F7FC"/>
          </w:tcPr>
          <w:p>
            <w:pPr>
              <w:spacing w:before="40" w:after="40"/>
            </w:pPr>
            <w:r>
              <w:rPr>
                <w:b/>
                <w:sz w:val="18"/>
              </w:rPr>
              <w:t>Storage</w:t>
            </w:r>
          </w:p>
        </w:tc>
        <w:tc>
          <w:tcPr>
            <w:tcW w:type="dxa" w:w="7632"/>
            <w:shd w:val="clear" w:color="auto" w:fill="F2F7FC"/>
          </w:tcPr>
          <w:p>
            <w:pPr>
              <w:spacing w:before="40" w:after="40"/>
            </w:pPr>
            <w:r>
              <w:rPr>
                <w:b w:val="0"/>
                <w:sz w:val="18"/>
              </w:rPr>
              <w:t>Verify backup restoration actually works — test a restore</w:t>
            </w:r>
          </w:p>
        </w:tc>
        <w:tc>
          <w:tcPr>
            <w:tcW w:type="dxa" w:w="1296"/>
            <w:shd w:val="clear" w:color="auto" w:fill="F2F7FC"/>
          </w:tcPr>
          <w:p>
            <w:pPr>
              <w:spacing w:before="40" w:after="40"/>
            </w:pPr>
            <w:r>
              <w:rPr>
                <w:b w:val="0"/>
                <w:sz w:val="18"/>
              </w:rPr>
              <w:t>HIGH</w:t>
            </w:r>
          </w:p>
        </w:tc>
      </w:tr>
      <w:tr>
        <w:tc>
          <w:tcPr>
            <w:tcW w:type="dxa" w:w="1728"/>
            <w:shd w:val="clear" w:color="auto" w:fill="FFFFFF"/>
          </w:tcPr>
          <w:p>
            <w:pPr>
              <w:spacing w:before="40" w:after="40"/>
            </w:pPr>
            <w:r>
              <w:rPr>
                <w:b/>
                <w:sz w:val="18"/>
              </w:rPr>
              <w:t>Postgres</w:t>
            </w:r>
          </w:p>
        </w:tc>
        <w:tc>
          <w:tcPr>
            <w:tcW w:type="dxa" w:w="7632"/>
            <w:shd w:val="clear" w:color="auto" w:fill="FFFFFF"/>
          </w:tcPr>
          <w:p>
            <w:pPr>
              <w:spacing w:before="40" w:after="40"/>
            </w:pPr>
            <w:r>
              <w:rPr>
                <w:b w:val="0"/>
                <w:sz w:val="18"/>
              </w:rPr>
              <w:t>Postgres not exposed outside cluster; only API pod can connect</w:t>
            </w:r>
          </w:p>
        </w:tc>
        <w:tc>
          <w:tcPr>
            <w:tcW w:type="dxa" w:w="1296"/>
            <w:shd w:val="clear" w:color="auto" w:fill="FFFFFF"/>
          </w:tcPr>
          <w:p>
            <w:pPr>
              <w:spacing w:before="40" w:after="40"/>
            </w:pPr>
            <w:r>
              <w:rPr>
                <w:b w:val="0"/>
                <w:sz w:val="18"/>
              </w:rPr>
              <w:t>CRITICAL</w:t>
            </w:r>
          </w:p>
        </w:tc>
      </w:tr>
      <w:tr>
        <w:tc>
          <w:tcPr>
            <w:tcW w:type="dxa" w:w="1728"/>
            <w:shd w:val="clear" w:color="auto" w:fill="F2F7FC"/>
          </w:tcPr>
          <w:p>
            <w:pPr>
              <w:spacing w:before="40" w:after="40"/>
            </w:pPr>
            <w:r>
              <w:rPr>
                <w:b/>
                <w:sz w:val="18"/>
              </w:rPr>
              <w:t>Postgres</w:t>
            </w:r>
          </w:p>
        </w:tc>
        <w:tc>
          <w:tcPr>
            <w:tcW w:type="dxa" w:w="7632"/>
            <w:shd w:val="clear" w:color="auto" w:fill="F2F7FC"/>
          </w:tcPr>
          <w:p>
            <w:pPr>
              <w:spacing w:before="40" w:after="40"/>
            </w:pPr>
            <w:r>
              <w:rPr>
                <w:b w:val="0"/>
                <w:sz w:val="18"/>
              </w:rPr>
              <w:t>Postgres running with password auth; no trust auth for any user</w:t>
            </w:r>
          </w:p>
        </w:tc>
        <w:tc>
          <w:tcPr>
            <w:tcW w:type="dxa" w:w="1296"/>
            <w:shd w:val="clear" w:color="auto" w:fill="F2F7FC"/>
          </w:tcPr>
          <w:p>
            <w:pPr>
              <w:spacing w:before="40" w:after="40"/>
            </w:pPr>
            <w:r>
              <w:rPr>
                <w:b w:val="0"/>
                <w:sz w:val="18"/>
              </w:rPr>
              <w:t>CRITICAL</w:t>
            </w:r>
          </w:p>
        </w:tc>
      </w:tr>
      <w:tr>
        <w:tc>
          <w:tcPr>
            <w:tcW w:type="dxa" w:w="1728"/>
            <w:shd w:val="clear" w:color="auto" w:fill="FFFFFF"/>
          </w:tcPr>
          <w:p>
            <w:pPr>
              <w:spacing w:before="40" w:after="40"/>
            </w:pPr>
            <w:r>
              <w:rPr>
                <w:b/>
                <w:sz w:val="18"/>
              </w:rPr>
              <w:t>Postgres</w:t>
            </w:r>
          </w:p>
        </w:tc>
        <w:tc>
          <w:tcPr>
            <w:tcW w:type="dxa" w:w="7632"/>
            <w:shd w:val="clear" w:color="auto" w:fill="FFFFFF"/>
          </w:tcPr>
          <w:p>
            <w:pPr>
              <w:spacing w:before="40" w:after="40"/>
            </w:pPr>
            <w:r>
              <w:rPr>
                <w:b w:val="0"/>
                <w:sz w:val="18"/>
              </w:rPr>
              <w:t>Postgres connection over SSL only (sslmode=require in connection string)</w:t>
            </w:r>
          </w:p>
        </w:tc>
        <w:tc>
          <w:tcPr>
            <w:tcW w:type="dxa" w:w="1296"/>
            <w:shd w:val="clear" w:color="auto" w:fill="FFFFFF"/>
          </w:tcPr>
          <w:p>
            <w:pPr>
              <w:spacing w:before="40" w:after="40"/>
            </w:pPr>
            <w:r>
              <w:rPr>
                <w:b w:val="0"/>
                <w:sz w:val="18"/>
              </w:rPr>
              <w:t>HIGH</w:t>
            </w:r>
          </w:p>
        </w:tc>
      </w:tr>
    </w:tbl>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F8F9FA"/>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333333"/>
                <w:sz w:val="20"/>
              </w:rPr>
              <w:t xml:space="preserve">COMMAND TO RUN:  </w:t>
            </w:r>
            <w:r>
              <w:rPr>
                <w:sz w:val="20"/>
              </w:rPr>
              <w:t>kubectl run kube-bench --image=aquasec/kube-bench:latest --restart=Never -- master</w:t>
              <w:br/>
              <w:t>kubectl logs kube-bench | tee kube-bench-output.txt</w:t>
            </w:r>
          </w:p>
        </w:tc>
      </w:tr>
    </w:tbl>
    <w:p/>
    <w:p>
      <w:r>
        <w:br w:type="page"/>
      </w:r>
    </w:p>
    <w:p>
      <w:pPr>
        <w:pStyle w:val="Heading1"/>
      </w:pPr>
      <w:r>
        <w:rPr>
          <w:b/>
          <w:color w:val="1F3864"/>
        </w:rPr>
        <w:t>6.  API Endpoint Security Review Checklist</w:t>
      </w:r>
    </w:p>
    <w:p>
      <w:pPr>
        <w:pBdr>
          <w:bottom w:val="single" w:sz="6" w:space="1" w:color="2E75B6"/>
        </w:pBdr>
        <w:spacing w:before="80" w:after="160"/>
      </w:pPr>
    </w:p>
    <w:p>
      <w:pPr>
        <w:spacing w:before="0" w:after="160"/>
      </w:pPr>
      <w:r>
        <w:rPr>
          <w:b w:val="0"/>
          <w:i w:val="0"/>
          <w:sz w:val="20"/>
        </w:rPr>
        <w:t>U4U exposes three endpoints in MVP. Each has specific attack surface to review.</w:t>
      </w:r>
    </w:p>
    <w:p>
      <w:pPr>
        <w:spacing w:before="160" w:after="40"/>
      </w:pPr>
      <w:r>
        <w:rPr>
          <w:b/>
          <w:i w:val="0"/>
          <w:color w:val="1F3864"/>
          <w:sz w:val="22"/>
        </w:rPr>
        <w:t>POST /analyze</w:t>
      </w:r>
    </w:p>
    <w:p>
      <w:pPr>
        <w:spacing w:before="0" w:after="80"/>
      </w:pPr>
      <w:r>
        <w:rPr>
          <w:b w:val="0"/>
          <w:i/>
          <w:color w:val="444444"/>
          <w:sz w:val="20"/>
        </w:rPr>
        <w:t>Accepts genome file upload. Highest risk endpoint.</w:t>
      </w:r>
    </w:p>
    <w:p>
      <w:pPr>
        <w:pStyle w:val="ListBullet"/>
        <w:spacing w:after="60"/>
      </w:pPr>
      <w:r>
        <w:rPr>
          <w:sz w:val="20"/>
        </w:rPr>
        <w:t>File size limit enforced at 100 MB (MAX_UPLOAD_MB env var) — confirm this cannot be bypassed via chunked encoding or header manipulation</w:t>
      </w:r>
    </w:p>
    <w:p>
      <w:pPr>
        <w:pStyle w:val="ListBullet"/>
        <w:spacing w:after="60"/>
      </w:pPr>
      <w:r>
        <w:rPr>
          <w:sz w:val="20"/>
        </w:rPr>
        <w:t>File extension validation: only .vcf, .vcf.gz, .txt, .csv accepted</w:t>
      </w:r>
    </w:p>
    <w:p>
      <w:pPr>
        <w:pStyle w:val="ListBullet"/>
        <w:spacing w:after="60"/>
      </w:pPr>
      <w:r>
        <w:rPr>
          <w:sz w:val="20"/>
        </w:rPr>
        <w:t>File content validation: engine validates magic bytes and format — confirm validation happens before processing</w:t>
      </w:r>
    </w:p>
    <w:p>
      <w:pPr>
        <w:pStyle w:val="ListBullet"/>
        <w:spacing w:after="60"/>
      </w:pPr>
      <w:r>
        <w:rPr>
          <w:sz w:val="20"/>
        </w:rPr>
        <w:t>Rate limiting: max N requests per IP per hour — not yet implemented; add before public launch</w:t>
      </w:r>
    </w:p>
    <w:p>
      <w:pPr>
        <w:pStyle w:val="ListBullet"/>
        <w:spacing w:after="60"/>
      </w:pPr>
      <w:r>
        <w:rPr>
          <w:sz w:val="20"/>
        </w:rPr>
        <w:t>Multipart form parsing: confirm no path traversal via filename field (e.g. filename='../../etc/passwd')</w:t>
      </w:r>
    </w:p>
    <w:p>
      <w:pPr>
        <w:pStyle w:val="ListBullet"/>
        <w:spacing w:after="60"/>
      </w:pPr>
      <w:r>
        <w:rPr>
          <w:sz w:val="20"/>
        </w:rPr>
        <w:t>Memory safety: confirm large malformed files do not cause OOM; test with 100MB random bytes</w:t>
      </w:r>
    </w:p>
    <w:p>
      <w:pPr>
        <w:pStyle w:val="ListBullet"/>
        <w:spacing w:after="60"/>
      </w:pPr>
      <w:r>
        <w:rPr>
          <w:sz w:val="20"/>
        </w:rPr>
        <w:t>Job ID returned is a UUID v4 — confirm it is not sequential (not guessable by iterating integers)</w:t>
      </w:r>
    </w:p>
    <w:p>
      <w:pPr>
        <w:pStyle w:val="ListBullet"/>
        <w:spacing w:after="60"/>
      </w:pPr>
      <w:r>
        <w:rPr>
          <w:sz w:val="20"/>
        </w:rPr>
        <w:t>No authentication required for MVP — acceptable because no stored genomes; document this decision explicitly</w:t>
      </w:r>
    </w:p>
    <w:p/>
    <w:p>
      <w:pPr>
        <w:spacing w:before="160" w:after="40"/>
      </w:pPr>
      <w:r>
        <w:rPr>
          <w:b/>
          <w:i w:val="0"/>
          <w:color w:val="1F3864"/>
          <w:sz w:val="22"/>
        </w:rPr>
        <w:t>GET /jobs/{job_id}</w:t>
      </w:r>
    </w:p>
    <w:p>
      <w:pPr>
        <w:spacing w:before="0" w:after="80"/>
      </w:pPr>
      <w:r>
        <w:rPr>
          <w:b w:val="0"/>
          <w:i/>
          <w:color w:val="444444"/>
          <w:sz w:val="20"/>
        </w:rPr>
        <w:t>Polls job status and returns results. Moderate risk.</w:t>
      </w:r>
    </w:p>
    <w:p>
      <w:pPr>
        <w:pStyle w:val="ListBullet"/>
        <w:spacing w:after="60"/>
      </w:pPr>
      <w:r>
        <w:rPr>
          <w:sz w:val="20"/>
        </w:rPr>
        <w:t>Job ID is UUIDv4 — 122 bits of entropy; practically unguessable. No additional auth needed for MVP.</w:t>
      </w:r>
    </w:p>
    <w:p>
      <w:pPr>
        <w:pStyle w:val="ListBullet"/>
        <w:spacing w:after="60"/>
      </w:pPr>
      <w:r>
        <w:rPr>
          <w:sz w:val="20"/>
        </w:rPr>
        <w:t>Confirm results for one job_id cannot leak results from a different job_id</w:t>
      </w:r>
    </w:p>
    <w:p>
      <w:pPr>
        <w:pStyle w:val="ListBullet"/>
        <w:spacing w:after="60"/>
      </w:pPr>
      <w:r>
        <w:rPr>
          <w:sz w:val="20"/>
        </w:rPr>
        <w:t>Confirm expired jobs return 404, not 500 or empty 200</w:t>
      </w:r>
    </w:p>
    <w:p>
      <w:pPr>
        <w:pStyle w:val="ListBullet"/>
        <w:spacing w:after="60"/>
      </w:pPr>
      <w:r>
        <w:rPr>
          <w:sz w:val="20"/>
        </w:rPr>
        <w:t>Results payload: confirm it contains only variant data — no file bytes, no user metadata beyond filename</w:t>
      </w:r>
    </w:p>
    <w:p>
      <w:pPr>
        <w:pStyle w:val="ListBullet"/>
        <w:spacing w:after="60"/>
      </w:pPr>
      <w:r>
        <w:rPr>
          <w:sz w:val="20"/>
        </w:rPr>
        <w:t>Rate limiting: add per-IP limit to prevent scraping of results by polling many job IDs</w:t>
      </w:r>
    </w:p>
    <w:p/>
    <w:p>
      <w:pPr>
        <w:spacing w:before="160" w:after="40"/>
      </w:pPr>
      <w:r>
        <w:rPr>
          <w:b/>
          <w:i w:val="0"/>
          <w:color w:val="1F3864"/>
          <w:sz w:val="22"/>
        </w:rPr>
        <w:t>GET /health</w:t>
      </w:r>
    </w:p>
    <w:p>
      <w:pPr>
        <w:spacing w:before="0" w:after="80"/>
      </w:pPr>
      <w:r>
        <w:rPr>
          <w:b w:val="0"/>
          <w:i/>
          <w:color w:val="444444"/>
          <w:sz w:val="20"/>
        </w:rPr>
        <w:t>Liveness probe. Low risk.</w:t>
      </w:r>
    </w:p>
    <w:p>
      <w:pPr>
        <w:pStyle w:val="ListBullet"/>
        <w:spacing w:after="60"/>
      </w:pPr>
      <w:r>
        <w:rPr>
          <w:sz w:val="20"/>
        </w:rPr>
        <w:t>Confirm health endpoint does not expose internal system details (no stack traces, no Postgres connection strings, no version info beyond {status: ok})</w:t>
      </w:r>
    </w:p>
    <w:p>
      <w:pPr>
        <w:pStyle w:val="ListBullet"/>
        <w:spacing w:after="60"/>
      </w:pPr>
      <w:r>
        <w:rPr>
          <w:sz w:val="20"/>
        </w:rPr>
        <w:t>Confirm health endpoint not rate-limited (it's polled by K8s; too aggressive rate limiting breaks liveness probes)</w:t>
      </w:r>
    </w:p>
    <w:p/>
    <w:p>
      <w:pPr>
        <w:pStyle w:val="Heading2"/>
      </w:pPr>
      <w:r>
        <w:rPr>
          <w:b/>
          <w:color w:val="1F3864"/>
        </w:rPr>
        <w:t>6.2  General API Security</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1F3864"/>
          </w:tcPr>
          <w:p>
            <w:pPr>
              <w:spacing w:before="60" w:after="60"/>
            </w:pPr>
            <w:r>
              <w:rPr>
                <w:b/>
                <w:color w:val="FFFFFF"/>
                <w:sz w:val="18"/>
              </w:rPr>
              <w:t>Control</w:t>
            </w:r>
          </w:p>
        </w:tc>
        <w:tc>
          <w:tcPr>
            <w:tcW w:type="dxa" w:w="7488"/>
            <w:shd w:val="clear" w:color="auto" w:fill="1F3864"/>
          </w:tcPr>
          <w:p>
            <w:pPr>
              <w:spacing w:before="60" w:after="60"/>
            </w:pPr>
            <w:r>
              <w:rPr>
                <w:b/>
                <w:color w:val="FFFFFF"/>
                <w:sz w:val="18"/>
              </w:rPr>
              <w:t>Requirement</w:t>
            </w:r>
          </w:p>
        </w:tc>
      </w:tr>
      <w:tr>
        <w:tc>
          <w:tcPr>
            <w:tcW w:type="dxa" w:w="2592"/>
            <w:shd w:val="clear" w:color="auto" w:fill="FFFFFF"/>
          </w:tcPr>
          <w:p>
            <w:pPr>
              <w:spacing w:before="40" w:after="40"/>
            </w:pPr>
            <w:r>
              <w:rPr>
                <w:b w:val="0"/>
                <w:sz w:val="18"/>
              </w:rPr>
              <w:t>CORS</w:t>
            </w:r>
          </w:p>
        </w:tc>
        <w:tc>
          <w:tcPr>
            <w:tcW w:type="dxa" w:w="7488"/>
            <w:shd w:val="clear" w:color="auto" w:fill="FFFFFF"/>
          </w:tcPr>
          <w:p>
            <w:pPr>
              <w:spacing w:before="40" w:after="40"/>
            </w:pPr>
            <w:r>
              <w:rPr>
                <w:b w:val="0"/>
                <w:sz w:val="18"/>
              </w:rPr>
              <w:t>Restrict CORS origins to the U4U frontend domain only. Do not use '*'. Set in FastAPI middleware before deploy.</w:t>
            </w:r>
          </w:p>
        </w:tc>
      </w:tr>
      <w:tr>
        <w:tc>
          <w:tcPr>
            <w:tcW w:type="dxa" w:w="2592"/>
            <w:shd w:val="clear" w:color="auto" w:fill="F2F7FC"/>
          </w:tcPr>
          <w:p>
            <w:pPr>
              <w:spacing w:before="40" w:after="40"/>
            </w:pPr>
            <w:r>
              <w:rPr>
                <w:b w:val="0"/>
                <w:sz w:val="18"/>
              </w:rPr>
              <w:t>Security headers</w:t>
            </w:r>
          </w:p>
        </w:tc>
        <w:tc>
          <w:tcPr>
            <w:tcW w:type="dxa" w:w="7488"/>
            <w:shd w:val="clear" w:color="auto" w:fill="F2F7FC"/>
          </w:tcPr>
          <w:p>
            <w:pPr>
              <w:spacing w:before="40" w:after="40"/>
            </w:pPr>
            <w:r>
              <w:rPr>
                <w:b w:val="0"/>
                <w:sz w:val="18"/>
              </w:rPr>
              <w:t>Add: Strict-Transport-Security, X-Content-Type-Options: nosniff, X-Frame-Options: DENY, Content-Security-Policy. Use a middleware or Nginx config.</w:t>
            </w:r>
          </w:p>
        </w:tc>
      </w:tr>
      <w:tr>
        <w:tc>
          <w:tcPr>
            <w:tcW w:type="dxa" w:w="2592"/>
            <w:shd w:val="clear" w:color="auto" w:fill="FFFFFF"/>
          </w:tcPr>
          <w:p>
            <w:pPr>
              <w:spacing w:before="40" w:after="40"/>
            </w:pPr>
            <w:r>
              <w:rPr>
                <w:b w:val="0"/>
                <w:sz w:val="18"/>
              </w:rPr>
              <w:t>Error responses</w:t>
            </w:r>
          </w:p>
        </w:tc>
        <w:tc>
          <w:tcPr>
            <w:tcW w:type="dxa" w:w="7488"/>
            <w:shd w:val="clear" w:color="auto" w:fill="FFFFFF"/>
          </w:tcPr>
          <w:p>
            <w:pPr>
              <w:spacing w:before="40" w:after="40"/>
            </w:pPr>
            <w:r>
              <w:rPr>
                <w:b w:val="0"/>
                <w:sz w:val="18"/>
              </w:rPr>
              <w:t>FastAPI must return generic error messages for 500s — no stack traces, no internal paths, no library versions in error responses.</w:t>
            </w:r>
          </w:p>
        </w:tc>
      </w:tr>
      <w:tr>
        <w:tc>
          <w:tcPr>
            <w:tcW w:type="dxa" w:w="2592"/>
            <w:shd w:val="clear" w:color="auto" w:fill="F2F7FC"/>
          </w:tcPr>
          <w:p>
            <w:pPr>
              <w:spacing w:before="40" w:after="40"/>
            </w:pPr>
            <w:r>
              <w:rPr>
                <w:b w:val="0"/>
                <w:sz w:val="18"/>
              </w:rPr>
              <w:t>Logging</w:t>
            </w:r>
          </w:p>
        </w:tc>
        <w:tc>
          <w:tcPr>
            <w:tcW w:type="dxa" w:w="7488"/>
            <w:shd w:val="clear" w:color="auto" w:fill="F2F7FC"/>
          </w:tcPr>
          <w:p>
            <w:pPr>
              <w:spacing w:before="40" w:after="40"/>
            </w:pPr>
            <w:r>
              <w:rPr>
                <w:b w:val="0"/>
                <w:sz w:val="18"/>
              </w:rPr>
              <w:t>Log: request method, path, status code, response time, job_id. Do NOT log: file contents, variant data, IP addresses longer than needed for abuse detection.</w:t>
            </w:r>
          </w:p>
        </w:tc>
      </w:tr>
      <w:tr>
        <w:tc>
          <w:tcPr>
            <w:tcW w:type="dxa" w:w="2592"/>
            <w:shd w:val="clear" w:color="auto" w:fill="FFFFFF"/>
          </w:tcPr>
          <w:p>
            <w:pPr>
              <w:spacing w:before="40" w:after="40"/>
            </w:pPr>
            <w:r>
              <w:rPr>
                <w:b w:val="0"/>
                <w:sz w:val="18"/>
              </w:rPr>
              <w:t>Dependency updates</w:t>
            </w:r>
          </w:p>
        </w:tc>
        <w:tc>
          <w:tcPr>
            <w:tcW w:type="dxa" w:w="7488"/>
            <w:shd w:val="clear" w:color="auto" w:fill="FFFFFF"/>
          </w:tcPr>
          <w:p>
            <w:pPr>
              <w:spacing w:before="40" w:after="40"/>
            </w:pPr>
            <w:r>
              <w:rPr>
                <w:b w:val="0"/>
                <w:sz w:val="18"/>
              </w:rPr>
              <w:t>Run pip-audit weekly. Pin all dependencies in requirements.txt or pyproject.toml with exact versions. Unpin only when upgrading intentionally.</w:t>
            </w:r>
          </w:p>
        </w:tc>
      </w:tr>
      <w:tr>
        <w:tc>
          <w:tcPr>
            <w:tcW w:type="dxa" w:w="2592"/>
            <w:shd w:val="clear" w:color="auto" w:fill="F2F7FC"/>
          </w:tcPr>
          <w:p>
            <w:pPr>
              <w:spacing w:before="40" w:after="40"/>
            </w:pPr>
            <w:r>
              <w:rPr>
                <w:b w:val="0"/>
                <w:sz w:val="18"/>
              </w:rPr>
              <w:t>NCBI API key</w:t>
            </w:r>
          </w:p>
        </w:tc>
        <w:tc>
          <w:tcPr>
            <w:tcW w:type="dxa" w:w="7488"/>
            <w:shd w:val="clear" w:color="auto" w:fill="F2F7FC"/>
          </w:tcPr>
          <w:p>
            <w:pPr>
              <w:spacing w:before="40" w:after="40"/>
            </w:pPr>
            <w:r>
              <w:rPr>
                <w:b w:val="0"/>
                <w:sz w:val="18"/>
              </w:rPr>
              <w:t>Stored as K8s Secret, injected as env var. Never in code, never in Docker image, never in git. Rate limit without it is 3 req/s — enforce key presence in prod.</w:t>
            </w:r>
          </w:p>
        </w:tc>
      </w:tr>
    </w:tbl>
    <w:p/>
    <w:p>
      <w:r>
        <w:br w:type="page"/>
      </w:r>
    </w:p>
    <w:p>
      <w:pPr>
        <w:pStyle w:val="Heading1"/>
      </w:pPr>
      <w:r>
        <w:rPr>
          <w:b/>
          <w:color w:val="1F3864"/>
        </w:rPr>
        <w:t>7.  Container Vulnerability Scanning Plan</w:t>
      </w:r>
    </w:p>
    <w:p>
      <w:pPr>
        <w:pBdr>
          <w:bottom w:val="single" w:sz="6" w:space="1" w:color="2E75B6"/>
        </w:pBdr>
        <w:spacing w:before="80" w:after="160"/>
      </w:pPr>
    </w:p>
    <w:p>
      <w:pPr>
        <w:spacing w:before="0" w:after="160"/>
      </w:pPr>
      <w:r>
        <w:rPr>
          <w:b w:val="0"/>
          <w:i w:val="0"/>
          <w:sz w:val="20"/>
        </w:rPr>
        <w:t>The U4U Docker image is a two-stage build (builder installs pysam with gcc; runtime stage is python:3.11-slim). The runtime image must be scanned before every deploy.</w:t>
      </w:r>
    </w:p>
    <w:p>
      <w:pPr>
        <w:pStyle w:val="Heading2"/>
      </w:pPr>
      <w:r>
        <w:rPr>
          <w:b/>
          <w:color w:val="1F3864"/>
        </w:rPr>
        <w:t>7.1  Scanning Tools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1F3864"/>
          </w:tcPr>
          <w:p>
            <w:pPr>
              <w:spacing w:before="60" w:after="60"/>
            </w:pPr>
            <w:r>
              <w:rPr>
                <w:b/>
                <w:color w:val="FFFFFF"/>
                <w:sz w:val="18"/>
              </w:rPr>
              <w:t>Tool</w:t>
            </w:r>
          </w:p>
        </w:tc>
        <w:tc>
          <w:tcPr>
            <w:tcW w:type="dxa" w:w="1296"/>
            <w:shd w:val="clear" w:color="auto" w:fill="1F3864"/>
          </w:tcPr>
          <w:p>
            <w:pPr>
              <w:spacing w:before="60" w:after="60"/>
            </w:pPr>
            <w:r>
              <w:rPr>
                <w:b/>
                <w:color w:val="FFFFFF"/>
                <w:sz w:val="18"/>
              </w:rPr>
              <w:t>Vendor</w:t>
            </w:r>
          </w:p>
        </w:tc>
        <w:tc>
          <w:tcPr>
            <w:tcW w:type="dxa" w:w="5040"/>
            <w:shd w:val="clear" w:color="auto" w:fill="1F3864"/>
          </w:tcPr>
          <w:p>
            <w:pPr>
              <w:spacing w:before="60" w:after="60"/>
            </w:pPr>
            <w:r>
              <w:rPr>
                <w:b/>
                <w:color w:val="FFFFFF"/>
                <w:sz w:val="18"/>
              </w:rPr>
              <w:t>Command / Notes</w:t>
            </w:r>
          </w:p>
        </w:tc>
        <w:tc>
          <w:tcPr>
            <w:tcW w:type="dxa" w:w="1440"/>
            <w:shd w:val="clear" w:color="auto" w:fill="1F3864"/>
          </w:tcPr>
          <w:p>
            <w:pPr>
              <w:spacing w:before="60" w:after="60"/>
            </w:pPr>
            <w:r>
              <w:rPr>
                <w:b/>
                <w:color w:val="FFFFFF"/>
                <w:sz w:val="18"/>
              </w:rPr>
              <w:t>Role</w:t>
            </w:r>
          </w:p>
        </w:tc>
      </w:tr>
      <w:tr>
        <w:tc>
          <w:tcPr>
            <w:tcW w:type="dxa" w:w="2304"/>
            <w:shd w:val="clear" w:color="auto" w:fill="FFFFFF"/>
          </w:tcPr>
          <w:p>
            <w:pPr>
              <w:spacing w:before="40" w:after="40"/>
            </w:pPr>
            <w:r>
              <w:rPr>
                <w:b w:val="0"/>
                <w:sz w:val="18"/>
              </w:rPr>
              <w:t>Trivy (recommended)</w:t>
            </w:r>
          </w:p>
        </w:tc>
        <w:tc>
          <w:tcPr>
            <w:tcW w:type="dxa" w:w="1296"/>
            <w:shd w:val="clear" w:color="auto" w:fill="FFFFFF"/>
          </w:tcPr>
          <w:p>
            <w:pPr>
              <w:spacing w:before="40" w:after="40"/>
            </w:pPr>
            <w:r>
              <w:rPr>
                <w:b w:val="0"/>
                <w:sz w:val="18"/>
              </w:rPr>
              <w:t>Aqua Security</w:t>
            </w:r>
          </w:p>
        </w:tc>
        <w:tc>
          <w:tcPr>
            <w:tcW w:type="dxa" w:w="5040"/>
            <w:shd w:val="clear" w:color="auto" w:fill="FFFFFF"/>
          </w:tcPr>
          <w:p>
            <w:pPr>
              <w:spacing w:before="40" w:after="40"/>
            </w:pPr>
            <w:r>
              <w:rPr>
                <w:b w:val="0"/>
                <w:sz w:val="18"/>
              </w:rPr>
              <w:t>Free, open source. Scans container images, filesystems, git repos. Integrates with GitHub Actions. Run: trivy image u4u-engine:latest</w:t>
            </w:r>
          </w:p>
        </w:tc>
        <w:tc>
          <w:tcPr>
            <w:tcW w:type="dxa" w:w="1440"/>
            <w:shd w:val="clear" w:color="auto" w:fill="FFFFFF"/>
          </w:tcPr>
          <w:p>
            <w:pPr>
              <w:spacing w:before="40" w:after="40"/>
            </w:pPr>
            <w:r>
              <w:rPr>
                <w:b w:val="0"/>
                <w:sz w:val="18"/>
              </w:rPr>
              <w:t>Primary scanner</w:t>
            </w:r>
          </w:p>
        </w:tc>
      </w:tr>
      <w:tr>
        <w:tc>
          <w:tcPr>
            <w:tcW w:type="dxa" w:w="2304"/>
            <w:shd w:val="clear" w:color="auto" w:fill="F2F7FC"/>
          </w:tcPr>
          <w:p>
            <w:pPr>
              <w:spacing w:before="40" w:after="40"/>
            </w:pPr>
            <w:r>
              <w:rPr>
                <w:b w:val="0"/>
                <w:sz w:val="18"/>
              </w:rPr>
              <w:t>Docker Scout</w:t>
            </w:r>
          </w:p>
        </w:tc>
        <w:tc>
          <w:tcPr>
            <w:tcW w:type="dxa" w:w="1296"/>
            <w:shd w:val="clear" w:color="auto" w:fill="F2F7FC"/>
          </w:tcPr>
          <w:p>
            <w:pPr>
              <w:spacing w:before="40" w:after="40"/>
            </w:pPr>
            <w:r>
              <w:rPr>
                <w:b w:val="0"/>
                <w:sz w:val="18"/>
              </w:rPr>
              <w:t>Docker</w:t>
            </w:r>
          </w:p>
        </w:tc>
        <w:tc>
          <w:tcPr>
            <w:tcW w:type="dxa" w:w="5040"/>
            <w:shd w:val="clear" w:color="auto" w:fill="F2F7FC"/>
          </w:tcPr>
          <w:p>
            <w:pPr>
              <w:spacing w:before="40" w:after="40"/>
            </w:pPr>
            <w:r>
              <w:rPr>
                <w:b w:val="0"/>
                <w:sz w:val="18"/>
              </w:rPr>
              <w:t>Built into Docker Desktop. Run: docker scout cves u4u-engine:latest. Good for quick checks during development.</w:t>
            </w:r>
          </w:p>
        </w:tc>
        <w:tc>
          <w:tcPr>
            <w:tcW w:type="dxa" w:w="1440"/>
            <w:shd w:val="clear" w:color="auto" w:fill="F2F7FC"/>
          </w:tcPr>
          <w:p>
            <w:pPr>
              <w:spacing w:before="40" w:after="40"/>
            </w:pPr>
            <w:r>
              <w:rPr>
                <w:b w:val="0"/>
                <w:sz w:val="18"/>
              </w:rPr>
              <w:t>Development checks</w:t>
            </w:r>
          </w:p>
        </w:tc>
      </w:tr>
      <w:tr>
        <w:tc>
          <w:tcPr>
            <w:tcW w:type="dxa" w:w="2304"/>
            <w:shd w:val="clear" w:color="auto" w:fill="FFFFFF"/>
          </w:tcPr>
          <w:p>
            <w:pPr>
              <w:spacing w:before="40" w:after="40"/>
            </w:pPr>
            <w:r>
              <w:rPr>
                <w:b w:val="0"/>
                <w:sz w:val="18"/>
              </w:rPr>
              <w:t>Grype</w:t>
            </w:r>
          </w:p>
        </w:tc>
        <w:tc>
          <w:tcPr>
            <w:tcW w:type="dxa" w:w="1296"/>
            <w:shd w:val="clear" w:color="auto" w:fill="FFFFFF"/>
          </w:tcPr>
          <w:p>
            <w:pPr>
              <w:spacing w:before="40" w:after="40"/>
            </w:pPr>
            <w:r>
              <w:rPr>
                <w:b w:val="0"/>
                <w:sz w:val="18"/>
              </w:rPr>
              <w:t>Anchore</w:t>
            </w:r>
          </w:p>
        </w:tc>
        <w:tc>
          <w:tcPr>
            <w:tcW w:type="dxa" w:w="5040"/>
            <w:shd w:val="clear" w:color="auto" w:fill="FFFFFF"/>
          </w:tcPr>
          <w:p>
            <w:pPr>
              <w:spacing w:before="40" w:after="40"/>
            </w:pPr>
            <w:r>
              <w:rPr>
                <w:b w:val="0"/>
                <w:sz w:val="18"/>
              </w:rPr>
              <w:t>Free, open source. Alternative to Trivy. Run: grype u4u-engine:latest. Use to cross-check Trivy findings.</w:t>
            </w:r>
          </w:p>
        </w:tc>
        <w:tc>
          <w:tcPr>
            <w:tcW w:type="dxa" w:w="1440"/>
            <w:shd w:val="clear" w:color="auto" w:fill="FFFFFF"/>
          </w:tcPr>
          <w:p>
            <w:pPr>
              <w:spacing w:before="40" w:after="40"/>
            </w:pPr>
            <w:r>
              <w:rPr>
                <w:b w:val="0"/>
                <w:sz w:val="18"/>
              </w:rPr>
              <w:t>Secondary / cross-check</w:t>
            </w:r>
          </w:p>
        </w:tc>
      </w:tr>
      <w:tr>
        <w:tc>
          <w:tcPr>
            <w:tcW w:type="dxa" w:w="2304"/>
            <w:shd w:val="clear" w:color="auto" w:fill="F2F7FC"/>
          </w:tcPr>
          <w:p>
            <w:pPr>
              <w:spacing w:before="40" w:after="40"/>
            </w:pPr>
            <w:r>
              <w:rPr>
                <w:b w:val="0"/>
                <w:sz w:val="18"/>
              </w:rPr>
              <w:t>pip-audit</w:t>
            </w:r>
          </w:p>
        </w:tc>
        <w:tc>
          <w:tcPr>
            <w:tcW w:type="dxa" w:w="1296"/>
            <w:shd w:val="clear" w:color="auto" w:fill="F2F7FC"/>
          </w:tcPr>
          <w:p>
            <w:pPr>
              <w:spacing w:before="40" w:after="40"/>
            </w:pPr>
            <w:r>
              <w:rPr>
                <w:b w:val="0"/>
                <w:sz w:val="18"/>
              </w:rPr>
              <w:t>PyPA</w:t>
            </w:r>
          </w:p>
        </w:tc>
        <w:tc>
          <w:tcPr>
            <w:tcW w:type="dxa" w:w="5040"/>
            <w:shd w:val="clear" w:color="auto" w:fill="F2F7FC"/>
          </w:tcPr>
          <w:p>
            <w:pPr>
              <w:spacing w:before="40" w:after="40"/>
            </w:pPr>
            <w:r>
              <w:rPr>
                <w:b w:val="0"/>
                <w:sz w:val="18"/>
              </w:rPr>
              <w:t>Scans Python dependencies specifically. Run: pip-audit -r requirements.txt. Catches CVEs Trivy may miss in Python packages.</w:t>
            </w:r>
          </w:p>
        </w:tc>
        <w:tc>
          <w:tcPr>
            <w:tcW w:type="dxa" w:w="1440"/>
            <w:shd w:val="clear" w:color="auto" w:fill="F2F7FC"/>
          </w:tcPr>
          <w:p>
            <w:pPr>
              <w:spacing w:before="40" w:after="40"/>
            </w:pPr>
            <w:r>
              <w:rPr>
                <w:b w:val="0"/>
                <w:sz w:val="18"/>
              </w:rPr>
              <w:t>Dependency audit</w:t>
            </w:r>
          </w:p>
        </w:tc>
      </w:tr>
    </w:tbl>
    <w:p/>
    <w:p>
      <w:pPr>
        <w:pStyle w:val="Heading2"/>
      </w:pPr>
      <w:r>
        <w:rPr>
          <w:b/>
          <w:color w:val="1F3864"/>
        </w:rPr>
        <w:t>7.2  Scanning Procedure</w:t>
      </w:r>
    </w:p>
    <w:p>
      <w:pPr>
        <w:pStyle w:val="ListBullet"/>
        <w:spacing w:after="60"/>
      </w:pPr>
      <w:r>
        <w:rPr>
          <w:b/>
          <w:sz w:val="20"/>
        </w:rPr>
        <w:t xml:space="preserve">Build the image </w:t>
      </w:r>
      <w:r>
        <w:rPr>
          <w:sz w:val="20"/>
        </w:rPr>
        <w:t>docker build -t u4u-engine:latest .</w:t>
      </w:r>
    </w:p>
    <w:p>
      <w:pPr>
        <w:pStyle w:val="ListBullet"/>
        <w:spacing w:after="60"/>
      </w:pPr>
      <w:r>
        <w:rPr>
          <w:b/>
          <w:sz w:val="20"/>
        </w:rPr>
        <w:t xml:space="preserve">Run Trivy scan </w:t>
      </w:r>
      <w:r>
        <w:rPr>
          <w:sz w:val="20"/>
        </w:rPr>
        <w:t>trivy image --severity CRITICAL,HIGH u4u-engine:latest</w:t>
      </w:r>
    </w:p>
    <w:p>
      <w:pPr>
        <w:pStyle w:val="ListBullet"/>
        <w:spacing w:after="60"/>
      </w:pPr>
      <w:r>
        <w:rPr>
          <w:b/>
          <w:sz w:val="20"/>
        </w:rPr>
        <w:t xml:space="preserve">Remediation threshold </w:t>
      </w:r>
      <w:r>
        <w:rPr>
          <w:sz w:val="20"/>
        </w:rPr>
        <w:t>Fix all CRITICAL CVEs before deploy. Fix HIGH CVEs within 7 days. Document MEDIUM/LOW as accepted risk if no patch available.</w:t>
      </w:r>
    </w:p>
    <w:p>
      <w:pPr>
        <w:pStyle w:val="ListBullet"/>
        <w:spacing w:after="60"/>
      </w:pPr>
      <w:r>
        <w:rPr>
          <w:b/>
          <w:sz w:val="20"/>
        </w:rPr>
        <w:t xml:space="preserve">Scan Python deps </w:t>
      </w:r>
      <w:r>
        <w:rPr>
          <w:sz w:val="20"/>
        </w:rPr>
        <w:t>pip-audit — run separately to catch Python-specific vulns</w:t>
      </w:r>
    </w:p>
    <w:p>
      <w:pPr>
        <w:pStyle w:val="ListBullet"/>
        <w:spacing w:after="60"/>
      </w:pPr>
      <w:r>
        <w:rPr>
          <w:b/>
          <w:sz w:val="20"/>
        </w:rPr>
        <w:t xml:space="preserve">Scan on every merge to main </w:t>
      </w:r>
      <w:r>
        <w:rPr>
          <w:sz w:val="20"/>
        </w:rPr>
        <w:t>Add Trivy to GitHub Actions CI so every PR triggers a scan (see 7.3)</w:t>
      </w:r>
    </w:p>
    <w:p>
      <w:pPr>
        <w:pStyle w:val="ListBullet"/>
        <w:spacing w:after="60"/>
      </w:pPr>
      <w:r>
        <w:rPr>
          <w:b/>
          <w:sz w:val="20"/>
        </w:rPr>
        <w:t xml:space="preserve">Weekly base image refresh </w:t>
      </w:r>
      <w:r>
        <w:rPr>
          <w:sz w:val="20"/>
        </w:rPr>
        <w:t>Rebuild from python:3.11-slim weekly even without code changes — picks up OS-level patches</w:t>
      </w:r>
    </w:p>
    <w:p>
      <w:pPr>
        <w:pStyle w:val="ListBullet"/>
        <w:spacing w:after="60"/>
      </w:pPr>
      <w:r>
        <w:rPr>
          <w:b/>
          <w:sz w:val="20"/>
        </w:rPr>
        <w:t xml:space="preserve">Sign the image (future) </w:t>
      </w:r>
      <w:r>
        <w:rPr>
          <w:sz w:val="20"/>
        </w:rPr>
        <w:t>When moving to production registry, sign images with Docker Content Trust or Sigstore cosign</w:t>
      </w:r>
    </w:p>
    <w:p>
      <w:pPr>
        <w:pStyle w:val="Heading2"/>
      </w:pPr>
      <w:r>
        <w:rPr>
          <w:b/>
          <w:color w:val="1F3864"/>
        </w:rPr>
        <w:t>7.3  GitHub Actions Integration</w:t>
      </w:r>
    </w:p>
    <w:p>
      <w:pPr>
        <w:spacing w:before="0" w:after="80"/>
      </w:pPr>
      <w:r>
        <w:rPr>
          <w:b w:val="0"/>
          <w:i w:val="0"/>
          <w:sz w:val="20"/>
        </w:rPr>
        <w:t>Add the following job to .github/workflows/test.yml so every push to main triggers a container scan:</w:t>
      </w:r>
    </w:p>
    <w:p>
      <w:pPr>
        <w:spacing w:after="40"/>
        <w:ind w:left="432"/>
      </w:pPr>
      <w:r>
        <w:rPr>
          <w:rFonts w:ascii="Courier New" w:hAnsi="Courier New"/>
          <w:sz w:val="17"/>
        </w:rPr>
        <w:t xml:space="preserve">  trivy-scan:</w:t>
        <w:br/>
        <w:t xml:space="preserve">    runs-on: ubuntu-latest</w:t>
        <w:br/>
        <w:t xml:space="preserve">    steps:</w:t>
        <w:br/>
        <w:t xml:space="preserve">      - uses: actions/checkout@v4</w:t>
        <w:br/>
        <w:t xml:space="preserve">      - name: Build image</w:t>
        <w:br/>
        <w:t xml:space="preserve">        run: docker build -t u4u-engine:${{ github.sha }} .</w:t>
        <w:br/>
        <w:t xml:space="preserve">      - name: Trivy scan</w:t>
        <w:br/>
        <w:t xml:space="preserve">        uses: aquasecurity/trivy-action@master</w:t>
        <w:br/>
        <w:t xml:space="preserve">        with:</w:t>
        <w:br/>
        <w:t xml:space="preserve">          image-ref: u4u-engine:${{ github.sha }}</w:t>
        <w:br/>
        <w:t xml:space="preserve">          severity: CRITICAL,HIGH</w:t>
        <w:br/>
        <w:t xml:space="preserve">          exit-code: 1   # fail CI on CRITICAL/HIGH</w:t>
      </w:r>
    </w:p>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EBF3FB"/>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1F3864"/>
                <w:sz w:val="20"/>
              </w:rPr>
              <w:t xml:space="preserve">OWNER:  </w:t>
            </w:r>
            <w:r>
              <w:rPr>
                <w:sz w:val="20"/>
              </w:rPr>
              <w:t>Hampton adds this to the GitHub Actions workflow. Cane reviews and confirms threshold settings are appropriate.</w:t>
            </w:r>
          </w:p>
        </w:tc>
      </w:tr>
    </w:tbl>
    <w:p/>
    <w:p>
      <w:r>
        <w:br w:type="page"/>
      </w:r>
    </w:p>
    <w:p>
      <w:pPr>
        <w:pStyle w:val="Heading1"/>
      </w:pPr>
      <w:r>
        <w:rPr>
          <w:b/>
          <w:color w:val="1F3864"/>
        </w:rPr>
        <w:t>8.  Tokenization — Recommendation</w:t>
      </w:r>
    </w:p>
    <w:p>
      <w:pPr>
        <w:pBdr>
          <w:bottom w:val="single" w:sz="6" w:space="1" w:color="2E75B6"/>
        </w:pBdr>
        <w:spacing w:before="80" w:after="160"/>
      </w:pPr>
    </w:p>
    <w:p>
      <w:pPr>
        <w:spacing w:before="0" w:after="160"/>
      </w:pPr>
      <w:r>
        <w:rPr>
          <w:b w:val="0"/>
          <w:i w:val="0"/>
          <w:sz w:val="20"/>
        </w:rPr>
        <w:t>Cane raised tokenization as a potential technique for protecting sensitive identifiers. This section evaluates whether it is necessary for U4U's MVP architecture.</w:t>
      </w:r>
    </w:p>
    <w:p>
      <w:pPr>
        <w:pStyle w:val="Heading2"/>
      </w:pPr>
      <w:r>
        <w:rPr>
          <w:b/>
          <w:color w:val="1F3864"/>
        </w:rPr>
        <w:t>8.1  What Tokenization Would Do</w:t>
      </w:r>
    </w:p>
    <w:p>
      <w:pPr>
        <w:spacing w:before="0" w:after="160"/>
      </w:pPr>
      <w:r>
        <w:rPr>
          <w:b w:val="0"/>
          <w:i w:val="0"/>
          <w:sz w:val="20"/>
        </w:rPr>
        <w:t>Tokenization replaces a sensitive value (e.g., a user's genome identifier or session ID) with a randomly generated token. The token is transmitted in its place; the mapping back to the original value is held in a secure token vault. This protects the sensitive value if the token is intercepted.</w:t>
      </w:r>
    </w:p>
    <w:p>
      <w:pPr>
        <w:pStyle w:val="Heading2"/>
      </w:pPr>
      <w:r>
        <w:rPr>
          <w:b/>
          <w:color w:val="1F3864"/>
        </w:rPr>
        <w:t>8.2  Assessment for U4U MVP</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F3864"/>
          </w:tcPr>
          <w:p>
            <w:pPr>
              <w:spacing w:before="60" w:after="60"/>
            </w:pPr>
            <w:r>
              <w:rPr>
                <w:b/>
                <w:color w:val="FFFFFF"/>
                <w:sz w:val="18"/>
              </w:rPr>
              <w:t>Consideration</w:t>
            </w:r>
          </w:p>
        </w:tc>
        <w:tc>
          <w:tcPr>
            <w:tcW w:type="dxa" w:w="6048"/>
            <w:shd w:val="clear" w:color="auto" w:fill="1F3864"/>
          </w:tcPr>
          <w:p>
            <w:pPr>
              <w:spacing w:before="60" w:after="60"/>
            </w:pPr>
            <w:r>
              <w:rPr>
                <w:b/>
                <w:color w:val="FFFFFF"/>
                <w:sz w:val="18"/>
              </w:rPr>
              <w:t>Assessment</w:t>
            </w:r>
          </w:p>
        </w:tc>
        <w:tc>
          <w:tcPr>
            <w:tcW w:type="dxa" w:w="1440"/>
            <w:shd w:val="clear" w:color="auto" w:fill="1F3864"/>
          </w:tcPr>
          <w:p>
            <w:pPr>
              <w:spacing w:before="60" w:after="60"/>
            </w:pPr>
            <w:r>
              <w:rPr>
                <w:b/>
                <w:color w:val="FFFFFF"/>
                <w:sz w:val="18"/>
              </w:rPr>
              <w:t>Needed?</w:t>
            </w:r>
          </w:p>
        </w:tc>
      </w:tr>
      <w:tr>
        <w:tc>
          <w:tcPr>
            <w:tcW w:type="dxa" w:w="2592"/>
            <w:shd w:val="clear" w:color="auto" w:fill="FFFFFF"/>
          </w:tcPr>
          <w:p>
            <w:pPr>
              <w:spacing w:before="40" w:after="40"/>
            </w:pPr>
            <w:r>
              <w:rPr>
                <w:b w:val="0"/>
                <w:sz w:val="18"/>
              </w:rPr>
              <w:t>Genome file storage</w:t>
            </w:r>
          </w:p>
        </w:tc>
        <w:tc>
          <w:tcPr>
            <w:tcW w:type="dxa" w:w="6048"/>
            <w:shd w:val="clear" w:color="auto" w:fill="FFFFFF"/>
          </w:tcPr>
          <w:p>
            <w:pPr>
              <w:spacing w:before="40" w:after="40"/>
            </w:pPr>
            <w:r>
              <w:rPr>
                <w:b w:val="0"/>
                <w:sz w:val="18"/>
              </w:rPr>
              <w:t>Genome files are NEVER stored. Nothing to tokenize.</w:t>
            </w:r>
          </w:p>
        </w:tc>
        <w:tc>
          <w:tcPr>
            <w:tcW w:type="dxa" w:w="1440"/>
            <w:shd w:val="clear" w:color="auto" w:fill="FFFFFF"/>
          </w:tcPr>
          <w:p>
            <w:pPr>
              <w:spacing w:before="40" w:after="40"/>
            </w:pPr>
            <w:r>
              <w:rPr>
                <w:b w:val="0"/>
                <w:sz w:val="18"/>
              </w:rPr>
              <w:t>No</w:t>
            </w:r>
          </w:p>
        </w:tc>
      </w:tr>
      <w:tr>
        <w:tc>
          <w:tcPr>
            <w:tcW w:type="dxa" w:w="2592"/>
            <w:shd w:val="clear" w:color="auto" w:fill="F2F7FC"/>
          </w:tcPr>
          <w:p>
            <w:pPr>
              <w:spacing w:before="40" w:after="40"/>
            </w:pPr>
            <w:r>
              <w:rPr>
                <w:b w:val="0"/>
                <w:sz w:val="18"/>
              </w:rPr>
              <w:t>User identity linked to genome</w:t>
            </w:r>
          </w:p>
        </w:tc>
        <w:tc>
          <w:tcPr>
            <w:tcW w:type="dxa" w:w="6048"/>
            <w:shd w:val="clear" w:color="auto" w:fill="F2F7FC"/>
          </w:tcPr>
          <w:p>
            <w:pPr>
              <w:spacing w:before="40" w:after="40"/>
            </w:pPr>
            <w:r>
              <w:rPr>
                <w:b w:val="0"/>
                <w:sz w:val="18"/>
              </w:rPr>
              <w:t>No user accounts in MVP. No genome-to-identity link.</w:t>
            </w:r>
          </w:p>
        </w:tc>
        <w:tc>
          <w:tcPr>
            <w:tcW w:type="dxa" w:w="1440"/>
            <w:shd w:val="clear" w:color="auto" w:fill="F2F7FC"/>
          </w:tcPr>
          <w:p>
            <w:pPr>
              <w:spacing w:before="40" w:after="40"/>
            </w:pPr>
            <w:r>
              <w:rPr>
                <w:b w:val="0"/>
                <w:sz w:val="18"/>
              </w:rPr>
              <w:t>No</w:t>
            </w:r>
          </w:p>
        </w:tc>
      </w:tr>
      <w:tr>
        <w:tc>
          <w:tcPr>
            <w:tcW w:type="dxa" w:w="2592"/>
            <w:shd w:val="clear" w:color="auto" w:fill="FFFFFF"/>
          </w:tcPr>
          <w:p>
            <w:pPr>
              <w:spacing w:before="40" w:after="40"/>
            </w:pPr>
            <w:r>
              <w:rPr>
                <w:b w:val="0"/>
                <w:sz w:val="18"/>
              </w:rPr>
              <w:t>Session ID (job_id)</w:t>
            </w:r>
          </w:p>
        </w:tc>
        <w:tc>
          <w:tcPr>
            <w:tcW w:type="dxa" w:w="6048"/>
            <w:shd w:val="clear" w:color="auto" w:fill="FFFFFF"/>
          </w:tcPr>
          <w:p>
            <w:pPr>
              <w:spacing w:before="40" w:after="40"/>
            </w:pPr>
            <w:r>
              <w:rPr>
                <w:b w:val="0"/>
                <w:sz w:val="18"/>
              </w:rPr>
              <w:t>UUIDv4 — already 122 bits of entropy. Cryptographically random. Equivalent to a token.</w:t>
            </w:r>
          </w:p>
        </w:tc>
        <w:tc>
          <w:tcPr>
            <w:tcW w:type="dxa" w:w="1440"/>
            <w:shd w:val="clear" w:color="auto" w:fill="FFFFFF"/>
          </w:tcPr>
          <w:p>
            <w:pPr>
              <w:spacing w:before="40" w:after="40"/>
            </w:pPr>
            <w:r>
              <w:rPr>
                <w:b w:val="0"/>
                <w:sz w:val="18"/>
              </w:rPr>
              <w:t>No — UUID IS the token</w:t>
            </w:r>
          </w:p>
        </w:tc>
      </w:tr>
      <w:tr>
        <w:tc>
          <w:tcPr>
            <w:tcW w:type="dxa" w:w="2592"/>
            <w:shd w:val="clear" w:color="auto" w:fill="F2F7FC"/>
          </w:tcPr>
          <w:p>
            <w:pPr>
              <w:spacing w:before="40" w:after="40"/>
            </w:pPr>
            <w:r>
              <w:rPr>
                <w:b w:val="0"/>
                <w:sz w:val="18"/>
              </w:rPr>
              <w:t>Variant coordinates sent to external APIs</w:t>
            </w:r>
          </w:p>
        </w:tc>
        <w:tc>
          <w:tcPr>
            <w:tcW w:type="dxa" w:w="6048"/>
            <w:shd w:val="clear" w:color="auto" w:fill="F2F7FC"/>
          </w:tcPr>
          <w:p>
            <w:pPr>
              <w:spacing w:before="40" w:after="40"/>
            </w:pPr>
            <w:r>
              <w:rPr>
                <w:b w:val="0"/>
                <w:sz w:val="18"/>
              </w:rPr>
              <w:t>These are genomic coordinates (e.g. 17:43094692 G&gt;A), not personal identifiers. No PII attached.</w:t>
            </w:r>
          </w:p>
        </w:tc>
        <w:tc>
          <w:tcPr>
            <w:tcW w:type="dxa" w:w="1440"/>
            <w:shd w:val="clear" w:color="auto" w:fill="F2F7FC"/>
          </w:tcPr>
          <w:p>
            <w:pPr>
              <w:spacing w:before="40" w:after="40"/>
            </w:pPr>
            <w:r>
              <w:rPr>
                <w:b w:val="0"/>
                <w:sz w:val="18"/>
              </w:rPr>
              <w:t>No</w:t>
            </w:r>
          </w:p>
        </w:tc>
      </w:tr>
      <w:tr>
        <w:tc>
          <w:tcPr>
            <w:tcW w:type="dxa" w:w="2592"/>
            <w:shd w:val="clear" w:color="auto" w:fill="FFFFFF"/>
          </w:tcPr>
          <w:p>
            <w:pPr>
              <w:spacing w:before="40" w:after="40"/>
            </w:pPr>
            <w:r>
              <w:rPr>
                <w:b w:val="0"/>
                <w:sz w:val="18"/>
              </w:rPr>
              <w:t>Email address (optional subscription)</w:t>
            </w:r>
          </w:p>
        </w:tc>
        <w:tc>
          <w:tcPr>
            <w:tcW w:type="dxa" w:w="6048"/>
            <w:shd w:val="clear" w:color="auto" w:fill="FFFFFF"/>
          </w:tcPr>
          <w:p>
            <w:pPr>
              <w:spacing w:before="40" w:after="40"/>
            </w:pPr>
            <w:r>
              <w:rPr>
                <w:b w:val="0"/>
                <w:sz w:val="18"/>
              </w:rPr>
              <w:t>Email is a personal identifier. Store hashed or encrypted at rest. Tokenization would add complexity without proportionate benefit.</w:t>
            </w:r>
          </w:p>
        </w:tc>
        <w:tc>
          <w:tcPr>
            <w:tcW w:type="dxa" w:w="1440"/>
            <w:shd w:val="clear" w:color="auto" w:fill="FFFFFF"/>
          </w:tcPr>
          <w:p>
            <w:pPr>
              <w:spacing w:before="40" w:after="40"/>
            </w:pPr>
            <w:r>
              <w:rPr>
                <w:b w:val="0"/>
                <w:sz w:val="18"/>
              </w:rPr>
              <w:t>No — encrypt at rest instead</w:t>
            </w:r>
          </w:p>
        </w:tc>
      </w:tr>
      <w:tr>
        <w:tc>
          <w:tcPr>
            <w:tcW w:type="dxa" w:w="2592"/>
            <w:shd w:val="clear" w:color="auto" w:fill="F2F7FC"/>
          </w:tcPr>
          <w:p>
            <w:pPr>
              <w:spacing w:before="40" w:after="40"/>
            </w:pPr>
            <w:r>
              <w:rPr>
                <w:b w:val="0"/>
                <w:sz w:val="18"/>
              </w:rPr>
              <w:t>Future: user accounts with stored genome profiles</w:t>
            </w:r>
          </w:p>
        </w:tc>
        <w:tc>
          <w:tcPr>
            <w:tcW w:type="dxa" w:w="6048"/>
            <w:shd w:val="clear" w:color="auto" w:fill="F2F7FC"/>
          </w:tcPr>
          <w:p>
            <w:pPr>
              <w:spacing w:before="40" w:after="40"/>
            </w:pPr>
            <w:r>
              <w:rPr>
                <w:b w:val="0"/>
                <w:sz w:val="18"/>
              </w:rPr>
              <w:t>If genomes are stored server-side in V2, tokenization of user-genome links becomes worth evaluating.</w:t>
            </w:r>
          </w:p>
        </w:tc>
        <w:tc>
          <w:tcPr>
            <w:tcW w:type="dxa" w:w="1440"/>
            <w:shd w:val="clear" w:color="auto" w:fill="F2F7FC"/>
          </w:tcPr>
          <w:p>
            <w:pPr>
              <w:spacing w:before="40" w:after="40"/>
            </w:pPr>
            <w:r>
              <w:rPr>
                <w:b w:val="0"/>
                <w:sz w:val="18"/>
              </w:rPr>
              <w:t>Evaluate in V2</w:t>
            </w:r>
          </w:p>
        </w:tc>
      </w:tr>
    </w:tbl>
    <w:p/>
    <w:p>
      <w:pPr>
        <w:pStyle w:val="Heading2"/>
      </w:pPr>
      <w:r>
        <w:rPr>
          <w:b/>
          <w:color w:val="1F3864"/>
        </w:rPr>
        <w:t>8.3  Verdict</w:t>
      </w:r>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E8F5E9"/>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1A6B3C"/>
                <w:sz w:val="20"/>
              </w:rPr>
              <w:t xml:space="preserve">VERDICT — TOKENIZATION NOT REQUIRED FOR MVP:  </w:t>
            </w:r>
            <w:r>
              <w:rPr>
                <w:sz w:val="20"/>
              </w:rPr>
              <w:t>The architecture eliminates the need for tokenization by design: no genome files are stored, no user identity is linked to genomic data, and the job ID (UUIDv4) already provides cryptographic randomness equivalent to a token. Invest security effort in TLS enforcement, K8s hardening, container scanning, and API rate limiting instead. Revisit tokenization in V2 if user genome profiles are persisted.</w:t>
            </w:r>
          </w:p>
        </w:tc>
      </w:tr>
    </w:tbl>
    <w:p/>
    <w:p>
      <w:pPr>
        <w:spacing w:before="0" w:after="120"/>
      </w:pPr>
      <w:r>
        <w:rPr>
          <w:b w:val="0"/>
          <w:i w:val="0"/>
          <w:sz w:val="20"/>
        </w:rPr>
        <w:t>For email subscription data: store email addresses encrypted at rest (AES-256) in Postgres rather than tokenized. This is simpler, sufficient, and reversible when needed to send notifications.</w:t>
      </w:r>
    </w:p>
    <w:p>
      <w:r>
        <w:br w:type="page"/>
      </w:r>
    </w:p>
    <w:p>
      <w:pPr>
        <w:pStyle w:val="Heading1"/>
      </w:pPr>
      <w:r>
        <w:rPr>
          <w:b/>
          <w:color w:val="1F3864"/>
        </w:rPr>
        <w:t>9.  Deliverables — Cane</w:t>
      </w:r>
    </w:p>
    <w:p>
      <w:pPr>
        <w:pBdr>
          <w:bottom w:val="single" w:sz="6" w:space="1" w:color="2E75B6"/>
        </w:pBdr>
        <w:spacing w:before="80" w:after="160"/>
      </w:pPr>
    </w:p>
    <w:p>
      <w:pPr>
        <w:spacing w:before="0" w:after="160"/>
      </w:pPr>
      <w:r>
        <w:rPr>
          <w:b w:val="0"/>
          <w:i w:val="0"/>
          <w:sz w:val="20"/>
        </w:rPr>
        <w:t>Cane owns the security audit track. The following table defines what Cane is responsible for producing, by phase.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016"/>
            <w:shd w:val="clear" w:color="auto" w:fill="1F3864"/>
          </w:tcPr>
          <w:p>
            <w:pPr>
              <w:spacing w:before="60" w:after="60"/>
            </w:pPr>
            <w:r>
              <w:rPr>
                <w:b/>
                <w:color w:val="FFFFFF"/>
                <w:sz w:val="18"/>
              </w:rPr>
              <w:t>Phase</w:t>
            </w:r>
          </w:p>
        </w:tc>
        <w:tc>
          <w:tcPr>
            <w:tcW w:type="dxa" w:w="2304"/>
            <w:shd w:val="clear" w:color="auto" w:fill="1F3864"/>
          </w:tcPr>
          <w:p>
            <w:pPr>
              <w:spacing w:before="60" w:after="60"/>
            </w:pPr>
            <w:r>
              <w:rPr>
                <w:b/>
                <w:color w:val="FFFFFF"/>
                <w:sz w:val="18"/>
              </w:rPr>
              <w:t>Deliverable</w:t>
            </w:r>
          </w:p>
        </w:tc>
        <w:tc>
          <w:tcPr>
            <w:tcW w:type="dxa" w:w="4752"/>
            <w:shd w:val="clear" w:color="auto" w:fill="1F3864"/>
          </w:tcPr>
          <w:p>
            <w:pPr>
              <w:spacing w:before="60" w:after="60"/>
            </w:pPr>
            <w:r>
              <w:rPr>
                <w:b/>
                <w:color w:val="FFFFFF"/>
                <w:sz w:val="18"/>
              </w:rPr>
              <w:t>Description</w:t>
            </w:r>
          </w:p>
        </w:tc>
        <w:tc>
          <w:tcPr>
            <w:tcW w:type="dxa" w:w="1584"/>
            <w:shd w:val="clear" w:color="auto" w:fill="1F3864"/>
          </w:tcPr>
          <w:p>
            <w:pPr>
              <w:spacing w:before="60" w:after="60"/>
            </w:pPr>
            <w:r>
              <w:rPr>
                <w:b/>
                <w:color w:val="FFFFFF"/>
                <w:sz w:val="18"/>
              </w:rPr>
              <w:t>Due</w:t>
            </w:r>
          </w:p>
        </w:tc>
      </w:tr>
      <w:tr>
        <w:tc>
          <w:tcPr>
            <w:tcW w:type="dxa" w:w="2016"/>
            <w:shd w:val="clear" w:color="auto" w:fill="FFFFFF"/>
          </w:tcPr>
          <w:p>
            <w:pPr>
              <w:spacing w:before="40" w:after="40"/>
            </w:pPr>
            <w:r>
              <w:rPr>
                <w:b/>
                <w:sz w:val="18"/>
              </w:rPr>
              <w:t>Phase 1 — Pre-deploy</w:t>
            </w:r>
          </w:p>
        </w:tc>
        <w:tc>
          <w:tcPr>
            <w:tcW w:type="dxa" w:w="2304"/>
            <w:shd w:val="clear" w:color="auto" w:fill="FFFFFF"/>
          </w:tcPr>
          <w:p>
            <w:pPr>
              <w:spacing w:before="40" w:after="40"/>
            </w:pPr>
            <w:r>
              <w:rPr>
                <w:b/>
                <w:sz w:val="18"/>
              </w:rPr>
              <w:t>kube-bench output</w:t>
            </w:r>
          </w:p>
        </w:tc>
        <w:tc>
          <w:tcPr>
            <w:tcW w:type="dxa" w:w="4752"/>
            <w:shd w:val="clear" w:color="auto" w:fill="FFFFFF"/>
          </w:tcPr>
          <w:p>
            <w:pPr>
              <w:spacing w:before="40" w:after="40"/>
            </w:pPr>
            <w:r>
              <w:rPr>
                <w:b w:val="0"/>
                <w:sz w:val="18"/>
              </w:rPr>
              <w:t>Run kube-bench against Hampton's cluster; export full output as PDF; highlight FAIL items with remediation notes</w:t>
            </w:r>
          </w:p>
        </w:tc>
        <w:tc>
          <w:tcPr>
            <w:tcW w:type="dxa" w:w="1584"/>
            <w:shd w:val="clear" w:color="auto" w:fill="FFFFFF"/>
          </w:tcPr>
          <w:p>
            <w:pPr>
              <w:spacing w:before="40" w:after="40"/>
            </w:pPr>
            <w:r>
              <w:rPr>
                <w:b w:val="0"/>
                <w:sz w:val="18"/>
              </w:rPr>
              <w:t>Before public URL</w:t>
            </w:r>
          </w:p>
        </w:tc>
      </w:tr>
      <w:tr>
        <w:tc>
          <w:tcPr>
            <w:tcW w:type="dxa" w:w="2016"/>
            <w:shd w:val="clear" w:color="auto" w:fill="F2F7FC"/>
          </w:tcPr>
          <w:p>
            <w:pPr>
              <w:spacing w:before="40" w:after="40"/>
            </w:pPr>
            <w:r>
              <w:rPr>
                <w:b/>
                <w:sz w:val="18"/>
              </w:rPr>
              <w:t>Phase 1 — Pre-deploy</w:t>
            </w:r>
          </w:p>
        </w:tc>
        <w:tc>
          <w:tcPr>
            <w:tcW w:type="dxa" w:w="2304"/>
            <w:shd w:val="clear" w:color="auto" w:fill="F2F7FC"/>
          </w:tcPr>
          <w:p>
            <w:pPr>
              <w:spacing w:before="40" w:after="40"/>
            </w:pPr>
            <w:r>
              <w:rPr>
                <w:b/>
                <w:sz w:val="18"/>
              </w:rPr>
              <w:t>Nmap port scan report</w:t>
            </w:r>
          </w:p>
        </w:tc>
        <w:tc>
          <w:tcPr>
            <w:tcW w:type="dxa" w:w="4752"/>
            <w:shd w:val="clear" w:color="auto" w:fill="F2F7FC"/>
          </w:tcPr>
          <w:p>
            <w:pPr>
              <w:spacing w:before="40" w:after="40"/>
            </w:pPr>
            <w:r>
              <w:rPr>
                <w:b w:val="0"/>
                <w:sz w:val="18"/>
              </w:rPr>
              <w:t>Nmap -sV -p- against cluster external IP; confirm only 80/443 open; document any unexpected open ports</w:t>
            </w:r>
          </w:p>
        </w:tc>
        <w:tc>
          <w:tcPr>
            <w:tcW w:type="dxa" w:w="1584"/>
            <w:shd w:val="clear" w:color="auto" w:fill="F2F7FC"/>
          </w:tcPr>
          <w:p>
            <w:pPr>
              <w:spacing w:before="40" w:after="40"/>
            </w:pPr>
            <w:r>
              <w:rPr>
                <w:b w:val="0"/>
                <w:sz w:val="18"/>
              </w:rPr>
              <w:t>Before public URL</w:t>
            </w:r>
          </w:p>
        </w:tc>
      </w:tr>
      <w:tr>
        <w:tc>
          <w:tcPr>
            <w:tcW w:type="dxa" w:w="2016"/>
            <w:shd w:val="clear" w:color="auto" w:fill="FFFFFF"/>
          </w:tcPr>
          <w:p>
            <w:pPr>
              <w:spacing w:before="40" w:after="40"/>
            </w:pPr>
            <w:r>
              <w:rPr>
                <w:b/>
                <w:sz w:val="18"/>
              </w:rPr>
              <w:t>Phase 1 — Pre-deploy</w:t>
            </w:r>
          </w:p>
        </w:tc>
        <w:tc>
          <w:tcPr>
            <w:tcW w:type="dxa" w:w="2304"/>
            <w:shd w:val="clear" w:color="auto" w:fill="FFFFFF"/>
          </w:tcPr>
          <w:p>
            <w:pPr>
              <w:spacing w:before="40" w:after="40"/>
            </w:pPr>
            <w:r>
              <w:rPr>
                <w:b/>
                <w:sz w:val="18"/>
              </w:rPr>
              <w:t>Trivy container scan report</w:t>
            </w:r>
          </w:p>
        </w:tc>
        <w:tc>
          <w:tcPr>
            <w:tcW w:type="dxa" w:w="4752"/>
            <w:shd w:val="clear" w:color="auto" w:fill="FFFFFF"/>
          </w:tcPr>
          <w:p>
            <w:pPr>
              <w:spacing w:before="40" w:after="40"/>
            </w:pPr>
            <w:r>
              <w:rPr>
                <w:b w:val="0"/>
                <w:sz w:val="18"/>
              </w:rPr>
              <w:t>trivy image against the production Docker image; list all CRITICAL/HIGH CVEs; confirm fixes or document accepted risks</w:t>
            </w:r>
          </w:p>
        </w:tc>
        <w:tc>
          <w:tcPr>
            <w:tcW w:type="dxa" w:w="1584"/>
            <w:shd w:val="clear" w:color="auto" w:fill="FFFFFF"/>
          </w:tcPr>
          <w:p>
            <w:pPr>
              <w:spacing w:before="40" w:after="40"/>
            </w:pPr>
            <w:r>
              <w:rPr>
                <w:b w:val="0"/>
                <w:sz w:val="18"/>
              </w:rPr>
              <w:t>Before public URL</w:t>
            </w:r>
          </w:p>
        </w:tc>
      </w:tr>
      <w:tr>
        <w:tc>
          <w:tcPr>
            <w:tcW w:type="dxa" w:w="2016"/>
            <w:shd w:val="clear" w:color="auto" w:fill="F2F7FC"/>
          </w:tcPr>
          <w:p>
            <w:pPr>
              <w:spacing w:before="40" w:after="40"/>
            </w:pPr>
            <w:r>
              <w:rPr>
                <w:b/>
                <w:sz w:val="18"/>
              </w:rPr>
              <w:t>Phase 1 — Pre-deploy</w:t>
            </w:r>
          </w:p>
        </w:tc>
        <w:tc>
          <w:tcPr>
            <w:tcW w:type="dxa" w:w="2304"/>
            <w:shd w:val="clear" w:color="auto" w:fill="F2F7FC"/>
          </w:tcPr>
          <w:p>
            <w:pPr>
              <w:spacing w:before="40" w:after="40"/>
            </w:pPr>
            <w:r>
              <w:rPr>
                <w:b/>
                <w:sz w:val="18"/>
              </w:rPr>
              <w:t>Secrets audit memo</w:t>
            </w:r>
          </w:p>
        </w:tc>
        <w:tc>
          <w:tcPr>
            <w:tcW w:type="dxa" w:w="4752"/>
            <w:shd w:val="clear" w:color="auto" w:fill="F2F7FC"/>
          </w:tcPr>
          <w:p>
            <w:pPr>
              <w:spacing w:before="40" w:after="40"/>
            </w:pPr>
            <w:r>
              <w:rPr>
                <w:b w:val="0"/>
                <w:sz w:val="18"/>
              </w:rPr>
              <w:t>Confirm no secrets in git history, Docker image layers, or K8s ConfigMaps; sign off that all secrets use K8s Secrets</w:t>
            </w:r>
          </w:p>
        </w:tc>
        <w:tc>
          <w:tcPr>
            <w:tcW w:type="dxa" w:w="1584"/>
            <w:shd w:val="clear" w:color="auto" w:fill="F2F7FC"/>
          </w:tcPr>
          <w:p>
            <w:pPr>
              <w:spacing w:before="40" w:after="40"/>
            </w:pPr>
            <w:r>
              <w:rPr>
                <w:b w:val="0"/>
                <w:sz w:val="18"/>
              </w:rPr>
              <w:t>Before public URL</w:t>
            </w:r>
          </w:p>
        </w:tc>
      </w:tr>
      <w:tr>
        <w:tc>
          <w:tcPr>
            <w:tcW w:type="dxa" w:w="2016"/>
            <w:shd w:val="clear" w:color="auto" w:fill="FFFFFF"/>
          </w:tcPr>
          <w:p>
            <w:pPr>
              <w:spacing w:before="40" w:after="40"/>
            </w:pPr>
            <w:r>
              <w:rPr>
                <w:b/>
                <w:sz w:val="18"/>
              </w:rPr>
              <w:t>Phase 1 — Pre-deploy</w:t>
            </w:r>
          </w:p>
        </w:tc>
        <w:tc>
          <w:tcPr>
            <w:tcW w:type="dxa" w:w="2304"/>
            <w:shd w:val="clear" w:color="auto" w:fill="FFFFFF"/>
          </w:tcPr>
          <w:p>
            <w:pPr>
              <w:spacing w:before="40" w:after="40"/>
            </w:pPr>
            <w:r>
              <w:rPr>
                <w:b/>
                <w:sz w:val="18"/>
              </w:rPr>
              <w:t>API security review</w:t>
            </w:r>
          </w:p>
        </w:tc>
        <w:tc>
          <w:tcPr>
            <w:tcW w:type="dxa" w:w="4752"/>
            <w:shd w:val="clear" w:color="auto" w:fill="FFFFFF"/>
          </w:tcPr>
          <w:p>
            <w:pPr>
              <w:spacing w:before="40" w:after="40"/>
            </w:pPr>
            <w:r>
              <w:rPr>
                <w:b w:val="0"/>
                <w:sz w:val="18"/>
              </w:rPr>
              <w:t>Review /analyze, /jobs/:id, /health against the checklist in Section 6; document findings and mitigations</w:t>
            </w:r>
          </w:p>
        </w:tc>
        <w:tc>
          <w:tcPr>
            <w:tcW w:type="dxa" w:w="1584"/>
            <w:shd w:val="clear" w:color="auto" w:fill="FFFFFF"/>
          </w:tcPr>
          <w:p>
            <w:pPr>
              <w:spacing w:before="40" w:after="40"/>
            </w:pPr>
            <w:r>
              <w:rPr>
                <w:b w:val="0"/>
                <w:sz w:val="18"/>
              </w:rPr>
              <w:t>Before public URL</w:t>
            </w:r>
          </w:p>
        </w:tc>
      </w:tr>
      <w:tr>
        <w:tc>
          <w:tcPr>
            <w:tcW w:type="dxa" w:w="2016"/>
            <w:shd w:val="clear" w:color="auto" w:fill="F2F7FC"/>
          </w:tcPr>
          <w:p>
            <w:pPr>
              <w:spacing w:before="40" w:after="40"/>
            </w:pPr>
            <w:r>
              <w:rPr>
                <w:b/>
                <w:sz w:val="18"/>
              </w:rPr>
              <w:t>Phase 2 — Post-deploy</w:t>
            </w:r>
          </w:p>
        </w:tc>
        <w:tc>
          <w:tcPr>
            <w:tcW w:type="dxa" w:w="2304"/>
            <w:shd w:val="clear" w:color="auto" w:fill="F2F7FC"/>
          </w:tcPr>
          <w:p>
            <w:pPr>
              <w:spacing w:before="40" w:after="40"/>
            </w:pPr>
            <w:r>
              <w:rPr>
                <w:b/>
                <w:sz w:val="18"/>
              </w:rPr>
              <w:t>Nessus / OpenVAS scan report</w:t>
            </w:r>
          </w:p>
        </w:tc>
        <w:tc>
          <w:tcPr>
            <w:tcW w:type="dxa" w:w="4752"/>
            <w:shd w:val="clear" w:color="auto" w:fill="F2F7FC"/>
          </w:tcPr>
          <w:p>
            <w:pPr>
              <w:spacing w:before="40" w:after="40"/>
            </w:pPr>
            <w:r>
              <w:rPr>
                <w:b w:val="0"/>
                <w:sz w:val="18"/>
              </w:rPr>
              <w:t>Full vulnerability scan against live API endpoints; prioritized findings with remediation timeline</w:t>
            </w:r>
          </w:p>
        </w:tc>
        <w:tc>
          <w:tcPr>
            <w:tcW w:type="dxa" w:w="1584"/>
            <w:shd w:val="clear" w:color="auto" w:fill="F2F7FC"/>
          </w:tcPr>
          <w:p>
            <w:pPr>
              <w:spacing w:before="40" w:after="40"/>
            </w:pPr>
            <w:r>
              <w:rPr>
                <w:b w:val="0"/>
                <w:sz w:val="18"/>
              </w:rPr>
              <w:t>Within 2 weeks of launch</w:t>
            </w:r>
          </w:p>
        </w:tc>
      </w:tr>
      <w:tr>
        <w:tc>
          <w:tcPr>
            <w:tcW w:type="dxa" w:w="2016"/>
            <w:shd w:val="clear" w:color="auto" w:fill="FFFFFF"/>
          </w:tcPr>
          <w:p>
            <w:pPr>
              <w:spacing w:before="40" w:after="40"/>
            </w:pPr>
            <w:r>
              <w:rPr>
                <w:b/>
                <w:sz w:val="18"/>
              </w:rPr>
              <w:t>Phase 2 — Post-deploy</w:t>
            </w:r>
          </w:p>
        </w:tc>
        <w:tc>
          <w:tcPr>
            <w:tcW w:type="dxa" w:w="2304"/>
            <w:shd w:val="clear" w:color="auto" w:fill="FFFFFF"/>
          </w:tcPr>
          <w:p>
            <w:pPr>
              <w:spacing w:before="40" w:after="40"/>
            </w:pPr>
            <w:r>
              <w:rPr>
                <w:b/>
                <w:sz w:val="18"/>
              </w:rPr>
              <w:t>File upload abuse test report</w:t>
            </w:r>
          </w:p>
        </w:tc>
        <w:tc>
          <w:tcPr>
            <w:tcW w:type="dxa" w:w="4752"/>
            <w:shd w:val="clear" w:color="auto" w:fill="FFFFFF"/>
          </w:tcPr>
          <w:p>
            <w:pPr>
              <w:spacing w:before="40" w:after="40"/>
            </w:pPr>
            <w:r>
              <w:rPr>
                <w:b w:val="0"/>
                <w:sz w:val="18"/>
              </w:rPr>
              <w:t>Attempt malicious uploads (oversized, executables, path traversal filenames); document results</w:t>
            </w:r>
          </w:p>
        </w:tc>
        <w:tc>
          <w:tcPr>
            <w:tcW w:type="dxa" w:w="1584"/>
            <w:shd w:val="clear" w:color="auto" w:fill="FFFFFF"/>
          </w:tcPr>
          <w:p>
            <w:pPr>
              <w:spacing w:before="40" w:after="40"/>
            </w:pPr>
            <w:r>
              <w:rPr>
                <w:b w:val="0"/>
                <w:sz w:val="18"/>
              </w:rPr>
              <w:t>Within 2 weeks of launch</w:t>
            </w:r>
          </w:p>
        </w:tc>
      </w:tr>
      <w:tr>
        <w:tc>
          <w:tcPr>
            <w:tcW w:type="dxa" w:w="2016"/>
            <w:shd w:val="clear" w:color="auto" w:fill="F2F7FC"/>
          </w:tcPr>
          <w:p>
            <w:pPr>
              <w:spacing w:before="40" w:after="40"/>
            </w:pPr>
            <w:r>
              <w:rPr>
                <w:b/>
                <w:sz w:val="18"/>
              </w:rPr>
              <w:t>Phase 2 — Post-deploy</w:t>
            </w:r>
          </w:p>
        </w:tc>
        <w:tc>
          <w:tcPr>
            <w:tcW w:type="dxa" w:w="2304"/>
            <w:shd w:val="clear" w:color="auto" w:fill="F2F7FC"/>
          </w:tcPr>
          <w:p>
            <w:pPr>
              <w:spacing w:before="40" w:after="40"/>
            </w:pPr>
            <w:r>
              <w:rPr>
                <w:b/>
                <w:sz w:val="18"/>
              </w:rPr>
              <w:t>OWASP Top 10 review memo</w:t>
            </w:r>
          </w:p>
        </w:tc>
        <w:tc>
          <w:tcPr>
            <w:tcW w:type="dxa" w:w="4752"/>
            <w:shd w:val="clear" w:color="auto" w:fill="F2F7FC"/>
          </w:tcPr>
          <w:p>
            <w:pPr>
              <w:spacing w:before="40" w:after="40"/>
            </w:pPr>
            <w:r>
              <w:rPr>
                <w:b w:val="0"/>
                <w:sz w:val="18"/>
              </w:rPr>
              <w:t>Manual review of upload and polling endpoints against OWASP Top 10; document pass/fail per item</w:t>
            </w:r>
          </w:p>
        </w:tc>
        <w:tc>
          <w:tcPr>
            <w:tcW w:type="dxa" w:w="1584"/>
            <w:shd w:val="clear" w:color="auto" w:fill="F2F7FC"/>
          </w:tcPr>
          <w:p>
            <w:pPr>
              <w:spacing w:before="40" w:after="40"/>
            </w:pPr>
            <w:r>
              <w:rPr>
                <w:b w:val="0"/>
                <w:sz w:val="18"/>
              </w:rPr>
              <w:t>Within 2 weeks of launch</w:t>
            </w:r>
          </w:p>
        </w:tc>
      </w:tr>
      <w:tr>
        <w:tc>
          <w:tcPr>
            <w:tcW w:type="dxa" w:w="2016"/>
            <w:shd w:val="clear" w:color="auto" w:fill="FFFFFF"/>
          </w:tcPr>
          <w:p>
            <w:pPr>
              <w:spacing w:before="40" w:after="40"/>
            </w:pPr>
            <w:r>
              <w:rPr>
                <w:b/>
                <w:sz w:val="18"/>
              </w:rPr>
              <w:t>Phase 3 — Pre-beta</w:t>
            </w:r>
          </w:p>
        </w:tc>
        <w:tc>
          <w:tcPr>
            <w:tcW w:type="dxa" w:w="2304"/>
            <w:shd w:val="clear" w:color="auto" w:fill="FFFFFF"/>
          </w:tcPr>
          <w:p>
            <w:pPr>
              <w:spacing w:before="40" w:after="40"/>
            </w:pPr>
            <w:r>
              <w:rPr>
                <w:b/>
                <w:sz w:val="18"/>
              </w:rPr>
              <w:t>Privacy audit report</w:t>
            </w:r>
          </w:p>
        </w:tc>
        <w:tc>
          <w:tcPr>
            <w:tcW w:type="dxa" w:w="4752"/>
            <w:shd w:val="clear" w:color="auto" w:fill="FFFFFF"/>
          </w:tcPr>
          <w:p>
            <w:pPr>
              <w:spacing w:before="40" w:after="40"/>
            </w:pPr>
            <w:r>
              <w:rPr>
                <w:b w:val="0"/>
                <w:sz w:val="18"/>
              </w:rPr>
              <w:t>Verify genome data not persisted post-job; check DB for unexpected storage; confirm external API calls contain only coordinates</w:t>
            </w:r>
          </w:p>
        </w:tc>
        <w:tc>
          <w:tcPr>
            <w:tcW w:type="dxa" w:w="1584"/>
            <w:shd w:val="clear" w:color="auto" w:fill="FFFFFF"/>
          </w:tcPr>
          <w:p>
            <w:pPr>
              <w:spacing w:before="40" w:after="40"/>
            </w:pPr>
            <w:r>
              <w:rPr>
                <w:b w:val="0"/>
                <w:sz w:val="18"/>
              </w:rPr>
              <w:t>Before 10 real users</w:t>
            </w:r>
          </w:p>
        </w:tc>
      </w:tr>
      <w:tr>
        <w:tc>
          <w:tcPr>
            <w:tcW w:type="dxa" w:w="2016"/>
            <w:shd w:val="clear" w:color="auto" w:fill="F2F7FC"/>
          </w:tcPr>
          <w:p>
            <w:pPr>
              <w:spacing w:before="40" w:after="40"/>
            </w:pPr>
            <w:r>
              <w:rPr>
                <w:b/>
                <w:sz w:val="18"/>
              </w:rPr>
              <w:t>Phase 3 — Pre-beta</w:t>
            </w:r>
          </w:p>
        </w:tc>
        <w:tc>
          <w:tcPr>
            <w:tcW w:type="dxa" w:w="2304"/>
            <w:shd w:val="clear" w:color="auto" w:fill="F2F7FC"/>
          </w:tcPr>
          <w:p>
            <w:pPr>
              <w:spacing w:before="40" w:after="40"/>
            </w:pPr>
            <w:r>
              <w:rPr>
                <w:b/>
                <w:sz w:val="18"/>
              </w:rPr>
              <w:t>Incident response plan</w:t>
            </w:r>
          </w:p>
        </w:tc>
        <w:tc>
          <w:tcPr>
            <w:tcW w:type="dxa" w:w="4752"/>
            <w:shd w:val="clear" w:color="auto" w:fill="F2F7FC"/>
          </w:tcPr>
          <w:p>
            <w:pPr>
              <w:spacing w:before="40" w:after="40"/>
            </w:pPr>
            <w:r>
              <w:rPr>
                <w:b w:val="0"/>
                <w:sz w:val="18"/>
              </w:rPr>
              <w:t>Draft: what happens if breach occurs, who is notified, what is disclosed, in what timeline</w:t>
            </w:r>
          </w:p>
        </w:tc>
        <w:tc>
          <w:tcPr>
            <w:tcW w:type="dxa" w:w="1584"/>
            <w:shd w:val="clear" w:color="auto" w:fill="F2F7FC"/>
          </w:tcPr>
          <w:p>
            <w:pPr>
              <w:spacing w:before="40" w:after="40"/>
            </w:pPr>
            <w:r>
              <w:rPr>
                <w:b w:val="0"/>
                <w:sz w:val="18"/>
              </w:rPr>
              <w:t>Before 10 real users</w:t>
            </w:r>
          </w:p>
        </w:tc>
      </w:tr>
      <w:tr>
        <w:tc>
          <w:tcPr>
            <w:tcW w:type="dxa" w:w="2016"/>
            <w:shd w:val="clear" w:color="auto" w:fill="FFFFFF"/>
          </w:tcPr>
          <w:p>
            <w:pPr>
              <w:spacing w:before="40" w:after="40"/>
            </w:pPr>
            <w:r>
              <w:rPr>
                <w:b/>
                <w:sz w:val="18"/>
              </w:rPr>
              <w:t>Post-MVP</w:t>
            </w:r>
          </w:p>
        </w:tc>
        <w:tc>
          <w:tcPr>
            <w:tcW w:type="dxa" w:w="2304"/>
            <w:shd w:val="clear" w:color="auto" w:fill="FFFFFF"/>
          </w:tcPr>
          <w:p>
            <w:pPr>
              <w:spacing w:before="40" w:after="40"/>
            </w:pPr>
            <w:r>
              <w:rPr>
                <w:b/>
                <w:sz w:val="18"/>
              </w:rPr>
              <w:t>Bug bounty program setup</w:t>
            </w:r>
          </w:p>
        </w:tc>
        <w:tc>
          <w:tcPr>
            <w:tcW w:type="dxa" w:w="4752"/>
            <w:shd w:val="clear" w:color="auto" w:fill="FFFFFF"/>
          </w:tcPr>
          <w:p>
            <w:pPr>
              <w:spacing w:before="40" w:after="40"/>
            </w:pPr>
            <w:r>
              <w:rPr>
                <w:b w:val="0"/>
                <w:sz w:val="18"/>
              </w:rPr>
              <w:t>Evaluate HackerOne vs Bugcrowd; define scope and reward structure; present options to Curtis</w:t>
            </w:r>
          </w:p>
        </w:tc>
        <w:tc>
          <w:tcPr>
            <w:tcW w:type="dxa" w:w="1584"/>
            <w:shd w:val="clear" w:color="auto" w:fill="FFFFFF"/>
          </w:tcPr>
          <w:p>
            <w:pPr>
              <w:spacing w:before="40" w:after="40"/>
            </w:pPr>
            <w:r>
              <w:rPr>
                <w:b w:val="0"/>
                <w:sz w:val="18"/>
              </w:rPr>
              <w:t>When 100+ users</w:t>
            </w:r>
          </w:p>
        </w:tc>
      </w:tr>
    </w:tbl>
    <w:p/>
    <w:tbl>
      <w:tblPr>
        <w:tblW w:type="auto" w:w="0"/>
        <w:jc w:val="left"/>
        <w:tblLook w:firstColumn="1" w:firstRow="1" w:lastColumn="0" w:lastRow="0" w:noHBand="0" w:noVBand="1" w:val="04A0"/>
      </w:tblPr>
      <w:tblGrid>
        <w:gridCol w:w="9072"/>
      </w:tblGrid>
      <w:tr>
        <w:tc>
          <w:tcPr>
            <w:tcW w:type="dxa" w:w="9072"/>
            <w:tcBorders>
              <w:top w:val="single" w:sz="4" w:space="0" w:color="2E75B6"/>
              <w:left w:val="single" w:sz="4" w:space="0" w:color="CCCCCC"/>
              <w:bottom w:val="single" w:sz="4" w:space="0" w:color="CCCCCC"/>
              <w:right w:val="single" w:sz="4" w:space="0" w:color="CCCCCC"/>
            </w:tcBorders>
            <w:shd w:val="clear" w:color="auto" w:fill="EBF3FB"/>
            <w:tcBorders>
              <w:top w:val="single" w:sz="4" w:space="0" w:color="CCCCCC"/>
              <w:left w:val="single" w:sz="4" w:space="0" w:color="2E75B6"/>
              <w:bottom w:val="single" w:sz="4" w:space="0" w:color="CCCCCC"/>
              <w:right w:val="single" w:sz="4" w:space="0" w:color="CCCCCC"/>
            </w:tcBorders>
            <w:tcBorders>
              <w:top w:val="single" w:sz="4" w:space="0" w:color="CCCCCC"/>
              <w:left w:val="single" w:sz="4" w:space="0" w:color="CCCCCC"/>
              <w:bottom w:val="single" w:sz="4" w:space="0" w:color="2E75B6"/>
              <w:right w:val="single" w:sz="4" w:space="0" w:color="CCCCCC"/>
            </w:tcBorders>
            <w:tcBorders>
              <w:top w:val="single" w:sz="4" w:space="0" w:color="CCCCCC"/>
              <w:left w:val="single" w:sz="4" w:space="0" w:color="CCCCCC"/>
              <w:bottom w:val="single" w:sz="4" w:space="0" w:color="CCCCCC"/>
              <w:right w:val="single" w:sz="4" w:space="0" w:color="2E75B6"/>
            </w:tcBorders>
          </w:tcPr>
          <w:p>
            <w:pPr>
              <w:spacing w:before="80"/>
              <w:ind w:left="144"/>
            </w:pPr>
            <w:r>
              <w:rPr>
                <w:b/>
                <w:color w:val="1F3864"/>
                <w:sz w:val="20"/>
              </w:rPr>
              <w:t xml:space="preserve">NOTE TO CANE:  </w:t>
            </w:r>
            <w:r>
              <w:rPr>
                <w:sz w:val="20"/>
              </w:rPr>
              <w:t>Read docs/architecture.md and docs/integrations.md on GitHub first — they document exactly what the system does, what leaves the system, and how the infrastructure is set up. All the context you need to run an informed security audit is there.</w:t>
            </w:r>
          </w:p>
        </w:tc>
      </w:tr>
    </w:tbl>
    <w:p/>
    <w:p>
      <w:r>
        <w:br w:type="page"/>
      </w:r>
    </w:p>
    <w:p>
      <w:pPr>
        <w:pStyle w:val="Heading1"/>
      </w:pPr>
      <w:r>
        <w:rPr>
          <w:b/>
          <w:color w:val="1F3864"/>
        </w:rPr>
        <w:t>10.  Message to Cane</w:t>
      </w:r>
    </w:p>
    <w:p>
      <w:pPr>
        <w:pBdr>
          <w:bottom w:val="single" w:sz="6" w:space="1" w:color="2E75B6"/>
        </w:pBdr>
        <w:spacing w:before="80" w:after="160"/>
      </w:pPr>
    </w:p>
    <w:p>
      <w:pPr>
        <w:spacing w:before="0" w:after="160"/>
      </w:pPr>
      <w:r>
        <w:rPr>
          <w:b w:val="0"/>
          <w:i/>
          <w:sz w:val="20"/>
        </w:rPr>
        <w:t>Copy and send the following message to Cane:</w:t>
      </w:r>
    </w:p>
    <w:tbl>
      <w:tblPr>
        <w:tblW w:type="auto" w:w="0"/>
        <w:tblLook w:firstColumn="1" w:firstRow="1" w:lastColumn="0" w:lastRow="0" w:noHBand="0" w:noVBand="1" w:val="04A0"/>
      </w:tblPr>
      <w:tblGrid>
        <w:gridCol w:w="9072"/>
      </w:tblGrid>
      <w:tr>
        <w:tc>
          <w:tcPr>
            <w:tcW w:type="dxa" w:w="9072"/>
            <w:tcBorders>
              <w:top w:val="single" w:sz="6" w:space="0" w:color="AAAAAA"/>
              <w:left w:val="single" w:sz="4" w:space="0" w:color="CCCCCC"/>
              <w:bottom w:val="single" w:sz="4" w:space="0" w:color="CCCCCC"/>
              <w:right w:val="single" w:sz="4" w:space="0" w:color="CCCCCC"/>
            </w:tcBorders>
            <w:shd w:val="clear" w:color="auto" w:fill="F8F9FA"/>
            <w:tcBorders>
              <w:top w:val="single" w:sz="4" w:space="0" w:color="CCCCCC"/>
              <w:left w:val="single" w:sz="6" w:space="0" w:color="AAAAAA"/>
              <w:bottom w:val="single" w:sz="4" w:space="0" w:color="CCCCCC"/>
              <w:right w:val="single" w:sz="4" w:space="0" w:color="CCCCCC"/>
            </w:tcBorders>
            <w:tcBorders>
              <w:top w:val="single" w:sz="4" w:space="0" w:color="CCCCCC"/>
              <w:left w:val="single" w:sz="4" w:space="0" w:color="CCCCCC"/>
              <w:bottom w:val="single" w:sz="6" w:space="0" w:color="AAAAAA"/>
              <w:right w:val="single" w:sz="4" w:space="0" w:color="CCCCCC"/>
            </w:tcBorders>
            <w:tcBorders>
              <w:top w:val="single" w:sz="4" w:space="0" w:color="CCCCCC"/>
              <w:left w:val="single" w:sz="4" w:space="0" w:color="CCCCCC"/>
              <w:bottom w:val="single" w:sz="4" w:space="0" w:color="CCCCCC"/>
              <w:right w:val="single" w:sz="6" w:space="0" w:color="AAAAAA"/>
            </w:tcBorders>
          </w:tcPr>
          <w:p>
            <w:pPr>
              <w:spacing w:after="40"/>
              <w:ind w:left="216" w:right="216"/>
            </w:pPr>
            <w:r>
              <w:rPr>
                <w:b w:val="0"/>
                <w:sz w:val="20"/>
              </w:rPr>
              <w:t>Hey Cane —</w:t>
              <w:br/>
              <w:br/>
              <w:t>Here's everything you need to run the security audit for U4U. I've written the full plan in a document — this message is the quick version.</w:t>
              <w:br/>
              <w:br/>
            </w:r>
          </w:p>
          <w:p>
            <w:pPr>
              <w:spacing w:after="40"/>
              <w:ind w:left="216" w:right="216"/>
            </w:pPr>
            <w:r>
              <w:rPr>
                <w:b/>
                <w:sz w:val="20"/>
              </w:rPr>
              <w:t>What U4U is:</w:t>
              <w:br/>
            </w:r>
          </w:p>
          <w:p>
            <w:pPr>
              <w:spacing w:after="40"/>
              <w:ind w:left="216" w:right="216"/>
            </w:pPr>
            <w:r>
              <w:rPr>
                <w:b w:val="0"/>
                <w:sz w:val="20"/>
              </w:rPr>
              <w:t>Genomics interpretation platform. User uploads a raw genome file (VCF or 23andMe .txt), the engine annotates variants against ClinVar, gnomAD, and Ensembl VEP, and returns a scored results dashboard. No genome files are stored — processed in memory, discarded after analysis. No user accounts in MVP.</w:t>
              <w:br/>
              <w:br/>
            </w:r>
          </w:p>
          <w:p>
            <w:pPr>
              <w:spacing w:after="40"/>
              <w:ind w:left="216" w:right="216"/>
            </w:pPr>
            <w:r>
              <w:rPr>
                <w:b/>
                <w:sz w:val="20"/>
              </w:rPr>
              <w:t>Where to find the docs:</w:t>
              <w:br/>
            </w:r>
          </w:p>
          <w:p>
            <w:pPr>
              <w:spacing w:after="40"/>
              <w:ind w:left="216" w:right="216"/>
            </w:pPr>
            <w:r>
              <w:rPr>
                <w:b w:val="0"/>
                <w:sz w:val="20"/>
              </w:rPr>
              <w:t>All technical docs are on GitHub: https://github.com/Florida-Man-Bioscience/u4u-engine</w:t>
              <w:br/>
              <w:br/>
              <w:t xml:space="preserve">  - docs/architecture.md — system diagram, what goes where, data flow</w:t>
              <w:br/>
              <w:t xml:space="preserve">  - docs/integrations.md — every external API we call and what we send</w:t>
              <w:br/>
              <w:t xml:space="preserve">  - api.py — the FastAPI code (3 endpoints: POST /analyze, GET /jobs/:id, GET /health)</w:t>
              <w:br/>
              <w:t xml:space="preserve">  - Dockerfile — two-stage build</w:t>
              <w:br/>
              <w:t xml:space="preserve">  - db/schema.sql — Postgres schema</w:t>
              <w:br/>
              <w:br/>
              <w:t>Notice on GitHub: docs/architecture.md has the full result schema and job lifecycle diagram. That's the most useful single file for understanding the attack surface.</w:t>
              <w:br/>
              <w:br/>
            </w:r>
          </w:p>
          <w:p>
            <w:pPr>
              <w:spacing w:after="40"/>
              <w:ind w:left="216" w:right="216"/>
            </w:pPr>
            <w:r>
              <w:rPr>
                <w:b/>
                <w:sz w:val="20"/>
              </w:rPr>
              <w:t>What I need from you — in order:</w:t>
              <w:br/>
            </w:r>
          </w:p>
          <w:p>
            <w:pPr>
              <w:spacing w:after="40"/>
              <w:ind w:left="216" w:right="216"/>
            </w:pPr>
            <w:r>
              <w:rPr>
                <w:b w:val="0"/>
                <w:sz w:val="20"/>
              </w:rPr>
              <w:t>1. kube-bench against Hampton's K8s cluster — export full output, highlight FAIL items</w:t>
              <w:br/>
              <w:t>2. Nmap -sV -p- against the cluster's external IP — confirm only 80/443 open</w:t>
              <w:br/>
              <w:t>3. Trivy image scan against the Docker image — fix CRITICAL/HIGH CVEs before we deploy</w:t>
              <w:br/>
              <w:t>4. Secrets audit — confirm nothing sensitive is in git history, Docker image layers, or K8s ConfigMaps (all secrets should be in K8s Secrets)</w:t>
              <w:br/>
              <w:t>5. API security review against /analyze, /jobs/:id, /health — I've written the checklist in the plan document</w:t>
              <w:br/>
              <w:br/>
              <w:t>Those five things all need to happen before the public URL goes live.</w:t>
              <w:br/>
              <w:br/>
              <w:t>Post-deploy (within 2 weeks of launch):</w:t>
              <w:br/>
              <w:t>- Nessus or OpenVAS scan against live endpoints</w:t>
              <w:br/>
              <w:t>- File upload abuse testing (malicious files, oversized, path traversal filenames)</w:t>
              <w:br/>
              <w:t>- OWASP Top 10 manual review of the upload endpoint</w:t>
              <w:br/>
              <w:br/>
            </w:r>
          </w:p>
          <w:p>
            <w:pPr>
              <w:spacing w:after="40"/>
              <w:ind w:left="216" w:right="216"/>
            </w:pPr>
            <w:r>
              <w:rPr>
                <w:b/>
                <w:sz w:val="20"/>
              </w:rPr>
              <w:t>Specific things to know for the audit:</w:t>
              <w:br/>
            </w:r>
          </w:p>
          <w:p>
            <w:pPr>
              <w:spacing w:after="40"/>
              <w:ind w:left="216" w:right="216"/>
            </w:pPr>
            <w:r>
              <w:rPr>
                <w:b w:val="0"/>
                <w:sz w:val="20"/>
              </w:rPr>
              <w:t>- The /analyze endpoint is the highest-risk surface — it accepts file uploads up to 100 MB</w:t>
              <w:br/>
              <w:t>- NCBI_API_KEY is the only secret; it must be in a K8s Secret, not anywhere else</w:t>
              <w:br/>
              <w:t>- Hampton said the cluster has encrypted volumes, mirrored storage, and automated backups — verify this is actually configured and test a restore</w:t>
              <w:br/>
              <w:t>- Genome files are never written to disk by design; if you find any evidence they are, that's a critical finding</w:t>
              <w:br/>
              <w:t>- External API calls (ClinVar, gnomAD, VEP) should contain only variant coordinates — no user IDs, no session tokens, nothing else</w:t>
              <w:br/>
              <w:br/>
            </w:r>
          </w:p>
          <w:p>
            <w:pPr>
              <w:spacing w:after="40"/>
              <w:ind w:left="216" w:right="216"/>
            </w:pPr>
            <w:r>
              <w:rPr>
                <w:b/>
                <w:sz w:val="20"/>
              </w:rPr>
              <w:t>On tokenization:</w:t>
              <w:br/>
            </w:r>
          </w:p>
          <w:p>
            <w:pPr>
              <w:spacing w:after="40"/>
              <w:ind w:left="216" w:right="216"/>
            </w:pPr>
            <w:r>
              <w:rPr>
                <w:b w:val="0"/>
                <w:sz w:val="20"/>
              </w:rPr>
              <w:t>Short answer: not needed for MVP. No genomes stored, no user identity linked to genomic data, job IDs are UUIDv4 (already cryptographically random). Encrypt email addresses at rest if we add the subscription feature. Will revisit if we add user accounts + genome storage in V2.</w:t>
              <w:br/>
              <w:br/>
            </w:r>
          </w:p>
          <w:p>
            <w:pPr>
              <w:spacing w:after="40"/>
              <w:ind w:left="216" w:right="216"/>
            </w:pPr>
            <w:r>
              <w:rPr>
                <w:b/>
                <w:sz w:val="20"/>
              </w:rPr>
              <w:t>Deliverables:</w:t>
              <w:br/>
            </w:r>
          </w:p>
          <w:p>
            <w:pPr>
              <w:spacing w:after="40"/>
              <w:ind w:left="216" w:right="216"/>
            </w:pPr>
            <w:r>
              <w:rPr>
                <w:b w:val="0"/>
                <w:sz w:val="20"/>
              </w:rPr>
              <w:t>Each phase is in the security plan document. Phase 1 (pre-deploy) outputs are: kube-bench report, Nmap scan, Trivy scan, secrets memo, API review. Share as PDFs or markdown docs — whatever format works for you. I need Phase 1 done before Hampton deploys.</w:t>
              <w:br/>
              <w:br/>
              <w:t>Lmk if you have questions on the architecture — happy to walk through it.</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