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spacing w:after="240"/>
      </w:pPr>
    </w:p>
    <w:p>
      <w:pPr>
        <w:spacing w:after="320"/>
        <w:jc w:val="center"/>
      </w:pPr>
      <w:r>
        <w:rPr>
          <w:rFonts w:ascii="Calibri" w:hAnsi="Calibri" w:eastAsia="Calibri"/>
          <w:b/>
          <w:color w:val="0B6B3A"/>
          <w:sz w:val="20"/>
        </w:rPr>
        <w:t>TECHNICAL PRESENTATION BRIEF</w:t>
      </w:r>
    </w:p>
    <w:p>
      <w:pPr>
        <w:spacing w:after="240"/>
        <w:jc w:val="center"/>
      </w:pPr>
      <w:r>
        <w:rPr>
          <w:rFonts w:ascii="Arial" w:hAnsi="Arial" w:eastAsia="Arial"/>
          <w:b/>
          <w:color w:val="0A236F"/>
          <w:sz w:val="58"/>
        </w:rPr>
        <w:t>Co-valorization of bauxite residue</w:t>
        <w:br/>
        <w:t>and soybean processing waste</w:t>
      </w:r>
    </w:p>
    <w:p>
      <w:pPr>
        <w:spacing w:after="480"/>
        <w:jc w:val="center"/>
      </w:pPr>
      <w:r>
        <w:rPr>
          <w:rFonts w:ascii="Arial" w:hAnsi="Arial" w:eastAsia="Arial"/>
          <w:color w:val="0B6B3A"/>
          <w:sz w:val="28"/>
        </w:rPr>
        <w:t>SCWG · salt recovery · Rectisol · bi-reforming · OXZEO</w:t>
      </w:r>
    </w:p>
    <w:p>
      <w:pPr>
        <w:spacing w:after="800"/>
        <w:jc w:val="center"/>
      </w:pPr>
      <w:r>
        <w:rPr>
          <w:rFonts w:ascii="Calibri" w:hAnsi="Calibri" w:eastAsia="Calibri"/>
          <w:i/>
          <w:color w:val="667085"/>
          <w:sz w:val="22"/>
        </w:rPr>
        <w:t>A condensed briefing packet for a high-level technical and commercial presentation</w:t>
      </w:r>
    </w:p>
    <w:p>
      <w:pPr>
        <w:spacing w:after="100"/>
        <w:jc w:val="center"/>
      </w:pPr>
      <w:r>
        <w:rPr>
          <w:rFonts w:ascii="Calibri" w:hAnsi="Calibri" w:eastAsia="Calibri"/>
          <w:b/>
          <w:color w:val="0A236F"/>
          <w:sz w:val="24"/>
        </w:rPr>
        <w:t>Curtis Lee</w:t>
      </w:r>
    </w:p>
    <w:p>
      <w:pPr>
        <w:spacing w:after="80"/>
        <w:jc w:val="center"/>
      </w:pPr>
      <w:r>
        <w:rPr>
          <w:rFonts w:ascii="Calibri" w:hAnsi="Calibri" w:eastAsia="Calibri"/>
          <w:color w:val="667085"/>
          <w:sz w:val="19"/>
        </w:rPr>
        <w:t>Based on the final screening / pre-FEED process design report</w:t>
      </w:r>
    </w:p>
    <w:p>
      <w:pPr>
        <w:jc w:val="center"/>
      </w:pPr>
      <w:r>
        <w:rPr>
          <w:rFonts w:ascii="Calibri" w:hAnsi="Calibri" w:eastAsia="Calibri"/>
          <w:color w:val="667085"/>
          <w:sz w:val="19"/>
        </w:rPr>
        <w:t>5 August 2026</w:t>
      </w:r>
    </w:p>
    <w:p>
      <w:pPr>
        <w:sectPr>
          <w:pgSz w:w="12240" w:h="15840"/>
          <w:pgMar w:top="1440" w:right="1440" w:bottom="1440" w:left="1440" w:header="708" w:footer="708" w:gutter="0"/>
          <w:cols w:space="720"/>
          <w:docGrid w:linePitch="360"/>
        </w:sectPr>
      </w:pPr>
    </w:p>
    <w:p>
      <w:pPr>
        <w:pStyle w:val="PacketKicker"/>
        <w:spacing w:before="1080"/>
      </w:pPr>
      <w:r>
        <w:t>How to use this packet</w:t>
      </w:r>
    </w:p>
    <w:p>
      <w:pPr>
        <w:pStyle w:val="Heading1"/>
      </w:pPr>
      <w:r>
        <w:t>The project in one minute</w:t>
      </w:r>
    </w:p>
    <w:p>
      <w:pPr>
        <w:spacing w:before="120" w:after="80" w:line="288" w:lineRule="auto"/>
        <w:ind w:left="173" w:right="115"/>
        <w:shd w:fill="F4F8F5"/>
        <w:keepLines/>
        <w:pBdr>
          <w:left w:val="single" w:sz="18" w:space="8" w:color="0B6B3A"/>
        </w:pBdr>
      </w:pPr>
      <w:r>
        <w:rPr>
          <w:rFonts w:ascii="Calibri" w:hAnsi="Calibri" w:eastAsia="Calibri"/>
          <w:b/>
          <w:color w:val="0B6B3A"/>
          <w:sz w:val="18"/>
        </w:rPr>
        <w:t xml:space="preserve">ONE-SENTENCE THESIS  </w:t>
      </w:r>
      <w:r>
        <w:rPr>
          <w:rFonts w:ascii="Calibri" w:hAnsi="Calibri" w:eastAsia="Calibri"/>
          <w:color w:val="1F2933"/>
          <w:sz w:val="21"/>
        </w:rPr>
        <w:t>Use supercritical water to process wet soybean and bauxite residues, recover salts, clean and reform the gas, and convert syngas to light olefins—while treating this as a pilot-stage circular-economy service, not a financeable commodity plant.</w:t>
      </w:r>
    </w:p>
    <w:tbl>
      <w:tblPr>
        <w:tblW w:type="dxa" w:w="9360"/>
        <w:jc w:val="left"/>
        <w:tblLayout w:type="fixed"/>
        <w:tblLook w:firstColumn="1" w:firstRow="1" w:lastColumn="0" w:lastRow="0" w:noHBand="0" w:noVBand="1" w:val="04A0"/>
        <w:tblInd w:w="12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blGrid>
        <w:gridCol w:w="3120"/>
        <w:gridCol w:w="3120"/>
        <w:gridCol w:w="3120"/>
      </w:tblGrid>
      <w:tr>
        <w:tc>
          <w:tcPr>
            <w:tcW w:type="dxa" w:w="3120"/>
            <w:shd w:fill="F4F8F5"/>
            <w:tcMar>
              <w:top w:w="80" w:type="dxa"/>
              <w:start w:w="120" w:type="dxa"/>
              <w:bottom w:w="80" w:type="dxa"/>
              <w:end w:w="120" w:type="dxa"/>
            </w:tcMar>
            <w:vAlign w:val="center"/>
          </w:tcPr>
          <w:p>
            <w:pPr>
              <w:spacing w:after="40"/>
              <w:jc w:val="center"/>
            </w:pPr>
            <w:r>
              <w:rPr>
                <w:rFonts w:ascii="Calibri" w:hAnsi="Calibri" w:eastAsia="Calibri"/>
                <w:b/>
                <w:color w:val="0A236F"/>
                <w:sz w:val="32"/>
              </w:rPr>
              <w:t>1,500 t/day</w:t>
              <w:br/>
            </w:r>
            <w:r>
              <w:rPr>
                <w:rFonts w:ascii="Calibri" w:hAnsi="Calibri" w:eastAsia="Calibri"/>
                <w:b/>
                <w:color w:val="667085"/>
                <w:sz w:val="17"/>
              </w:rPr>
              <w:t>five-train gross slurry throughput</w:t>
            </w:r>
          </w:p>
        </w:tc>
        <w:tc>
          <w:tcPr>
            <w:tcW w:type="dxa" w:w="3120"/>
            <w:shd w:fill="F3F5F6"/>
            <w:tcMar>
              <w:top w:w="80" w:type="dxa"/>
              <w:start w:w="120" w:type="dxa"/>
              <w:bottom w:w="80" w:type="dxa"/>
              <w:end w:w="120" w:type="dxa"/>
            </w:tcMar>
            <w:vAlign w:val="center"/>
          </w:tcPr>
          <w:p>
            <w:pPr>
              <w:spacing w:after="40"/>
              <w:jc w:val="center"/>
            </w:pPr>
            <w:r>
              <w:rPr>
                <w:rFonts w:ascii="Calibri" w:hAnsi="Calibri" w:eastAsia="Calibri"/>
                <w:b/>
                <w:color w:val="0A236F"/>
                <w:sz w:val="32"/>
              </w:rPr>
              <w:t>19.33 kt/y</w:t>
              <w:br/>
            </w:r>
            <w:r>
              <w:rPr>
                <w:rFonts w:ascii="Calibri" w:hAnsi="Calibri" w:eastAsia="Calibri"/>
                <w:b/>
                <w:color w:val="667085"/>
                <w:sz w:val="17"/>
              </w:rPr>
              <w:t>base light-olefin output</w:t>
            </w:r>
          </w:p>
        </w:tc>
        <w:tc>
          <w:tcPr>
            <w:tcW w:type="dxa" w:w="3120"/>
            <w:shd w:fill="F4F8F5"/>
            <w:tcMar>
              <w:top w:w="80" w:type="dxa"/>
              <w:start w:w="120" w:type="dxa"/>
              <w:bottom w:w="80" w:type="dxa"/>
              <w:end w:w="120" w:type="dxa"/>
            </w:tcMar>
            <w:vAlign w:val="center"/>
          </w:tcPr>
          <w:p>
            <w:pPr>
              <w:spacing w:after="40"/>
              <w:jc w:val="center"/>
            </w:pPr>
            <w:r>
              <w:rPr>
                <w:rFonts w:ascii="Calibri" w:hAnsi="Calibri" w:eastAsia="Calibri"/>
                <w:b/>
                <w:color w:val="0A236F"/>
                <w:sz w:val="32"/>
              </w:rPr>
              <w:t>22.74 kt/y</w:t>
              <w:br/>
            </w:r>
            <w:r>
              <w:rPr>
                <w:rFonts w:ascii="Calibri" w:hAnsi="Calibri" w:eastAsia="Calibri"/>
                <w:b/>
                <w:color w:val="667085"/>
                <w:sz w:val="17"/>
              </w:rPr>
              <w:t>B2 regional co-feed screen</w:t>
            </w:r>
          </w:p>
        </w:tc>
      </w:tr>
      <w:tr>
        <w:tc>
          <w:tcPr>
            <w:tcW w:type="dxa" w:w="3120"/>
            <w:shd w:fill="F3F5F6"/>
            <w:tcMar>
              <w:top w:w="80" w:type="dxa"/>
              <w:start w:w="120" w:type="dxa"/>
              <w:bottom w:w="80" w:type="dxa"/>
              <w:end w:w="120" w:type="dxa"/>
            </w:tcMar>
            <w:vAlign w:val="center"/>
          </w:tcPr>
          <w:p>
            <w:pPr>
              <w:spacing w:after="40"/>
              <w:jc w:val="center"/>
            </w:pPr>
            <w:r>
              <w:rPr>
                <w:rFonts w:ascii="Calibri" w:hAnsi="Calibri" w:eastAsia="Calibri"/>
                <w:b/>
                <w:color w:val="0A236F"/>
                <w:sz w:val="32"/>
              </w:rPr>
              <w:t>RMB 1.90 bn</w:t>
              <w:br/>
            </w:r>
            <w:r>
              <w:rPr>
                <w:rFonts w:ascii="Calibri" w:hAnsi="Calibri" w:eastAsia="Calibri"/>
                <w:b/>
                <w:color w:val="667085"/>
                <w:sz w:val="17"/>
              </w:rPr>
              <w:t>central screening CAPEX</w:t>
            </w:r>
          </w:p>
        </w:tc>
        <w:tc>
          <w:tcPr>
            <w:tcW w:type="dxa" w:w="3120"/>
            <w:shd w:fill="F4F8F5"/>
            <w:tcMar>
              <w:top w:w="80" w:type="dxa"/>
              <w:start w:w="120" w:type="dxa"/>
              <w:bottom w:w="80" w:type="dxa"/>
              <w:end w:w="120" w:type="dxa"/>
            </w:tcMar>
            <w:vAlign w:val="center"/>
          </w:tcPr>
          <w:p>
            <w:pPr>
              <w:spacing w:after="40"/>
              <w:jc w:val="center"/>
            </w:pPr>
            <w:r>
              <w:rPr>
                <w:rFonts w:ascii="Calibri" w:hAnsi="Calibri" w:eastAsia="Calibri"/>
                <w:b/>
                <w:color w:val="0A236F"/>
                <w:sz w:val="32"/>
              </w:rPr>
              <w:t>−RMB 1.856 bn</w:t>
              <w:br/>
            </w:r>
            <w:r>
              <w:rPr>
                <w:rFonts w:ascii="Calibri" w:hAnsi="Calibri" w:eastAsia="Calibri"/>
                <w:b/>
                <w:color w:val="667085"/>
                <w:sz w:val="17"/>
              </w:rPr>
              <w:t>20-year pre-tax NPV at 10%</w:t>
            </w:r>
          </w:p>
        </w:tc>
        <w:tc>
          <w:tcPr>
            <w:tcW w:type="dxa" w:w="3120"/>
            <w:shd w:fill="F3F5F6"/>
            <w:tcMar>
              <w:top w:w="80" w:type="dxa"/>
              <w:start w:w="120" w:type="dxa"/>
              <w:bottom w:w="80" w:type="dxa"/>
              <w:end w:w="120" w:type="dxa"/>
            </w:tcMar>
            <w:vAlign w:val="center"/>
          </w:tcPr>
          <w:p>
            <w:pPr>
              <w:spacing w:after="40"/>
              <w:jc w:val="center"/>
            </w:pPr>
            <w:r>
              <w:rPr>
                <w:rFonts w:ascii="Calibri" w:hAnsi="Calibri" w:eastAsia="Calibri"/>
                <w:b/>
                <w:color w:val="0A236F"/>
                <w:sz w:val="32"/>
              </w:rPr>
              <w:t>1–5 t/day</w:t>
              <w:br/>
            </w:r>
            <w:r>
              <w:rPr>
                <w:rFonts w:ascii="Calibri" w:hAnsi="Calibri" w:eastAsia="Calibri"/>
                <w:b/>
                <w:color w:val="667085"/>
                <w:sz w:val="17"/>
              </w:rPr>
              <w:t>recommended continuous pilot</w:t>
            </w:r>
          </w:p>
        </w:tc>
      </w:tr>
    </w:tbl>
    <w:p>
      <w:pPr>
        <w:spacing w:after="0"/>
      </w:pPr>
    </w:p>
    <w:p>
      <w:pPr>
        <w:pStyle w:val="Heading2"/>
      </w:pPr>
      <w:r>
        <w:t>What the report actually concludes</w:t>
      </w:r>
    </w:p>
    <w:p>
      <w:pPr>
        <w:pStyle w:val="ListBullet"/>
        <w:spacing w:after="80" w:line="300" w:lineRule="auto"/>
        <w:ind w:left="540" w:hanging="271"/>
      </w:pPr>
      <w:r>
        <w:rPr>
          <w:rFonts w:ascii="Calibri" w:hAnsi="Calibri" w:eastAsia="Calibri"/>
        </w:rPr>
        <w:t xml:space="preserve"> </w:t>
      </w:r>
      <w:r>
        <w:rPr>
          <w:rFonts w:ascii="Calibri" w:hAnsi="Calibri" w:eastAsia="Calibri"/>
          <w:b/>
          <w:color w:val="0A236F"/>
        </w:rPr>
        <w:t>Technically coherent:</w:t>
      </w:r>
      <w:r>
        <w:rPr>
          <w:rFonts w:ascii="Calibri" w:hAnsi="Calibri" w:eastAsia="Calibri"/>
        </w:rPr>
        <w:t xml:space="preserve"> the revised flowsheet resolves the salt, sulfur, and carbon-monoxide conflicts explicitly.</w:t>
      </w:r>
    </w:p>
    <w:p>
      <w:pPr>
        <w:pStyle w:val="ListBullet"/>
        <w:spacing w:after="80" w:line="300" w:lineRule="auto"/>
        <w:ind w:left="540" w:hanging="271"/>
      </w:pPr>
      <w:r>
        <w:rPr>
          <w:rFonts w:ascii="Calibri" w:hAnsi="Calibri" w:eastAsia="Calibri"/>
        </w:rPr>
        <w:t xml:space="preserve"> </w:t>
      </w:r>
      <w:r>
        <w:rPr>
          <w:rFonts w:ascii="Calibri" w:hAnsi="Calibri" w:eastAsia="Calibri"/>
          <w:b/>
          <w:color w:val="0A236F"/>
        </w:rPr>
        <w:t>Not commercially proven:</w:t>
      </w:r>
      <w:r>
        <w:rPr>
          <w:rFonts w:ascii="Calibri" w:hAnsi="Calibri" w:eastAsia="Calibri"/>
        </w:rPr>
        <w:t xml:space="preserve"> every load-bearing yield, reliability, materials, product-quality, and contract assumption still needs evidence.</w:t>
      </w:r>
    </w:p>
    <w:p>
      <w:pPr>
        <w:pStyle w:val="ListBullet"/>
        <w:spacing w:after="80" w:line="300" w:lineRule="auto"/>
        <w:ind w:left="540" w:hanging="271"/>
      </w:pPr>
      <w:r>
        <w:rPr>
          <w:rFonts w:ascii="Calibri" w:hAnsi="Calibri" w:eastAsia="Calibri"/>
        </w:rPr>
        <w:t xml:space="preserve"> </w:t>
      </w:r>
      <w:r>
        <w:rPr>
          <w:rFonts w:ascii="Calibri" w:hAnsi="Calibri" w:eastAsia="Calibri"/>
          <w:b/>
          <w:color w:val="0A236F"/>
        </w:rPr>
        <w:t>Base economics fail:</w:t>
      </w:r>
      <w:r>
        <w:rPr>
          <w:rFonts w:ascii="Calibri" w:hAnsi="Calibri" w:eastAsia="Calibri"/>
        </w:rPr>
        <w:t xml:space="preserve"> five trains generate only about RMB 5.2 million/year EBITDA against RMB 1.90 billion capital.</w:t>
      </w:r>
    </w:p>
    <w:p>
      <w:pPr>
        <w:pStyle w:val="ListBullet"/>
        <w:spacing w:after="80" w:line="300" w:lineRule="auto"/>
        <w:ind w:left="540" w:hanging="271"/>
      </w:pPr>
      <w:r>
        <w:rPr>
          <w:rFonts w:ascii="Calibri" w:hAnsi="Calibri" w:eastAsia="Calibri"/>
        </w:rPr>
        <w:t xml:space="preserve"> </w:t>
      </w:r>
      <w:r>
        <w:rPr>
          <w:rFonts w:ascii="Calibri" w:hAnsi="Calibri" w:eastAsia="Calibri"/>
          <w:b/>
          <w:color w:val="0A236F"/>
        </w:rPr>
        <w:t>Regional co-feeds help but do not rescue the base:</w:t>
      </w:r>
      <w:r>
        <w:rPr>
          <w:rFonts w:ascii="Calibri" w:hAnsi="Calibri" w:eastAsia="Calibri"/>
        </w:rPr>
        <w:t xml:space="preserve"> B2 increases screened carbon input by 17.6% and output to 22.74 kt/year, yet the five-train NPV remains deeply negative.</w:t>
      </w:r>
    </w:p>
    <w:p>
      <w:pPr>
        <w:pStyle w:val="ListBullet"/>
        <w:spacing w:after="80" w:line="300" w:lineRule="auto"/>
        <w:ind w:left="540" w:hanging="271"/>
      </w:pPr>
      <w:r>
        <w:rPr>
          <w:rFonts w:ascii="Calibri" w:hAnsi="Calibri" w:eastAsia="Calibri"/>
        </w:rPr>
        <w:t xml:space="preserve"> </w:t>
      </w:r>
      <w:r>
        <w:rPr>
          <w:rFonts w:ascii="Calibri" w:hAnsi="Calibri" w:eastAsia="Calibri"/>
          <w:b/>
          <w:color w:val="0A236F"/>
        </w:rPr>
        <w:t>Next decision:</w:t>
      </w:r>
      <w:r>
        <w:rPr>
          <w:rFonts w:ascii="Calibri" w:hAnsi="Calibri" w:eastAsia="Calibri"/>
        </w:rPr>
        <w:t xml:space="preserve"> fund a continuous hydrothermal pilot and Chinese vendor-budget study; do not authorise commercial FEED.</w:t>
      </w:r>
    </w:p>
    <w:p>
      <w:pPr>
        <w:keepLines/>
        <w:spacing w:before="40" w:after="0"/>
      </w:pPr>
      <w:r>
        <w:rPr>
          <w:rFonts w:ascii="Calibri" w:hAnsi="Calibri" w:eastAsia="Calibri"/>
          <w:b/>
          <w:color w:val="667085"/>
          <w:sz w:val="16"/>
        </w:rPr>
        <w:t xml:space="preserve">Source basis: </w:t>
      </w:r>
      <w:r>
        <w:rPr>
          <w:rFonts w:ascii="Calibri" w:hAnsi="Calibri" w:eastAsia="Calibri"/>
          <w:i/>
          <w:color w:val="667085"/>
          <w:sz w:val="16"/>
        </w:rPr>
        <w:t>Abstract; report-status statement; §§9.7–9.10 and §10.4.</w:t>
      </w:r>
    </w:p>
    <w:p>
      <w:pPr>
        <w:sectPr>
          <w:headerReference w:type="default" r:id="rId9"/>
          <w:headerReference w:type="even" r:id="rId10"/>
          <w:headerReference w:type="first" r:id="rId11"/>
          <w:footerReference w:type="default" r:id="rId12"/>
          <w:footerReference w:type="even" r:id="rId13"/>
          <w:footerReference w:type="first" r:id="rId14"/>
          <w:pgSz w:w="12240" w:h="15840"/>
          <w:pgMar w:top="0" w:right="1440" w:bottom="1440" w:left="1440" w:header="0" w:footer="708" w:gutter="0"/>
          <w:cols w:space="720"/>
          <w:titlePg/>
          <w:docGrid w:linePitch="360"/>
        </w:sectPr>
      </w:pPr>
    </w:p>
    <w:p>
      <w:pPr>
        <w:pStyle w:val="PacketKicker"/>
        <w:spacing w:before="1080"/>
      </w:pPr>
      <w:r>
        <w:t>01 · Why this project exists</w:t>
      </w:r>
    </w:p>
    <w:p>
      <w:pPr>
        <w:pStyle w:val="Heading1"/>
      </w:pPr>
      <w:r>
        <w:t>Two difficult wet wastes, one integrated process proposition</w:t>
      </w:r>
    </w:p>
    <w:p>
      <w:pPr>
        <w:spacing w:after="120"/>
      </w:pPr>
      <w:r>
        <w:rPr>
          <w:rFonts w:ascii="Calibri" w:hAnsi="Calibri" w:eastAsia="Calibri"/>
          <w:i w:val="0"/>
        </w:rPr>
        <w:t>The concept joins two waste-management problems. Okara is wet, perishable, dispersed, and expensive to dry. Bauxite residue—red mud—is alkaline, iron-rich, abrasive, and difficult to qualify for reuse. Supercritical water gasification (SCWG) is attractive because the water in okara becomes reaction medium rather than a drying burden.</w:t>
      </w:r>
    </w:p>
    <w:tbl>
      <w:tblPr>
        <w:tblStyle w:val="TableGrid"/>
        <w:tblW w:type="dxa" w:w="9360"/>
        <w:jc w:val="left"/>
        <w:tblLayout w:type="fixed"/>
        <w:tblLook w:firstColumn="1" w:firstRow="1" w:lastColumn="0" w:lastRow="0" w:noHBand="0" w:noVBand="1" w:val="04A0"/>
        <w:tblInd w:w="120" w:type="dxa"/>
        <w:tblBorders>
          <w:top w:val="single" w:sz="4" w:space="0" w:color="D5D9DE"/>
          <w:left w:val="single" w:sz="4" w:space="0" w:color="D5D9DE"/>
          <w:bottom w:val="single" w:sz="4" w:space="0" w:color="D5D9DE"/>
          <w:right w:val="single" w:sz="4" w:space="0" w:color="D5D9DE"/>
          <w:insideH w:val="single" w:sz="4" w:space="0" w:color="D5D9DE"/>
          <w:insideV w:val="single" w:sz="4" w:space="0" w:color="D5D9DE"/>
        </w:tblBorders>
      </w:tblPr>
      <w:tblGrid>
        <w:gridCol w:w="1750"/>
        <w:gridCol w:w="3500"/>
        <w:gridCol w:w="4110"/>
      </w:tblGrid>
      <w:tr>
        <w:trPr>
          <w:tblHeader w:val="true"/>
        </w:trPr>
        <w:tc>
          <w:tcPr>
            <w:tcW w:type="dxa" w:w="175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7"/>
              </w:rPr>
              <w:t>Material</w:t>
            </w:r>
          </w:p>
        </w:tc>
        <w:tc>
          <w:tcPr>
            <w:tcW w:type="dxa" w:w="350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7"/>
              </w:rPr>
              <w:t>Why it is difficult</w:t>
            </w:r>
          </w:p>
        </w:tc>
        <w:tc>
          <w:tcPr>
            <w:tcW w:type="dxa" w:w="411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7"/>
              </w:rPr>
              <w:t>Proposed value in this process</w:t>
            </w:r>
          </w:p>
        </w:tc>
      </w:tr>
      <w:tr>
        <w:tc>
          <w:tcPr>
            <w:tcW w:type="dxa" w:w="175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7"/>
              </w:rPr>
              <w:t>Wet okara</w:t>
            </w:r>
          </w:p>
        </w:tc>
        <w:tc>
          <w:tcPr>
            <w:tcW w:type="dxa" w:w="35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≈82.8 wt% water on the design basis; spoils quickly; variable protein, salt, ash, and sulfur.</w:t>
            </w:r>
          </w:p>
        </w:tc>
        <w:tc>
          <w:tcPr>
            <w:tcW w:type="dxa" w:w="411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Hydrated carrier and biomass carbon feed for SCWG.</w:t>
            </w:r>
          </w:p>
        </w:tc>
      </w:tr>
      <w:tr>
        <w:tc>
          <w:tcPr>
            <w:tcW w:type="dxa" w:w="175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7"/>
              </w:rPr>
              <w:t>Soybean straw</w:t>
            </w:r>
          </w:p>
        </w:tc>
        <w:tc>
          <w:tcPr>
            <w:tcW w:type="dxa" w:w="350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Fibrous, abrasive after milling, and limited by slurry pumpability.</w:t>
            </w:r>
          </w:p>
        </w:tc>
        <w:tc>
          <w:tcPr>
            <w:tcW w:type="dxa" w:w="411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Dry-solids and carbon-density partner; improves C/N.</w:t>
            </w:r>
          </w:p>
        </w:tc>
      </w:tr>
      <w:tr>
        <w:tc>
          <w:tcPr>
            <w:tcW w:type="dxa" w:w="175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7"/>
              </w:rPr>
              <w:t>Fresh red mud</w:t>
            </w:r>
          </w:p>
        </w:tc>
        <w:tc>
          <w:tcPr>
            <w:tcW w:type="dxa" w:w="35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Strong alkalinity, sodium, trace metals, and uncertain end-of-waste status.</w:t>
            </w:r>
          </w:p>
        </w:tc>
        <w:tc>
          <w:tcPr>
            <w:tcW w:type="dxa" w:w="411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Potential gasification catalyst, alkali reservoir/tar cracker, and residue to be dealkalized.</w:t>
            </w:r>
          </w:p>
        </w:tc>
      </w:tr>
      <w:tr>
        <w:tc>
          <w:tcPr>
            <w:tcW w:type="dxa" w:w="175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7"/>
              </w:rPr>
              <w:t>Regional co-feeds</w:t>
            </w:r>
          </w:p>
        </w:tc>
        <w:tc>
          <w:tcPr>
            <w:tcW w:type="dxa" w:w="350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Variable composition, contaminants, logistics, and certification burden.</w:t>
            </w:r>
          </w:p>
        </w:tc>
        <w:tc>
          <w:tcPr>
            <w:tcW w:type="dxa" w:w="411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Raise carbon density by substituting dry solids without increasing gross slurry.</w:t>
            </w:r>
          </w:p>
        </w:tc>
      </w:tr>
    </w:tbl>
    <w:p>
      <w:pPr>
        <w:spacing w:after="0"/>
      </w:pPr>
    </w:p>
    <w:p>
      <w:pPr>
        <w:pStyle w:val="Heading2"/>
      </w:pPr>
      <w:r>
        <w:t>The core proposition</w:t>
      </w:r>
    </w:p>
    <w:p>
      <w:pPr>
        <w:spacing w:after="120"/>
      </w:pPr>
      <w:r>
        <w:rPr>
          <w:rFonts w:ascii="Calibri" w:hAnsi="Calibri" w:eastAsia="Calibri"/>
          <w:i w:val="0"/>
        </w:rPr>
        <w:t>A single high-pressure hydrothermal pass could convert hydrated biomass, mobilise alkali from red mud, recover salts, and produce a gas that can be cleaned and reformed into OXZEO feed. The mineral circuit may also produce a conditioned residue—but only after independent leach and performance qualification.</w:t>
      </w:r>
    </w:p>
    <w:p>
      <w:pPr>
        <w:spacing w:before="120" w:after="80" w:line="288" w:lineRule="auto"/>
        <w:ind w:left="173" w:right="115"/>
        <w:shd w:fill="FAF2ED"/>
        <w:keepLines/>
        <w:pBdr>
          <w:left w:val="single" w:sz="18" w:space="8" w:color="A7552A"/>
        </w:pBdr>
      </w:pPr>
      <w:r>
        <w:rPr>
          <w:rFonts w:ascii="Calibri" w:hAnsi="Calibri" w:eastAsia="Calibri"/>
          <w:b/>
          <w:color w:val="A7552A"/>
          <w:sz w:val="18"/>
        </w:rPr>
        <w:t xml:space="preserve">PRESENTER TAKEAWAY  </w:t>
      </w:r>
      <w:r>
        <w:rPr>
          <w:rFonts w:ascii="Calibri" w:hAnsi="Calibri" w:eastAsia="Calibri"/>
          <w:b/>
          <w:color w:val="1F2933"/>
          <w:sz w:val="21"/>
        </w:rPr>
        <w:t>The design is compelling because it couples waste treatment and chemical manufacture. The same coupling also creates the main technical risk: the red mud chemistry that may help conversion is the chemistry most likely to precipitate and plug the plant.</w:t>
      </w:r>
    </w:p>
    <w:p>
      <w:pPr>
        <w:keepLines/>
        <w:spacing w:before="40" w:after="0"/>
      </w:pPr>
      <w:r>
        <w:rPr>
          <w:rFonts w:ascii="Calibri" w:hAnsi="Calibri" w:eastAsia="Calibri"/>
          <w:b/>
          <w:color w:val="667085"/>
          <w:sz w:val="16"/>
        </w:rPr>
        <w:t xml:space="preserve">Source basis: </w:t>
      </w:r>
      <w:r>
        <w:rPr>
          <w:rFonts w:ascii="Calibri" w:hAnsi="Calibri" w:eastAsia="Calibri"/>
          <w:i/>
          <w:color w:val="667085"/>
          <w:sz w:val="16"/>
        </w:rPr>
        <w:t>Introduction; §§1.1–1.9 and §2.2.</w:t>
      </w:r>
    </w:p>
    <w:p>
      <w:pPr>
        <w:sectPr>
          <w:headerReference w:type="default" r:id="rId15"/>
          <w:headerReference w:type="even" r:id="rId16"/>
          <w:headerReference w:type="first" r:id="rId17"/>
          <w:footerReference w:type="default" r:id="rId18"/>
          <w:footerReference w:type="even" r:id="rId19"/>
          <w:footerReference w:type="first" r:id="rId20"/>
          <w:pgSz w:w="12240" w:h="15840"/>
          <w:pgMar w:top="0" w:right="1440" w:bottom="1440" w:left="1440" w:header="0" w:footer="708" w:gutter="0"/>
          <w:cols w:space="720"/>
          <w:titlePg/>
          <w:docGrid w:linePitch="360"/>
        </w:sectPr>
      </w:pPr>
    </w:p>
    <w:p>
      <w:pPr>
        <w:pStyle w:val="PacketKicker"/>
        <w:spacing w:before="1080"/>
      </w:pPr>
      <w:r>
        <w:t>02 · Design basis</w:t>
      </w:r>
    </w:p>
    <w:p>
      <w:pPr>
        <w:pStyle w:val="Heading1"/>
      </w:pPr>
      <w:r>
        <w:t>What has been designed—and what has not</w:t>
      </w:r>
    </w:p>
    <w:tbl>
      <w:tblPr>
        <w:tblStyle w:val="TableGrid"/>
        <w:tblW w:type="dxa" w:w="9360"/>
        <w:jc w:val="left"/>
        <w:tblLayout w:type="fixed"/>
        <w:tblLook w:firstColumn="1" w:firstRow="1" w:lastColumn="0" w:lastRow="0" w:noHBand="0" w:noVBand="1" w:val="04A0"/>
        <w:tblInd w:w="120" w:type="dxa"/>
        <w:tblBorders>
          <w:top w:val="single" w:sz="4" w:space="0" w:color="D5D9DE"/>
          <w:left w:val="single" w:sz="4" w:space="0" w:color="D5D9DE"/>
          <w:bottom w:val="single" w:sz="4" w:space="0" w:color="D5D9DE"/>
          <w:right w:val="single" w:sz="4" w:space="0" w:color="D5D9DE"/>
          <w:insideH w:val="single" w:sz="4" w:space="0" w:color="D5D9DE"/>
          <w:insideV w:val="single" w:sz="4" w:space="0" w:color="D5D9DE"/>
        </w:tblBorders>
      </w:tblPr>
      <w:tblGrid>
        <w:gridCol w:w="1900"/>
        <w:gridCol w:w="3620"/>
        <w:gridCol w:w="3840"/>
      </w:tblGrid>
      <w:tr>
        <w:trPr>
          <w:tblHeader w:val="true"/>
        </w:trPr>
        <w:tc>
          <w:tcPr>
            <w:tcW w:type="dxa" w:w="190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7"/>
              </w:rPr>
              <w:t>Design item</w:t>
            </w:r>
          </w:p>
        </w:tc>
        <w:tc>
          <w:tcPr>
            <w:tcW w:type="dxa" w:w="362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7"/>
              </w:rPr>
              <w:t>Central basis</w:t>
            </w:r>
          </w:p>
        </w:tc>
        <w:tc>
          <w:tcPr>
            <w:tcW w:type="dxa" w:w="384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7"/>
              </w:rPr>
              <w:t>Status / qualification</w:t>
            </w:r>
          </w:p>
        </w:tc>
      </w:tr>
      <w:tr>
        <w:tc>
          <w:tcPr>
            <w:tcW w:type="dxa" w:w="19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7"/>
              </w:rPr>
              <w:t>Architecture</w:t>
            </w:r>
          </w:p>
        </w:tc>
        <w:tc>
          <w:tcPr>
            <w:tcW w:type="dxa" w:w="362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Five parallel B1–B4 hydrothermal trains; shared B5–B8 gas/product/mineral island</w:t>
            </w:r>
          </w:p>
        </w:tc>
        <w:tc>
          <w:tcPr>
            <w:tcW w:type="dxa" w:w="384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Screening design basis</w:t>
            </w:r>
          </w:p>
        </w:tc>
      </w:tr>
      <w:tr>
        <w:tc>
          <w:tcPr>
            <w:tcW w:type="dxa" w:w="19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7"/>
              </w:rPr>
              <w:t>Throughput</w:t>
            </w:r>
          </w:p>
        </w:tc>
        <w:tc>
          <w:tcPr>
            <w:tcW w:type="dxa" w:w="362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300 t/day per train; 1,500 t/day total; 333 operating days/year</w:t>
            </w:r>
          </w:p>
        </w:tc>
        <w:tc>
          <w:tcPr>
            <w:tcW w:type="dxa" w:w="384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Selected scale-out basis</w:t>
            </w:r>
          </w:p>
        </w:tc>
      </w:tr>
      <w:tr>
        <w:tc>
          <w:tcPr>
            <w:tcW w:type="dxa" w:w="19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7"/>
              </w:rPr>
              <w:t>SCWG reactor</w:t>
            </w:r>
          </w:p>
        </w:tc>
        <w:tc>
          <w:tcPr>
            <w:tcW w:type="dxa" w:w="362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625 °C, 25 MPa, 60 s hot residence</w:t>
            </w:r>
          </w:p>
        </w:tc>
        <w:tc>
          <w:tcPr>
            <w:tcW w:type="dxa" w:w="384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Requires continuous pilot validation</w:t>
            </w:r>
          </w:p>
        </w:tc>
      </w:tr>
      <w:tr>
        <w:tc>
          <w:tcPr>
            <w:tcW w:type="dxa" w:w="19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7"/>
              </w:rPr>
              <w:t>Base slurry</w:t>
            </w:r>
          </w:p>
        </w:tc>
        <w:tc>
          <w:tcPr>
            <w:tcW w:type="dxa" w:w="362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250 t/day wet okara + 8 straw + 7 fresh red mud + 35 water</w:t>
            </w:r>
          </w:p>
        </w:tc>
        <w:tc>
          <w:tcPr>
            <w:tcW w:type="dxa" w:w="384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57.20 t/day solids; 19.07 wt%</w:t>
            </w:r>
          </w:p>
        </w:tc>
      </w:tr>
      <w:tr>
        <w:tc>
          <w:tcPr>
            <w:tcW w:type="dxa" w:w="19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7"/>
              </w:rPr>
              <w:t>Product basis</w:t>
            </w:r>
          </w:p>
        </w:tc>
        <w:tc>
          <w:tcPr>
            <w:tcW w:type="dxa" w:w="362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11.61 t/day light olefins per train; 19.33 kt/year complex</w:t>
            </w:r>
          </w:p>
        </w:tc>
        <w:tc>
          <w:tcPr>
            <w:tcW w:type="dxa" w:w="384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Calculated from assumed integrated carbon efficiency</w:t>
            </w:r>
          </w:p>
        </w:tc>
      </w:tr>
      <w:tr>
        <w:tc>
          <w:tcPr>
            <w:tcW w:type="dxa" w:w="19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7"/>
              </w:rPr>
              <w:t>Availability</w:t>
            </w:r>
          </w:p>
        </w:tc>
        <w:tc>
          <w:tcPr>
            <w:tcW w:type="dxa" w:w="362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≈91.3%</w:t>
            </w:r>
          </w:p>
        </w:tc>
        <w:tc>
          <w:tcPr>
            <w:tcW w:type="dxa" w:w="384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Screening assumption; salt and slurry reliability dominate</w:t>
            </w:r>
          </w:p>
        </w:tc>
      </w:tr>
      <w:tr>
        <w:tc>
          <w:tcPr>
            <w:tcW w:type="dxa" w:w="19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7"/>
              </w:rPr>
              <w:t>Economic frame</w:t>
            </w:r>
          </w:p>
        </w:tc>
        <w:tc>
          <w:tcPr>
            <w:tcW w:type="dxa" w:w="362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2026 China RMB; Class 4; 20 operating years; 10% discount rate</w:t>
            </w:r>
          </w:p>
        </w:tc>
        <w:tc>
          <w:tcPr>
            <w:tcW w:type="dxa" w:w="384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Not investment-grade FEED</w:t>
            </w:r>
          </w:p>
        </w:tc>
      </w:tr>
    </w:tbl>
    <w:p>
      <w:pPr>
        <w:spacing w:after="0"/>
      </w:pPr>
    </w:p>
    <w:p>
      <w:pPr>
        <w:pStyle w:val="Heading2"/>
      </w:pPr>
      <w:r>
        <w:t>Battery-limit logic</w:t>
      </w:r>
    </w:p>
    <w:p>
      <w:pPr>
        <w:pStyle w:val="ListBullet"/>
        <w:spacing w:after="80" w:line="300" w:lineRule="auto"/>
        <w:ind w:left="540" w:hanging="271"/>
      </w:pPr>
      <w:r>
        <w:rPr>
          <w:rFonts w:ascii="Calibri" w:hAnsi="Calibri" w:eastAsia="Calibri"/>
        </w:rPr>
        <w:t xml:space="preserve"> </w:t>
      </w:r>
      <w:r>
        <w:rPr>
          <w:rFonts w:ascii="Calibri" w:hAnsi="Calibri" w:eastAsia="Calibri"/>
        </w:rPr>
        <w:t>The five parallel wet-end trains limit the consequence of salt plugging and feed-system failure.</w:t>
      </w:r>
    </w:p>
    <w:p>
      <w:pPr>
        <w:pStyle w:val="ListBullet"/>
        <w:spacing w:after="80" w:line="300" w:lineRule="auto"/>
        <w:ind w:left="540" w:hanging="271"/>
      </w:pPr>
      <w:r>
        <w:rPr>
          <w:rFonts w:ascii="Calibri" w:hAnsi="Calibri" w:eastAsia="Calibri"/>
        </w:rPr>
        <w:t xml:space="preserve"> </w:t>
      </w:r>
      <w:r>
        <w:rPr>
          <w:rFonts w:ascii="Calibri" w:hAnsi="Calibri" w:eastAsia="Calibri"/>
        </w:rPr>
        <w:t>A central gas island avoids duplicating Rectisol, reforming, synthesis, and product separation.</w:t>
      </w:r>
    </w:p>
    <w:p>
      <w:pPr>
        <w:pStyle w:val="ListBullet"/>
        <w:spacing w:after="80" w:line="300" w:lineRule="auto"/>
        <w:ind w:left="540" w:hanging="271"/>
      </w:pPr>
      <w:r>
        <w:rPr>
          <w:rFonts w:ascii="Calibri" w:hAnsi="Calibri" w:eastAsia="Calibri"/>
        </w:rPr>
        <w:t xml:space="preserve"> </w:t>
      </w:r>
      <w:r>
        <w:rPr>
          <w:rFonts w:ascii="Calibri" w:hAnsi="Calibri" w:eastAsia="Calibri"/>
        </w:rPr>
        <w:t>Water recycle is controlled by chloride and refractory organic carbon, not a fixed recovery percentage.</w:t>
      </w:r>
    </w:p>
    <w:p>
      <w:pPr>
        <w:pStyle w:val="ListBullet"/>
        <w:spacing w:after="80" w:line="300" w:lineRule="auto"/>
        <w:ind w:left="540" w:hanging="271"/>
      </w:pPr>
      <w:r>
        <w:rPr>
          <w:rFonts w:ascii="Calibri" w:hAnsi="Calibri" w:eastAsia="Calibri"/>
        </w:rPr>
        <w:t xml:space="preserve"> </w:t>
      </w:r>
      <w:r>
        <w:rPr>
          <w:rFonts w:ascii="Calibri" w:hAnsi="Calibri" w:eastAsia="Calibri"/>
        </w:rPr>
        <w:t>Red-mud recycle R1 is controlled by sodium, chloride, trace metals, attrition, and product quality—not maximised.</w:t>
      </w:r>
    </w:p>
    <w:p>
      <w:pPr>
        <w:pStyle w:val="Heading2"/>
      </w:pPr>
      <w:r>
        <w:t>Evidence labels used throughout the report</w:t>
      </w:r>
    </w:p>
    <w:p>
      <w:pPr>
        <w:spacing w:after="120"/>
      </w:pPr>
      <w:r>
        <w:rPr>
          <w:rFonts w:ascii="Calibri" w:hAnsi="Calibri" w:eastAsia="Calibri"/>
          <w:i w:val="0"/>
        </w:rPr>
        <w:t>Calculated result = reconciled arithmetic, not measured performance. Design basis = selected configuration. Screening assumption = unquoted input used to close the model. Published evidence = literature context. Requires pilot validation = cannot be claimed as achieved. Base-case exclusion = no revenue or benefit credited without evidence.</w:t>
      </w:r>
    </w:p>
    <w:p>
      <w:pPr>
        <w:keepLines/>
        <w:spacing w:before="40" w:after="0"/>
      </w:pPr>
      <w:r>
        <w:rPr>
          <w:rFonts w:ascii="Calibri" w:hAnsi="Calibri" w:eastAsia="Calibri"/>
          <w:b/>
          <w:color w:val="667085"/>
          <w:sz w:val="16"/>
        </w:rPr>
        <w:t xml:space="preserve">Source basis: </w:t>
      </w:r>
      <w:r>
        <w:rPr>
          <w:rFonts w:ascii="Calibri" w:hAnsi="Calibri" w:eastAsia="Calibri"/>
          <w:i/>
          <w:color w:val="667085"/>
          <w:sz w:val="16"/>
        </w:rPr>
        <w:t>Report-status statement; §§4.1–4.10; Appendix D.</w:t>
      </w:r>
    </w:p>
    <w:p>
      <w:pPr>
        <w:sectPr>
          <w:headerReference w:type="default" r:id="rId21"/>
          <w:headerReference w:type="even" r:id="rId22"/>
          <w:headerReference w:type="first" r:id="rId23"/>
          <w:footerReference w:type="default" r:id="rId24"/>
          <w:footerReference w:type="even" r:id="rId25"/>
          <w:footerReference w:type="first" r:id="rId26"/>
          <w:pgSz w:w="12240" w:h="15840"/>
          <w:pgMar w:top="0" w:right="1440" w:bottom="1440" w:left="1440" w:header="0" w:footer="708" w:gutter="0"/>
          <w:cols w:space="720"/>
          <w:titlePg/>
          <w:docGrid w:linePitch="360"/>
        </w:sectPr>
      </w:pPr>
    </w:p>
    <w:p>
      <w:pPr>
        <w:pStyle w:val="PacketKicker"/>
        <w:spacing w:before="1080"/>
      </w:pPr>
      <w:r>
        <w:t>03 · Decisions that define the flowsheet</w:t>
      </w:r>
    </w:p>
    <w:p>
      <w:pPr>
        <w:pStyle w:val="Heading1"/>
      </w:pPr>
      <w:r>
        <w:t>The report resolves three central contradictions</w:t>
      </w:r>
    </w:p>
    <w:tbl>
      <w:tblPr>
        <w:tblStyle w:val="TableGrid"/>
        <w:tblW w:type="dxa" w:w="9360"/>
        <w:jc w:val="left"/>
        <w:tblLayout w:type="fixed"/>
        <w:tblLook w:firstColumn="1" w:firstRow="1" w:lastColumn="0" w:lastRow="0" w:noHBand="0" w:noVBand="1" w:val="04A0"/>
        <w:tblInd w:w="120" w:type="dxa"/>
        <w:tblBorders>
          <w:top w:val="single" w:sz="4" w:space="0" w:color="D5D9DE"/>
          <w:left w:val="single" w:sz="4" w:space="0" w:color="D5D9DE"/>
          <w:bottom w:val="single" w:sz="4" w:space="0" w:color="D5D9DE"/>
          <w:right w:val="single" w:sz="4" w:space="0" w:color="D5D9DE"/>
          <w:insideH w:val="single" w:sz="4" w:space="0" w:color="D5D9DE"/>
          <w:insideV w:val="single" w:sz="4" w:space="0" w:color="D5D9DE"/>
        </w:tblBorders>
      </w:tblPr>
      <w:tblGrid>
        <w:gridCol w:w="2800"/>
        <w:gridCol w:w="3050"/>
        <w:gridCol w:w="3510"/>
      </w:tblGrid>
      <w:tr>
        <w:trPr>
          <w:tblHeader w:val="true"/>
        </w:trPr>
        <w:tc>
          <w:tcPr>
            <w:tcW w:type="dxa" w:w="2800"/>
            <w:shd w:fill="E8EEF5"/>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7"/>
              </w:rPr>
              <w:t>Conflict</w:t>
            </w:r>
          </w:p>
        </w:tc>
        <w:tc>
          <w:tcPr>
            <w:tcW w:type="dxa" w:w="3050"/>
            <w:shd w:fill="E8EEF5"/>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7"/>
              </w:rPr>
              <w:t>Decision</w:t>
            </w:r>
          </w:p>
        </w:tc>
        <w:tc>
          <w:tcPr>
            <w:tcW w:type="dxa" w:w="3510"/>
            <w:shd w:fill="E8EEF5"/>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7"/>
              </w:rPr>
              <w:t>Why it matters</w:t>
            </w:r>
          </w:p>
        </w:tc>
      </w:tr>
      <w:tr>
        <w:tc>
          <w:tcPr>
            <w:tcW w:type="dxa" w:w="28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7"/>
              </w:rPr>
              <w:t>Red mud cannot simultaneously be an indefinitely recycled catalyst, a continuously dealkalized product, and a fresh oxygen carrier.</w:t>
            </w:r>
          </w:p>
        </w:tc>
        <w:tc>
          <w:tcPr>
            <w:tcW w:type="dxa" w:w="305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Treat B3 as a purposeful salt-product and dealkalization unit; control R1 recycle and purge.</w:t>
            </w:r>
          </w:p>
        </w:tc>
        <w:tc>
          <w:tcPr>
            <w:tcW w:type="dxa" w:w="351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The concept is governed by salt withdrawal and residue quality, not merely reactor conversion.</w:t>
            </w:r>
          </w:p>
        </w:tc>
      </w:tr>
      <w:tr>
        <w:tc>
          <w:tcPr>
            <w:tcW w:type="dxa" w:w="28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7"/>
              </w:rPr>
              <w:t>SCWG produces methane- and CO₂-rich gas with almost no CO, but OXZEO consumes CO.</w:t>
            </w:r>
          </w:p>
        </w:tc>
        <w:tc>
          <w:tcPr>
            <w:tcW w:type="dxa" w:w="305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Insert B6 combined steam/dry bi-reforming after gas cleanup.</w:t>
            </w:r>
          </w:p>
        </w:tc>
        <w:tc>
          <w:tcPr>
            <w:tcW w:type="dxa" w:w="351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The route becomes chemically possible, but pays a large methane make–unmake energy penalty.</w:t>
            </w:r>
          </w:p>
        </w:tc>
      </w:tr>
      <w:tr>
        <w:tc>
          <w:tcPr>
            <w:tcW w:type="dxa" w:w="28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7"/>
              </w:rPr>
              <w:t>CaS is unstable in hot pressurised water and can hydrolyse back to H₂S.</w:t>
            </w:r>
          </w:p>
        </w:tc>
        <w:tc>
          <w:tcPr>
            <w:tcW w:type="dxa" w:w="305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Remove in-bed calcium sulfur capture; use Rectisol, a ZnO guard, then liquid-redox sulfur recovery.</w:t>
            </w:r>
          </w:p>
        </w:tc>
        <w:tc>
          <w:tcPr>
            <w:tcW w:type="dxa" w:w="351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Sulfur cleanup becomes vendor-guaranteeable and reaches &lt;0.1 ppm total S, at added capital and refrigeration cost.</w:t>
            </w:r>
          </w:p>
        </w:tc>
      </w:tr>
    </w:tbl>
    <w:p>
      <w:pPr>
        <w:spacing w:after="0"/>
      </w:pPr>
    </w:p>
    <w:p>
      <w:pPr>
        <w:pStyle w:val="Heading2"/>
      </w:pPr>
      <w:r>
        <w:t>The fundamental trade-off</w:t>
      </w:r>
    </w:p>
    <w:p>
      <w:pPr>
        <w:spacing w:after="120"/>
      </w:pPr>
      <w:r>
        <w:rPr>
          <w:rFonts w:ascii="Calibri" w:hAnsi="Calibri" w:eastAsia="Calibri"/>
          <w:i w:val="0"/>
        </w:rPr>
        <w:t>The flowsheet first makes methane under SCWG conditions and then reforms it at a higher temperature to produce CO/H₂. This is not a minor utility detail; it is the central thermodynamic penalty and one reason a simpler methanol or renewable-methane route remains a serious fallback.</w:t>
      </w:r>
    </w:p>
    <w:p>
      <w:pPr>
        <w:spacing w:before="120" w:after="80" w:line="288" w:lineRule="auto"/>
        <w:ind w:left="173" w:right="115"/>
        <w:shd w:fill="F4F8F5"/>
        <w:keepLines/>
        <w:pBdr>
          <w:left w:val="single" w:sz="18" w:space="8" w:color="0B6B3A"/>
        </w:pBdr>
      </w:pPr>
      <w:r>
        <w:rPr>
          <w:rFonts w:ascii="Calibri" w:hAnsi="Calibri" w:eastAsia="Calibri"/>
          <w:b/>
          <w:color w:val="0B6B3A"/>
          <w:sz w:val="18"/>
        </w:rPr>
        <w:t xml:space="preserve">PRESENTATION LINE  </w:t>
      </w:r>
      <w:r>
        <w:rPr>
          <w:rFonts w:ascii="Calibri" w:hAnsi="Calibri" w:eastAsia="Calibri"/>
          <w:color w:val="1F2933"/>
          <w:sz w:val="21"/>
        </w:rPr>
        <w:t>The revised design is credible because it states its contradictions and pays the real equipment and energy cost to resolve them.</w:t>
      </w:r>
    </w:p>
    <w:p>
      <w:pPr>
        <w:keepLines/>
        <w:spacing w:before="40" w:after="0"/>
      </w:pPr>
      <w:r>
        <w:rPr>
          <w:rFonts w:ascii="Calibri" w:hAnsi="Calibri" w:eastAsia="Calibri"/>
          <w:b/>
          <w:color w:val="667085"/>
          <w:sz w:val="16"/>
        </w:rPr>
        <w:t xml:space="preserve">Source basis: </w:t>
      </w:r>
      <w:r>
        <w:rPr>
          <w:rFonts w:ascii="Calibri" w:hAnsi="Calibri" w:eastAsia="Calibri"/>
          <w:i/>
          <w:color w:val="667085"/>
          <w:sz w:val="16"/>
        </w:rPr>
        <w:t>Introduction, three design conflicts; §§2.3–2.5.</w:t>
      </w:r>
    </w:p>
    <w:p>
      <w:pPr>
        <w:sectPr>
          <w:headerReference w:type="default" r:id="rId27"/>
          <w:headerReference w:type="even" r:id="rId28"/>
          <w:headerReference w:type="first" r:id="rId29"/>
          <w:footerReference w:type="default" r:id="rId30"/>
          <w:footerReference w:type="even" r:id="rId31"/>
          <w:footerReference w:type="first" r:id="rId32"/>
          <w:pgSz w:w="12240" w:h="15840"/>
          <w:pgMar w:top="0" w:right="1440" w:bottom="1440" w:left="1440" w:header="0" w:footer="708" w:gutter="0"/>
          <w:cols w:space="720"/>
          <w:titlePg/>
          <w:docGrid w:linePitch="360"/>
        </w:sectPr>
      </w:pPr>
    </w:p>
    <w:p>
      <w:pPr>
        <w:pStyle w:val="PacketKicker"/>
        <w:spacing w:before="1080"/>
      </w:pPr>
      <w:r>
        <w:t>04 · Process walkthrough</w:t>
      </w:r>
    </w:p>
    <w:p>
      <w:pPr>
        <w:pStyle w:val="Heading1"/>
      </w:pPr>
      <w:r>
        <w:t>From wet feed to light olefins</w:t>
      </w:r>
    </w:p>
    <w:p>
      <w:pPr>
        <w:spacing w:before="120" w:after="0"/>
        <w:jc w:val="center"/>
      </w:pPr>
      <w:r>
        <w:drawing>
          <wp:inline xmlns:a="http://schemas.openxmlformats.org/drawingml/2006/main" xmlns:pic="http://schemas.openxmlformats.org/drawingml/2006/picture">
            <wp:extent cx="4709160" cy="3296412"/>
            <wp:docPr id="1" name="Picture 1" descr="Simplified block flow from feed preparation through SCWG, salt recovery, gas cleanup, bi-reforming, OXZEO synthesis, and residue recycle."/>
            <wp:cNvGraphicFramePr>
              <a:graphicFrameLocks noChangeAspect="1"/>
            </wp:cNvGraphicFramePr>
            <a:graphic>
              <a:graphicData uri="http://schemas.openxmlformats.org/drawingml/2006/picture">
                <pic:pic>
                  <pic:nvPicPr>
                    <pic:cNvPr id="0" name="process-flow.png"/>
                    <pic:cNvPicPr/>
                  </pic:nvPicPr>
                  <pic:blipFill>
                    <a:blip r:embed="rId39"/>
                    <a:stretch>
                      <a:fillRect/>
                    </a:stretch>
                  </pic:blipFill>
                  <pic:spPr>
                    <a:xfrm>
                      <a:off x="0" y="0"/>
                      <a:ext cx="4709160" cy="3296412"/>
                    </a:xfrm>
                    <a:prstGeom prst="rect"/>
                  </pic:spPr>
                </pic:pic>
              </a:graphicData>
            </a:graphic>
          </wp:inline>
        </w:drawing>
      </w:r>
    </w:p>
    <w:p>
      <w:pPr>
        <w:pStyle w:val="Caption"/>
        <w:jc w:val="center"/>
      </w:pPr>
      <w:r>
        <w:t>Figure 1. Presentation-level block flow. The full report contains the detailed B1–B8 and R1 equipment definitions.</w:t>
      </w:r>
    </w:p>
    <w:p>
      <w:pPr>
        <w:pStyle w:val="Heading2"/>
      </w:pPr>
      <w:r>
        <w:t>Stage-by-stage speaking notes</w:t>
      </w:r>
    </w:p>
    <w:tbl>
      <w:tblPr>
        <w:tblStyle w:val="TableGrid"/>
        <w:tblW w:type="dxa" w:w="9360"/>
        <w:jc w:val="left"/>
        <w:tblLayout w:type="fixed"/>
        <w:tblLook w:firstColumn="1" w:firstRow="1" w:lastColumn="0" w:lastRow="0" w:noHBand="0" w:noVBand="1" w:val="04A0"/>
        <w:tblInd w:w="120" w:type="dxa"/>
        <w:tblBorders>
          <w:top w:val="single" w:sz="4" w:space="0" w:color="D5D9DE"/>
          <w:left w:val="single" w:sz="4" w:space="0" w:color="D5D9DE"/>
          <w:bottom w:val="single" w:sz="4" w:space="0" w:color="D5D9DE"/>
          <w:right w:val="single" w:sz="4" w:space="0" w:color="D5D9DE"/>
          <w:insideH w:val="single" w:sz="4" w:space="0" w:color="D5D9DE"/>
          <w:insideV w:val="single" w:sz="4" w:space="0" w:color="D5D9DE"/>
        </w:tblBorders>
      </w:tblPr>
      <w:tblGrid>
        <w:gridCol w:w="1200"/>
        <w:gridCol w:w="8160"/>
      </w:tblGrid>
      <w:tr>
        <w:trPr>
          <w:tblHeader w:val="true"/>
        </w:trPr>
        <w:tc>
          <w:tcPr>
            <w:tcW w:type="dxa" w:w="120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6"/>
              </w:rPr>
              <w:t>Block</w:t>
            </w:r>
          </w:p>
        </w:tc>
        <w:tc>
          <w:tcPr>
            <w:tcW w:type="dxa" w:w="816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6"/>
              </w:rPr>
              <w:t>Purpose and presentation cue</w:t>
            </w:r>
          </w:p>
        </w:tc>
      </w:tr>
      <w:tr>
        <w:tc>
          <w:tcPr>
            <w:tcW w:type="dxa" w:w="12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B1</w:t>
            </w:r>
          </w:p>
        </w:tc>
        <w:tc>
          <w:tcPr>
            <w:tcW w:type="dxa" w:w="816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Traceable reception, milling, high-shear blending, and positive-displacement pumping to 25 MPa.</w:t>
            </w:r>
          </w:p>
        </w:tc>
      </w:tr>
      <w:tr>
        <w:tc>
          <w:tcPr>
            <w:tcW w:type="dxa" w:w="12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B2</w:t>
            </w:r>
          </w:p>
        </w:tc>
        <w:tc>
          <w:tcPr>
            <w:tcW w:type="dxa" w:w="816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SCWG at 625 °C, 25 MPa, ≈60 s; red-mud catalytic and alkali effects still to be proven.</w:t>
            </w:r>
          </w:p>
        </w:tc>
      </w:tr>
      <w:tr>
        <w:tc>
          <w:tcPr>
            <w:tcW w:type="dxa" w:w="12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B3</w:t>
            </w:r>
          </w:p>
        </w:tc>
        <w:tc>
          <w:tcPr>
            <w:tcW w:type="dxa" w:w="816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Continuous purposeful Na/K salt withdrawal and red-mud dealkalization.</w:t>
            </w:r>
          </w:p>
        </w:tc>
      </w:tr>
      <w:tr>
        <w:tc>
          <w:tcPr>
            <w:tcW w:type="dxa" w:w="12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B4</w:t>
            </w:r>
          </w:p>
        </w:tc>
        <w:tc>
          <w:tcPr>
            <w:tcW w:type="dxa" w:w="816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Dirty-service heat recovery, depressurisation, gas/liquid/solids separation, and water polishing.</w:t>
            </w:r>
          </w:p>
        </w:tc>
      </w:tr>
      <w:tr>
        <w:tc>
          <w:tcPr>
            <w:tcW w:type="dxa" w:w="12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B5</w:t>
            </w:r>
          </w:p>
        </w:tc>
        <w:tc>
          <w:tcPr>
            <w:tcW w:type="dxa" w:w="816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Rectisol removes CO2/H2S/COS; ZnO protects catalysts; liquid redox recovers elemental sulfur.</w:t>
            </w:r>
          </w:p>
        </w:tc>
      </w:tr>
      <w:tr>
        <w:tc>
          <w:tcPr>
            <w:tcW w:type="dxa" w:w="12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B6</w:t>
            </w:r>
          </w:p>
        </w:tc>
        <w:tc>
          <w:tcPr>
            <w:tcW w:type="dxa" w:w="816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Steam/dry bi-reforming converts CH4/CO2 into syngas and controls H2/CO.</w:t>
            </w:r>
          </w:p>
        </w:tc>
      </w:tr>
      <w:tr>
        <w:tc>
          <w:tcPr>
            <w:tcW w:type="dxa" w:w="12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B7</w:t>
            </w:r>
          </w:p>
        </w:tc>
        <w:tc>
          <w:tcPr>
            <w:tcW w:type="dxa" w:w="816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OXZEO conversion, heat removal, recycle, and light-olefin recovery.</w:t>
            </w:r>
          </w:p>
        </w:tc>
      </w:tr>
      <w:tr>
        <w:tc>
          <w:tcPr>
            <w:tcW w:type="dxa" w:w="12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B8 / R1</w:t>
            </w:r>
          </w:p>
        </w:tc>
        <w:tc>
          <w:tcPr>
            <w:tcW w:type="dxa" w:w="816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Wash and condition mineral solids; purge qualified product; recycle only within inventory limits.</w:t>
            </w:r>
          </w:p>
        </w:tc>
      </w:tr>
    </w:tbl>
    <w:p>
      <w:pPr>
        <w:spacing w:after="0"/>
      </w:pPr>
    </w:p>
    <w:p>
      <w:pPr>
        <w:keepLines/>
        <w:spacing w:before="40" w:after="0"/>
      </w:pPr>
      <w:r>
        <w:rPr>
          <w:rFonts w:ascii="Calibri" w:hAnsi="Calibri" w:eastAsia="Calibri"/>
          <w:b/>
          <w:color w:val="667085"/>
          <w:sz w:val="16"/>
        </w:rPr>
        <w:t xml:space="preserve">Source basis: </w:t>
      </w:r>
      <w:r>
        <w:rPr>
          <w:rFonts w:ascii="Calibri" w:hAnsi="Calibri" w:eastAsia="Calibri"/>
          <w:i/>
          <w:color w:val="667085"/>
          <w:sz w:val="16"/>
        </w:rPr>
        <w:t>§§2.1–2.8 and §§4.2–4.9.</w:t>
      </w:r>
    </w:p>
    <w:p>
      <w:pPr>
        <w:sectPr>
          <w:headerReference w:type="default" r:id="rId33"/>
          <w:headerReference w:type="even" r:id="rId34"/>
          <w:headerReference w:type="first" r:id="rId35"/>
          <w:footerReference w:type="default" r:id="rId36"/>
          <w:footerReference w:type="even" r:id="rId37"/>
          <w:footerReference w:type="first" r:id="rId38"/>
          <w:pgSz w:w="12240" w:h="15840"/>
          <w:pgMar w:top="0" w:right="1440" w:bottom="1440" w:left="1440" w:header="0" w:footer="708" w:gutter="0"/>
          <w:cols w:space="720"/>
          <w:titlePg/>
          <w:docGrid w:linePitch="360"/>
        </w:sectPr>
      </w:pPr>
    </w:p>
    <w:p>
      <w:pPr>
        <w:pStyle w:val="PacketKicker"/>
        <w:spacing w:before="1080"/>
      </w:pPr>
      <w:r>
        <w:t>05 · Science in plain English</w:t>
      </w:r>
    </w:p>
    <w:p>
      <w:pPr>
        <w:pStyle w:val="Heading1"/>
      </w:pPr>
      <w:r>
        <w:t>The chemistry behind the blocks</w:t>
      </w:r>
    </w:p>
    <w:p>
      <w:pPr>
        <w:pStyle w:val="Heading2"/>
      </w:pPr>
      <w:r>
        <w:t>Supercritical water</w:t>
      </w:r>
    </w:p>
    <w:p>
      <w:pPr>
        <w:spacing w:after="120"/>
      </w:pPr>
      <w:r>
        <w:rPr>
          <w:rFonts w:ascii="Calibri" w:hAnsi="Calibri" w:eastAsia="Calibri"/>
          <w:i w:val="0"/>
        </w:rPr>
        <w:t>Above water’s critical region, dielectric and transport properties change sharply. Hydrolysis begins during 200–370 °C preheat; free-radical chemistry dominates above the critical point. The gasifier therefore tends toward CH₄, CO₂, and H₂ with very little CO.</w:t>
      </w:r>
    </w:p>
    <w:p>
      <w:pPr>
        <w:pStyle w:val="Heading2"/>
      </w:pPr>
      <w:r>
        <w:t>Red mud</w:t>
      </w:r>
    </w:p>
    <w:p>
      <w:pPr>
        <w:spacing w:after="120"/>
      </w:pPr>
      <w:r>
        <w:rPr>
          <w:rFonts w:ascii="Calibri" w:hAnsi="Calibri" w:eastAsia="Calibri"/>
          <w:i w:val="0"/>
        </w:rPr>
        <w:t>Iron oxides may provide redox and gasification activity, while residual sodium/potassium alkalinity can promote tar cracking and water-gas-shift chemistry. These benefits are self-limiting as the residue is dealkalized. The actual catalytic contribution must be measured against red-mud phase, dose, sodium release, and residence time.</w:t>
      </w:r>
    </w:p>
    <w:p>
      <w:pPr>
        <w:pStyle w:val="Heading2"/>
      </w:pPr>
      <w:r>
        <w:t>Salt behaviour</w:t>
      </w:r>
    </w:p>
    <w:p>
      <w:pPr>
        <w:spacing w:after="120"/>
      </w:pPr>
      <w:r>
        <w:rPr>
          <w:rFonts w:ascii="Calibri" w:hAnsi="Calibri" w:eastAsia="Calibri"/>
          <w:i w:val="0"/>
        </w:rPr>
        <w:t>Inorganic salts lose solubility in supercritical water, nucleate, grow, and deposit. Salt plugging is therefore a first-order availability risk. B3 must prove continuous underflow withdrawal, wall-deposit recovery, stable pressure drop, and a useful salt/residue split.</w:t>
      </w:r>
    </w:p>
    <w:p>
      <w:pPr>
        <w:pStyle w:val="Heading2"/>
      </w:pPr>
      <w:r>
        <w:t>Bi-reforming</w:t>
      </w:r>
    </w:p>
    <w:p>
      <w:pPr>
        <w:spacing w:after="120"/>
      </w:pPr>
      <w:r>
        <w:rPr>
          <w:rFonts w:ascii="Calibri" w:hAnsi="Calibri" w:eastAsia="Calibri"/>
          <w:i w:val="0"/>
        </w:rPr>
        <w:t>Steam reforming (CH₄ + H₂O ⇌ CO + 3H₂) and dry reforming (CH₄ + CO₂ ⇌ 2CO + 2H₂) jointly convert the SCWG gas into synthesis gas. Steam/carbon ratio, temperature, impurities, and heat flux determine the carbon-deposition boundary.</w:t>
      </w:r>
    </w:p>
    <w:p>
      <w:pPr>
        <w:pStyle w:val="Heading2"/>
      </w:pPr>
      <w:r>
        <w:t>OXZEO</w:t>
      </w:r>
    </w:p>
    <w:p>
      <w:pPr>
        <w:spacing w:after="120"/>
      </w:pPr>
      <w:r>
        <w:rPr>
          <w:rFonts w:ascii="Calibri" w:hAnsi="Calibri" w:eastAsia="Calibri"/>
          <w:i w:val="0"/>
        </w:rPr>
        <w:t>A bifunctional oxide–zeolite system activates CO at oxide oxygen vacancies, transfers oxygenated intermediates, and uses CHA-cage shape selectivity to favour C₂–C₄ olefins beyond conventional Fischer–Tropsch Anderson–Schulz–Flory limits. Key deactivation modes are sulfur/water poisoning, coke, metal migration, proximity loss, and cycling.</w:t>
      </w:r>
    </w:p>
    <w:p>
      <w:pPr>
        <w:spacing w:before="120" w:after="80" w:line="288" w:lineRule="auto"/>
        <w:ind w:left="173" w:right="115"/>
        <w:shd w:fill="FAF2ED"/>
        <w:keepLines/>
        <w:pBdr>
          <w:left w:val="single" w:sz="18" w:space="8" w:color="A7552A"/>
        </w:pBdr>
      </w:pPr>
      <w:r>
        <w:rPr>
          <w:rFonts w:ascii="Calibri" w:hAnsi="Calibri" w:eastAsia="Calibri"/>
          <w:b/>
          <w:color w:val="A7552A"/>
          <w:sz w:val="18"/>
        </w:rPr>
        <w:t xml:space="preserve">DO NOT OVERCLAIM  </w:t>
      </w:r>
      <w:r>
        <w:rPr>
          <w:rFonts w:ascii="Calibri" w:hAnsi="Calibri" w:eastAsia="Calibri"/>
          <w:b/>
          <w:color w:val="1F2933"/>
          <w:sz w:val="21"/>
        </w:rPr>
        <w:t>Published chemistry supports the route; it does not validate this specific feed, residence time, gas composition, catalyst lifetime, or selectivity.</w:t>
      </w:r>
    </w:p>
    <w:p>
      <w:pPr>
        <w:keepLines/>
        <w:spacing w:before="40" w:after="0"/>
      </w:pPr>
      <w:r>
        <w:rPr>
          <w:rFonts w:ascii="Calibri" w:hAnsi="Calibri" w:eastAsia="Calibri"/>
          <w:b/>
          <w:color w:val="667085"/>
          <w:sz w:val="16"/>
        </w:rPr>
        <w:t xml:space="preserve">Source basis: </w:t>
      </w:r>
      <w:r>
        <w:rPr>
          <w:rFonts w:ascii="Calibri" w:hAnsi="Calibri" w:eastAsia="Calibri"/>
          <w:i/>
          <w:color w:val="667085"/>
          <w:sz w:val="16"/>
        </w:rPr>
        <w:t>§§3.1–3.7.</w:t>
      </w:r>
    </w:p>
    <w:p>
      <w:pPr>
        <w:sectPr>
          <w:headerReference w:type="default" r:id="rId40"/>
          <w:headerReference w:type="even" r:id="rId41"/>
          <w:headerReference w:type="first" r:id="rId42"/>
          <w:footerReference w:type="default" r:id="rId43"/>
          <w:footerReference w:type="even" r:id="rId44"/>
          <w:footerReference w:type="first" r:id="rId45"/>
          <w:pgSz w:w="12240" w:h="15840"/>
          <w:pgMar w:top="0" w:right="1440" w:bottom="1440" w:left="1440" w:header="0" w:footer="708" w:gutter="0"/>
          <w:cols w:space="720"/>
          <w:titlePg/>
          <w:docGrid w:linePitch="360"/>
        </w:sectPr>
      </w:pPr>
    </w:p>
    <w:p>
      <w:pPr>
        <w:pStyle w:val="PacketKicker"/>
        <w:spacing w:before="1080"/>
      </w:pPr>
      <w:r>
        <w:t>06 · Mass and carbon balance</w:t>
      </w:r>
    </w:p>
    <w:p>
      <w:pPr>
        <w:pStyle w:val="Heading1"/>
      </w:pPr>
      <w:r>
        <w:t>One 300 t/day train closes arithmetically</w:t>
      </w:r>
    </w:p>
    <w:tbl>
      <w:tblPr>
        <w:tblW w:type="dxa" w:w="9360"/>
        <w:jc w:val="left"/>
        <w:tblLayout w:type="fixed"/>
        <w:tblLook w:firstColumn="1" w:firstRow="1" w:lastColumn="0" w:lastRow="0" w:noHBand="0" w:noVBand="1" w:val="04A0"/>
        <w:tblInd w:w="12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blGrid>
        <w:gridCol w:w="3120"/>
        <w:gridCol w:w="3120"/>
        <w:gridCol w:w="3120"/>
      </w:tblGrid>
      <w:tr>
        <w:tc>
          <w:tcPr>
            <w:tcW w:type="dxa" w:w="3120"/>
            <w:shd w:fill="F4F8F5"/>
            <w:tcMar>
              <w:top w:w="80" w:type="dxa"/>
              <w:start w:w="120" w:type="dxa"/>
              <w:bottom w:w="80" w:type="dxa"/>
              <w:end w:w="120" w:type="dxa"/>
            </w:tcMar>
            <w:vAlign w:val="center"/>
          </w:tcPr>
          <w:p>
            <w:pPr>
              <w:spacing w:after="40"/>
              <w:jc w:val="center"/>
            </w:pPr>
            <w:r>
              <w:rPr>
                <w:rFonts w:ascii="Calibri" w:hAnsi="Calibri" w:eastAsia="Calibri"/>
                <w:b/>
                <w:color w:val="0A236F"/>
                <w:sz w:val="32"/>
              </w:rPr>
              <w:t>300.00 t/day</w:t>
              <w:br/>
            </w:r>
            <w:r>
              <w:rPr>
                <w:rFonts w:ascii="Calibri" w:hAnsi="Calibri" w:eastAsia="Calibri"/>
                <w:b/>
                <w:color w:val="667085"/>
                <w:sz w:val="17"/>
              </w:rPr>
              <w:t>battery-limit input and output</w:t>
            </w:r>
          </w:p>
        </w:tc>
        <w:tc>
          <w:tcPr>
            <w:tcW w:type="dxa" w:w="3120"/>
            <w:shd w:fill="F3F5F6"/>
            <w:tcMar>
              <w:top w:w="80" w:type="dxa"/>
              <w:start w:w="120" w:type="dxa"/>
              <w:bottom w:w="80" w:type="dxa"/>
              <w:end w:w="120" w:type="dxa"/>
            </w:tcMar>
            <w:vAlign w:val="center"/>
          </w:tcPr>
          <w:p>
            <w:pPr>
              <w:spacing w:after="40"/>
              <w:jc w:val="center"/>
            </w:pPr>
            <w:r>
              <w:rPr>
                <w:rFonts w:ascii="Calibri" w:hAnsi="Calibri" w:eastAsia="Calibri"/>
                <w:b/>
                <w:color w:val="0A236F"/>
                <w:sz w:val="32"/>
              </w:rPr>
              <w:t>23.70 t C/day</w:t>
              <w:br/>
            </w:r>
            <w:r>
              <w:rPr>
                <w:rFonts w:ascii="Calibri" w:hAnsi="Calibri" w:eastAsia="Calibri"/>
                <w:b/>
                <w:color w:val="667085"/>
                <w:sz w:val="17"/>
              </w:rPr>
              <w:t>feed carbon</w:t>
            </w:r>
          </w:p>
        </w:tc>
        <w:tc>
          <w:tcPr>
            <w:tcW w:type="dxa" w:w="3120"/>
            <w:shd w:fill="F4F8F5"/>
            <w:tcMar>
              <w:top w:w="80" w:type="dxa"/>
              <w:start w:w="120" w:type="dxa"/>
              <w:bottom w:w="80" w:type="dxa"/>
              <w:end w:w="120" w:type="dxa"/>
            </w:tcMar>
            <w:vAlign w:val="center"/>
          </w:tcPr>
          <w:p>
            <w:pPr>
              <w:spacing w:after="40"/>
              <w:jc w:val="center"/>
            </w:pPr>
            <w:r>
              <w:rPr>
                <w:rFonts w:ascii="Calibri" w:hAnsi="Calibri" w:eastAsia="Calibri"/>
                <w:b/>
                <w:color w:val="0A236F"/>
                <w:sz w:val="32"/>
              </w:rPr>
              <w:t>11.61 t/day</w:t>
              <w:br/>
            </w:r>
            <w:r>
              <w:rPr>
                <w:rFonts w:ascii="Calibri" w:hAnsi="Calibri" w:eastAsia="Calibri"/>
                <w:b/>
                <w:color w:val="667085"/>
                <w:sz w:val="17"/>
              </w:rPr>
              <w:t>light C₂–C₄ olefins</w:t>
            </w:r>
          </w:p>
        </w:tc>
      </w:tr>
      <w:tr>
        <w:tc>
          <w:tcPr>
            <w:tcW w:type="dxa" w:w="3120"/>
            <w:shd w:fill="F3F5F6"/>
            <w:tcMar>
              <w:top w:w="80" w:type="dxa"/>
              <w:start w:w="120" w:type="dxa"/>
              <w:bottom w:w="80" w:type="dxa"/>
              <w:end w:w="120" w:type="dxa"/>
            </w:tcMar>
            <w:vAlign w:val="center"/>
          </w:tcPr>
          <w:p>
            <w:pPr>
              <w:spacing w:after="40"/>
              <w:jc w:val="center"/>
            </w:pPr>
            <w:r>
              <w:rPr>
                <w:rFonts w:ascii="Calibri" w:hAnsi="Calibri" w:eastAsia="Calibri"/>
                <w:b/>
                <w:color w:val="0A236F"/>
                <w:sz w:val="32"/>
              </w:rPr>
              <w:t>33.04 t/day</w:t>
              <w:br/>
            </w:r>
            <w:r>
              <w:rPr>
                <w:rFonts w:ascii="Calibri" w:hAnsi="Calibri" w:eastAsia="Calibri"/>
                <w:b/>
                <w:color w:val="667085"/>
                <w:sz w:val="17"/>
              </w:rPr>
              <w:t>CO₂ purge/export</w:t>
            </w:r>
          </w:p>
        </w:tc>
        <w:tc>
          <w:tcPr>
            <w:tcW w:type="dxa" w:w="3120"/>
            <w:shd w:fill="F4F8F5"/>
            <w:tcMar>
              <w:top w:w="80" w:type="dxa"/>
              <w:start w:w="120" w:type="dxa"/>
              <w:bottom w:w="80" w:type="dxa"/>
              <w:end w:w="120" w:type="dxa"/>
            </w:tcMar>
            <w:vAlign w:val="center"/>
          </w:tcPr>
          <w:p>
            <w:pPr>
              <w:spacing w:after="40"/>
              <w:jc w:val="center"/>
            </w:pPr>
            <w:r>
              <w:rPr>
                <w:rFonts w:ascii="Calibri" w:hAnsi="Calibri" w:eastAsia="Calibri"/>
                <w:b/>
                <w:color w:val="0A236F"/>
                <w:sz w:val="32"/>
              </w:rPr>
              <w:t>230.42 t/day</w:t>
              <w:br/>
            </w:r>
            <w:r>
              <w:rPr>
                <w:rFonts w:ascii="Calibri" w:hAnsi="Calibri" w:eastAsia="Calibri"/>
                <w:b/>
                <w:color w:val="667085"/>
                <w:sz w:val="17"/>
              </w:rPr>
              <w:t>recycle or effluent water</w:t>
            </w:r>
          </w:p>
        </w:tc>
        <w:tc>
          <w:tcPr>
            <w:tcW w:type="dxa" w:w="3120"/>
            <w:shd w:fill="F3F5F6"/>
            <w:tcMar>
              <w:top w:w="80" w:type="dxa"/>
              <w:start w:w="120" w:type="dxa"/>
              <w:bottom w:w="80" w:type="dxa"/>
              <w:end w:w="120" w:type="dxa"/>
            </w:tcMar>
            <w:vAlign w:val="center"/>
          </w:tcPr>
          <w:p>
            <w:pPr>
              <w:spacing w:after="40"/>
              <w:jc w:val="center"/>
            </w:pPr>
            <w:r>
              <w:rPr>
                <w:rFonts w:ascii="Calibri" w:hAnsi="Calibri" w:eastAsia="Calibri"/>
                <w:b/>
                <w:color w:val="0A236F"/>
                <w:sz w:val="32"/>
              </w:rPr>
              <w:t>100%</w:t>
              <w:br/>
            </w:r>
            <w:r>
              <w:rPr>
                <w:rFonts w:ascii="Calibri" w:hAnsi="Calibri" w:eastAsia="Calibri"/>
                <w:b/>
                <w:color w:val="667085"/>
                <w:sz w:val="17"/>
              </w:rPr>
              <w:t>screening mass and carbon closure</w:t>
            </w:r>
          </w:p>
        </w:tc>
      </w:tr>
    </w:tbl>
    <w:p>
      <w:pPr>
        <w:spacing w:after="0"/>
      </w:pPr>
    </w:p>
    <w:p>
      <w:pPr>
        <w:spacing w:before="120" w:after="0"/>
        <w:jc w:val="center"/>
      </w:pPr>
      <w:r>
        <w:drawing>
          <wp:inline xmlns:a="http://schemas.openxmlformats.org/drawingml/2006/main" xmlns:pic="http://schemas.openxmlformats.org/drawingml/2006/picture">
            <wp:extent cx="5669280" cy="1965350"/>
            <wp:docPr id="2" name="Picture 2" descr="Stacked bar showing 42 percent of feed carbon to olefins, 38 percent to carbon dioxide, 8 percent aqueous organics, 4 percent solid carbon, 3 percent methane purge, and 5 percent carbon monoxide purge."/>
            <wp:cNvGraphicFramePr>
              <a:graphicFrameLocks noChangeAspect="1"/>
            </wp:cNvGraphicFramePr>
            <a:graphic>
              <a:graphicData uri="http://schemas.openxmlformats.org/drawingml/2006/picture">
                <pic:pic>
                  <pic:nvPicPr>
                    <pic:cNvPr id="0" name="carbon-balance.png"/>
                    <pic:cNvPicPr/>
                  </pic:nvPicPr>
                  <pic:blipFill>
                    <a:blip r:embed="rId52"/>
                    <a:stretch>
                      <a:fillRect/>
                    </a:stretch>
                  </pic:blipFill>
                  <pic:spPr>
                    <a:xfrm>
                      <a:off x="0" y="0"/>
                      <a:ext cx="5669280" cy="1965350"/>
                    </a:xfrm>
                    <a:prstGeom prst="rect"/>
                  </pic:spPr>
                </pic:pic>
              </a:graphicData>
            </a:graphic>
          </wp:inline>
        </w:drawing>
      </w:r>
    </w:p>
    <w:p>
      <w:pPr>
        <w:pStyle w:val="Caption"/>
        <w:jc w:val="center"/>
      </w:pPr>
      <w:r>
        <w:t>Figure 2. Carbon destinations on the one-train screening basis.</w:t>
      </w:r>
    </w:p>
    <w:p>
      <w:pPr>
        <w:spacing w:after="120"/>
      </w:pPr>
      <w:r>
        <w:rPr>
          <w:rFonts w:ascii="Calibri" w:hAnsi="Calibri" w:eastAsia="Calibri"/>
          <w:i w:val="0"/>
        </w:rPr>
        <w:t>The reported 42% is battery-limit olefin-carbon efficiency, not reactor selectivity. It includes aqueous and solid rejection plus synthesis-loop purge losses. The integrated continuous pilot must replace it with a full measured carbon balance.</w:t>
      </w:r>
    </w:p>
    <w:tbl>
      <w:tblPr>
        <w:tblStyle w:val="TableGrid"/>
        <w:tblW w:type="dxa" w:w="9360"/>
        <w:jc w:val="left"/>
        <w:tblLayout w:type="fixed"/>
        <w:tblLook w:firstColumn="1" w:firstRow="1" w:lastColumn="0" w:lastRow="0" w:noHBand="0" w:noVBand="1" w:val="04A0"/>
        <w:tblInd w:w="120" w:type="dxa"/>
        <w:tblBorders>
          <w:top w:val="single" w:sz="4" w:space="0" w:color="D5D9DE"/>
          <w:left w:val="single" w:sz="4" w:space="0" w:color="D5D9DE"/>
          <w:bottom w:val="single" w:sz="4" w:space="0" w:color="D5D9DE"/>
          <w:right w:val="single" w:sz="4" w:space="0" w:color="D5D9DE"/>
          <w:insideH w:val="single" w:sz="4" w:space="0" w:color="D5D9DE"/>
          <w:insideV w:val="single" w:sz="4" w:space="0" w:color="D5D9DE"/>
        </w:tblBorders>
      </w:tblPr>
      <w:tblGrid>
        <w:gridCol w:w="1800"/>
        <w:gridCol w:w="2400"/>
        <w:gridCol w:w="5160"/>
      </w:tblGrid>
      <w:tr>
        <w:trPr>
          <w:tblHeader w:val="true"/>
        </w:trPr>
        <w:tc>
          <w:tcPr>
            <w:tcW w:type="dxa" w:w="180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7"/>
              </w:rPr>
              <w:t>Outlet family</w:t>
            </w:r>
          </w:p>
        </w:tc>
        <w:tc>
          <w:tcPr>
            <w:tcW w:type="dxa" w:w="240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7"/>
              </w:rPr>
              <w:t>One-train amount</w:t>
            </w:r>
          </w:p>
        </w:tc>
        <w:tc>
          <w:tcPr>
            <w:tcW w:type="dxa" w:w="516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7"/>
              </w:rPr>
              <w:t>Presentation interpretation</w:t>
            </w:r>
          </w:p>
        </w:tc>
      </w:tr>
      <w:tr>
        <w:tc>
          <w:tcPr>
            <w:tcW w:type="dxa" w:w="18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7"/>
              </w:rPr>
              <w:t>Products</w:t>
            </w:r>
          </w:p>
        </w:tc>
        <w:tc>
          <w:tcPr>
            <w:tcW w:type="dxa" w:w="24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11.61 t/day olefins; 0.13 t/day sulfur equivalent</w:t>
            </w:r>
          </w:p>
        </w:tc>
        <w:tc>
          <w:tcPr>
            <w:tcW w:type="dxa" w:w="516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Core chemical product plus minor sulfur recovery</w:t>
            </w:r>
          </w:p>
        </w:tc>
      </w:tr>
      <w:tr>
        <w:tc>
          <w:tcPr>
            <w:tcW w:type="dxa" w:w="18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7"/>
              </w:rPr>
              <w:t>Carbon losses</w:t>
            </w:r>
          </w:p>
        </w:tc>
        <w:tc>
          <w:tcPr>
            <w:tcW w:type="dxa" w:w="240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33.04 t/day CO₂; 4.75 aqueous organics; 0.95 solid carbon</w:t>
            </w:r>
          </w:p>
        </w:tc>
        <w:tc>
          <w:tcPr>
            <w:tcW w:type="dxa" w:w="516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Largest yield-improvement opportunity</w:t>
            </w:r>
          </w:p>
        </w:tc>
      </w:tr>
      <w:tr>
        <w:tc>
          <w:tcPr>
            <w:tcW w:type="dxa" w:w="18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7"/>
              </w:rPr>
              <w:t>Gas purges</w:t>
            </w:r>
          </w:p>
        </w:tc>
        <w:tc>
          <w:tcPr>
            <w:tcW w:type="dxa" w:w="24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0.95 CH₄; 2.75 CO; 1.95 H₂ t/day</w:t>
            </w:r>
          </w:p>
        </w:tc>
        <w:tc>
          <w:tcPr>
            <w:tcW w:type="dxa" w:w="516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Internal fuel and loop-control streams</w:t>
            </w:r>
          </w:p>
        </w:tc>
      </w:tr>
      <w:tr>
        <w:tc>
          <w:tcPr>
            <w:tcW w:type="dxa" w:w="18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7"/>
              </w:rPr>
              <w:t>Mineral/salt</w:t>
            </w:r>
          </w:p>
        </w:tc>
        <w:tc>
          <w:tcPr>
            <w:tcW w:type="dxa" w:w="240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8.16 conditioned residue; 1.50 dry salt concentrate t/day</w:t>
            </w:r>
          </w:p>
        </w:tc>
        <w:tc>
          <w:tcPr>
            <w:tcW w:type="dxa" w:w="516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Value only after composition and product qualification</w:t>
            </w:r>
          </w:p>
        </w:tc>
      </w:tr>
      <w:tr>
        <w:tc>
          <w:tcPr>
            <w:tcW w:type="dxa" w:w="18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7"/>
              </w:rPr>
              <w:t>Water</w:t>
            </w:r>
          </w:p>
        </w:tc>
        <w:tc>
          <w:tcPr>
            <w:tcW w:type="dxa" w:w="24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230.42 t/day</w:t>
            </w:r>
          </w:p>
        </w:tc>
        <w:tc>
          <w:tcPr>
            <w:tcW w:type="dxa" w:w="516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Recycle controlled by Cl and refractory TOC</w:t>
            </w:r>
          </w:p>
        </w:tc>
      </w:tr>
    </w:tbl>
    <w:p>
      <w:pPr>
        <w:spacing w:after="0"/>
      </w:pPr>
    </w:p>
    <w:p>
      <w:pPr>
        <w:keepLines/>
        <w:spacing w:before="40" w:after="0"/>
      </w:pPr>
      <w:r>
        <w:rPr>
          <w:rFonts w:ascii="Calibri" w:hAnsi="Calibri" w:eastAsia="Calibri"/>
          <w:b/>
          <w:color w:val="667085"/>
          <w:sz w:val="16"/>
        </w:rPr>
        <w:t xml:space="preserve">Source basis: </w:t>
      </w:r>
      <w:r>
        <w:rPr>
          <w:rFonts w:ascii="Calibri" w:hAnsi="Calibri" w:eastAsia="Calibri"/>
          <w:i/>
          <w:color w:val="667085"/>
          <w:sz w:val="16"/>
        </w:rPr>
        <w:t>§§5.1–5.7; Appendix A.</w:t>
      </w:r>
    </w:p>
    <w:p>
      <w:pPr>
        <w:sectPr>
          <w:headerReference w:type="default" r:id="rId46"/>
          <w:headerReference w:type="even" r:id="rId47"/>
          <w:headerReference w:type="first" r:id="rId48"/>
          <w:footerReference w:type="default" r:id="rId49"/>
          <w:footerReference w:type="even" r:id="rId50"/>
          <w:footerReference w:type="first" r:id="rId51"/>
          <w:pgSz w:w="12240" w:h="15840"/>
          <w:pgMar w:top="0" w:right="1440" w:bottom="1440" w:left="1440" w:header="0" w:footer="708" w:gutter="0"/>
          <w:cols w:space="720"/>
          <w:titlePg/>
          <w:docGrid w:linePitch="360"/>
        </w:sectPr>
      </w:pPr>
    </w:p>
    <w:p>
      <w:pPr>
        <w:pStyle w:val="PacketKicker"/>
        <w:spacing w:before="1080"/>
      </w:pPr>
      <w:r>
        <w:t>07 · Energy integration</w:t>
      </w:r>
    </w:p>
    <w:p>
      <w:pPr>
        <w:pStyle w:val="Heading1"/>
      </w:pPr>
      <w:r>
        <w:t>Heat recovery is essential, but it does not erase the reforming penalty</w:t>
      </w:r>
    </w:p>
    <w:p>
      <w:pPr>
        <w:spacing w:before="120" w:after="0"/>
        <w:jc w:val="center"/>
      </w:pPr>
      <w:r>
        <w:drawing>
          <wp:inline xmlns:a="http://schemas.openxmlformats.org/drawingml/2006/main" xmlns:pic="http://schemas.openxmlformats.org/drawingml/2006/picture">
            <wp:extent cx="4892040" cy="2282952"/>
            <wp:docPr id="3" name="Picture 3" descr="Horizontal bars showing gross one-train energy demand of 1049 GJ per day, heat-recovery credits of 637 and 130 GJ per day, a 75 GJ per day purge-fuel credit, and 207 GJ per day purchased-energy equivalent."/>
            <wp:cNvGraphicFramePr>
              <a:graphicFrameLocks noChangeAspect="1"/>
            </wp:cNvGraphicFramePr>
            <a:graphic>
              <a:graphicData uri="http://schemas.openxmlformats.org/drawingml/2006/picture">
                <pic:pic>
                  <pic:nvPicPr>
                    <pic:cNvPr id="0" name="energy-cascade.png"/>
                    <pic:cNvPicPr/>
                  </pic:nvPicPr>
                  <pic:blipFill>
                    <a:blip r:embed="rId59"/>
                    <a:stretch>
                      <a:fillRect/>
                    </a:stretch>
                  </pic:blipFill>
                  <pic:spPr>
                    <a:xfrm>
                      <a:off x="0" y="0"/>
                      <a:ext cx="4892040" cy="2282952"/>
                    </a:xfrm>
                    <a:prstGeom prst="rect"/>
                  </pic:spPr>
                </pic:pic>
              </a:graphicData>
            </a:graphic>
          </wp:inline>
        </w:drawing>
      </w:r>
    </w:p>
    <w:p>
      <w:pPr>
        <w:pStyle w:val="Caption"/>
        <w:jc w:val="center"/>
      </w:pPr>
      <w:r>
        <w:t>Figure 3. One-train energy cascade.</w:t>
      </w:r>
    </w:p>
    <w:tbl>
      <w:tblPr>
        <w:tblStyle w:val="TableGrid"/>
        <w:tblW w:type="dxa" w:w="9360"/>
        <w:jc w:val="left"/>
        <w:tblLayout w:type="fixed"/>
        <w:tblLook w:firstColumn="1" w:firstRow="1" w:lastColumn="0" w:lastRow="0" w:noHBand="0" w:noVBand="1" w:val="04A0"/>
        <w:tblInd w:w="120" w:type="dxa"/>
        <w:tblBorders>
          <w:top w:val="single" w:sz="4" w:space="0" w:color="D5D9DE"/>
          <w:left w:val="single" w:sz="4" w:space="0" w:color="D5D9DE"/>
          <w:bottom w:val="single" w:sz="4" w:space="0" w:color="D5D9DE"/>
          <w:right w:val="single" w:sz="4" w:space="0" w:color="D5D9DE"/>
          <w:insideH w:val="single" w:sz="4" w:space="0" w:color="D5D9DE"/>
          <w:insideV w:val="single" w:sz="4" w:space="0" w:color="D5D9DE"/>
        </w:tblBorders>
      </w:tblPr>
      <w:tblGrid>
        <w:gridCol w:w="3350"/>
        <w:gridCol w:w="1700"/>
        <w:gridCol w:w="4310"/>
      </w:tblGrid>
      <w:tr>
        <w:trPr>
          <w:tblHeader w:val="true"/>
        </w:trPr>
        <w:tc>
          <w:tcPr>
            <w:tcW w:type="dxa" w:w="335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6"/>
              </w:rPr>
              <w:t>Energy element</w:t>
            </w:r>
          </w:p>
        </w:tc>
        <w:tc>
          <w:tcPr>
            <w:tcW w:type="dxa" w:w="1700"/>
            <w:shd w:fill="E8F3EC"/>
            <w:tcMar>
              <w:top w:w="80" w:type="dxa"/>
              <w:start w:w="120" w:type="dxa"/>
              <w:bottom w:w="80" w:type="dxa"/>
              <w:end w:w="120" w:type="dxa"/>
            </w:tcMar>
            <w:vAlign w:val="center"/>
          </w:tcPr>
          <w:p>
            <w:pPr>
              <w:spacing w:after="0" w:line="252" w:lineRule="auto"/>
              <w:jc w:val="center"/>
            </w:pPr>
            <w:r>
              <w:rPr>
                <w:rFonts w:ascii="Calibri" w:hAnsi="Calibri" w:eastAsia="Calibri"/>
                <w:b/>
                <w:color w:val="0A236F"/>
                <w:sz w:val="16"/>
              </w:rPr>
              <w:t>GJ/day per train</w:t>
            </w:r>
          </w:p>
        </w:tc>
        <w:tc>
          <w:tcPr>
            <w:tcW w:type="dxa" w:w="431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6"/>
              </w:rPr>
              <w:t>Status</w:t>
            </w:r>
          </w:p>
        </w:tc>
      </w:tr>
      <w:tr>
        <w:tc>
          <w:tcPr>
            <w:tcW w:type="dxa" w:w="335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Feed sensible heating to 625 °C</w:t>
            </w:r>
          </w:p>
        </w:tc>
        <w:tc>
          <w:tcPr>
            <w:tcW w:type="dxa" w:w="1700"/>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796</w:t>
            </w:r>
          </w:p>
        </w:tc>
        <w:tc>
          <w:tcPr>
            <w:tcW w:type="dxa" w:w="431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Calculated</w:t>
            </w:r>
          </w:p>
        </w:tc>
      </w:tr>
      <w:tr>
        <w:tc>
          <w:tcPr>
            <w:tcW w:type="dxa" w:w="335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SCWG reaction/loss + pumping</w:t>
            </w:r>
          </w:p>
        </w:tc>
        <w:tc>
          <w:tcPr>
            <w:tcW w:type="dxa" w:w="1700"/>
            <w:shd w:fill="FAFBFC"/>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45</w:t>
            </w:r>
          </w:p>
        </w:tc>
        <w:tc>
          <w:tcPr>
            <w:tcW w:type="dxa" w:w="431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Calculated / screening</w:t>
            </w:r>
          </w:p>
        </w:tc>
      </w:tr>
      <w:tr>
        <w:tc>
          <w:tcPr>
            <w:tcW w:type="dxa" w:w="335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Bi-reformer reaction and furnace loss</w:t>
            </w:r>
          </w:p>
        </w:tc>
        <w:tc>
          <w:tcPr>
            <w:tcW w:type="dxa" w:w="1700"/>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150</w:t>
            </w:r>
          </w:p>
        </w:tc>
        <w:tc>
          <w:tcPr>
            <w:tcW w:type="dxa" w:w="431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Screening</w:t>
            </w:r>
          </w:p>
        </w:tc>
      </w:tr>
      <w:tr>
        <w:tc>
          <w:tcPr>
            <w:tcW w:type="dxa" w:w="335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Gas compression, Rectisol, finishing</w:t>
            </w:r>
          </w:p>
        </w:tc>
        <w:tc>
          <w:tcPr>
            <w:tcW w:type="dxa" w:w="1700"/>
            <w:shd w:fill="FAFBFC"/>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58</w:t>
            </w:r>
          </w:p>
        </w:tc>
        <w:tc>
          <w:tcPr>
            <w:tcW w:type="dxa" w:w="431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Screening</w:t>
            </w:r>
          </w:p>
        </w:tc>
      </w:tr>
      <w:tr>
        <w:tc>
          <w:tcPr>
            <w:tcW w:type="dxa" w:w="335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Gross requirement</w:t>
            </w:r>
          </w:p>
        </w:tc>
        <w:tc>
          <w:tcPr>
            <w:tcW w:type="dxa" w:w="1700"/>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1,049</w:t>
            </w:r>
          </w:p>
        </w:tc>
        <w:tc>
          <w:tcPr>
            <w:tcW w:type="dxa" w:w="431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Calculated subtotal</w:t>
            </w:r>
          </w:p>
        </w:tc>
      </w:tr>
      <w:tr>
        <w:tc>
          <w:tcPr>
            <w:tcW w:type="dxa" w:w="335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Feed–effluent recovery</w:t>
            </w:r>
          </w:p>
        </w:tc>
        <w:tc>
          <w:tcPr>
            <w:tcW w:type="dxa" w:w="1700"/>
            <w:shd w:fill="FAFBFC"/>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−637</w:t>
            </w:r>
          </w:p>
        </w:tc>
        <w:tc>
          <w:tcPr>
            <w:tcW w:type="dxa" w:w="431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80% dirty-service effectiveness assumption</w:t>
            </w:r>
          </w:p>
        </w:tc>
      </w:tr>
      <w:tr>
        <w:tc>
          <w:tcPr>
            <w:tcW w:type="dxa" w:w="335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Reformer + OXZEO recovery</w:t>
            </w:r>
          </w:p>
        </w:tc>
        <w:tc>
          <w:tcPr>
            <w:tcW w:type="dxa" w:w="1700"/>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−130</w:t>
            </w:r>
          </w:p>
        </w:tc>
        <w:tc>
          <w:tcPr>
            <w:tcW w:type="dxa" w:w="431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Screening</w:t>
            </w:r>
          </w:p>
        </w:tc>
      </w:tr>
      <w:tr>
        <w:tc>
          <w:tcPr>
            <w:tcW w:type="dxa" w:w="335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Purge-fuel credit</w:t>
            </w:r>
          </w:p>
        </w:tc>
        <w:tc>
          <w:tcPr>
            <w:tcW w:type="dxa" w:w="1700"/>
            <w:shd w:fill="FAFBFC"/>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−75</w:t>
            </w:r>
          </w:p>
        </w:tc>
        <w:tc>
          <w:tcPr>
            <w:tcW w:type="dxa" w:w="431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Screening</w:t>
            </w:r>
          </w:p>
        </w:tc>
      </w:tr>
      <w:tr>
        <w:tc>
          <w:tcPr>
            <w:tcW w:type="dxa" w:w="335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Purchased-energy equivalent</w:t>
            </w:r>
          </w:p>
        </w:tc>
        <w:tc>
          <w:tcPr>
            <w:tcW w:type="dxa" w:w="1700"/>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207</w:t>
            </w:r>
          </w:p>
        </w:tc>
        <w:tc>
          <w:tcPr>
            <w:tcW w:type="dxa" w:w="431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Calculated result</w:t>
            </w:r>
          </w:p>
        </w:tc>
      </w:tr>
    </w:tbl>
    <w:p>
      <w:pPr>
        <w:spacing w:after="0"/>
      </w:pPr>
    </w:p>
    <w:p>
      <w:pPr>
        <w:pStyle w:val="Heading2"/>
      </w:pPr>
      <w:r>
        <w:t>Energy-reduction priorities</w:t>
      </w:r>
    </w:p>
    <w:p>
      <w:pPr>
        <w:spacing w:after="80"/>
      </w:pPr>
      <w:r>
        <w:rPr>
          <w:rFonts w:ascii="Calibri" w:hAnsi="Calibri" w:eastAsia="Calibri"/>
          <w:i w:val="0"/>
        </w:rPr>
        <w:t>Prove dirty-service exchanger effectiveness and fouling management; increase carbon conversion upstream; optimise reformer severity, purge use, steam balance, and OXZEO heat recovery; and treat energy reduction as a combined process-development objective rather than a utility-price assumption.</w:t>
      </w:r>
    </w:p>
    <w:p>
      <w:pPr>
        <w:keepLines/>
        <w:spacing w:before="40" w:after="0"/>
      </w:pPr>
      <w:r>
        <w:rPr>
          <w:rFonts w:ascii="Calibri" w:hAnsi="Calibri" w:eastAsia="Calibri"/>
          <w:b/>
          <w:color w:val="667085"/>
          <w:sz w:val="16"/>
        </w:rPr>
        <w:t xml:space="preserve">Source basis: </w:t>
      </w:r>
      <w:r>
        <w:rPr>
          <w:rFonts w:ascii="Calibri" w:hAnsi="Calibri" w:eastAsia="Calibri"/>
          <w:i/>
          <w:color w:val="667085"/>
          <w:sz w:val="16"/>
        </w:rPr>
        <w:t>§§6.1–6.6.</w:t>
      </w:r>
    </w:p>
    <w:p>
      <w:pPr>
        <w:sectPr>
          <w:headerReference w:type="default" r:id="rId53"/>
          <w:headerReference w:type="even" r:id="rId54"/>
          <w:headerReference w:type="first" r:id="rId55"/>
          <w:footerReference w:type="default" r:id="rId56"/>
          <w:footerReference w:type="even" r:id="rId57"/>
          <w:footerReference w:type="first" r:id="rId58"/>
          <w:pgSz w:w="12240" w:h="15840"/>
          <w:pgMar w:top="0" w:right="1440" w:bottom="1440" w:left="1440" w:header="0" w:footer="708" w:gutter="0"/>
          <w:cols w:space="720"/>
          <w:titlePg/>
          <w:docGrid w:linePitch="360"/>
        </w:sectPr>
      </w:pPr>
    </w:p>
    <w:p>
      <w:pPr>
        <w:pStyle w:val="PacketKicker"/>
        <w:spacing w:before="1080"/>
      </w:pPr>
      <w:r>
        <w:t>08 · Integrated regional feed strategy</w:t>
      </w:r>
    </w:p>
    <w:p>
      <w:pPr>
        <w:pStyle w:val="Heading1"/>
      </w:pPr>
      <w:r>
        <w:t>Raise carbon density by substitution, not additional wet throughput</w:t>
      </w:r>
    </w:p>
    <w:p>
      <w:pPr>
        <w:spacing w:before="120" w:after="80" w:line="288" w:lineRule="auto"/>
        <w:ind w:left="173" w:right="115"/>
        <w:shd w:fill="F4F8F5"/>
        <w:keepLines/>
        <w:pBdr>
          <w:left w:val="single" w:sz="18" w:space="8" w:color="0B6B3A"/>
        </w:pBdr>
      </w:pPr>
      <w:r>
        <w:rPr>
          <w:rFonts w:ascii="Calibri" w:hAnsi="Calibri" w:eastAsia="Calibri"/>
          <w:b/>
          <w:color w:val="0B6B3A"/>
          <w:sz w:val="18"/>
        </w:rPr>
        <w:t xml:space="preserve">BINDING RULE  </w:t>
      </w:r>
      <w:r>
        <w:rPr>
          <w:rFonts w:ascii="Calibri" w:hAnsi="Calibri" w:eastAsia="Calibri"/>
          <w:color w:val="1F2933"/>
          <w:sz w:val="21"/>
        </w:rPr>
        <w:t>Hold every train at 300 t/day gross slurry. Introduce each new waste by dry-solids substitution, remain near the 18–22 wt% pumpability envelope, and recalculate chloride, ammonia, salts, ash, metals, and product quality.</w:t>
      </w:r>
    </w:p>
    <w:tbl>
      <w:tblPr>
        <w:tblStyle w:val="TableGrid"/>
        <w:tblW w:type="dxa" w:w="9360"/>
        <w:jc w:val="left"/>
        <w:tblLayout w:type="fixed"/>
        <w:tblLook w:firstColumn="1" w:firstRow="1" w:lastColumn="0" w:lastRow="0" w:noHBand="0" w:noVBand="1" w:val="04A0"/>
        <w:tblInd w:w="120" w:type="dxa"/>
        <w:tblBorders>
          <w:top w:val="single" w:sz="4" w:space="0" w:color="D5D9DE"/>
          <w:left w:val="single" w:sz="4" w:space="0" w:color="D5D9DE"/>
          <w:bottom w:val="single" w:sz="4" w:space="0" w:color="D5D9DE"/>
          <w:right w:val="single" w:sz="4" w:space="0" w:color="D5D9DE"/>
          <w:insideH w:val="single" w:sz="4" w:space="0" w:color="D5D9DE"/>
          <w:insideV w:val="single" w:sz="4" w:space="0" w:color="D5D9DE"/>
        </w:tblBorders>
      </w:tblPr>
      <w:tblGrid>
        <w:gridCol w:w="1900"/>
        <w:gridCol w:w="1500"/>
        <w:gridCol w:w="2600"/>
        <w:gridCol w:w="3360"/>
      </w:tblGrid>
      <w:tr>
        <w:trPr>
          <w:tblHeader w:val="true"/>
        </w:trPr>
        <w:tc>
          <w:tcPr>
            <w:tcW w:type="dxa" w:w="190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6"/>
              </w:rPr>
              <w:t>Regional co-feed</w:t>
            </w:r>
          </w:p>
        </w:tc>
        <w:tc>
          <w:tcPr>
            <w:tcW w:type="dxa" w:w="150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6"/>
              </w:rPr>
              <w:t>Preferred dry-solids share</w:t>
            </w:r>
          </w:p>
        </w:tc>
        <w:tc>
          <w:tcPr>
            <w:tcW w:type="dxa" w:w="260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6"/>
              </w:rPr>
              <w:t>Why it helps</w:t>
            </w:r>
          </w:p>
        </w:tc>
        <w:tc>
          <w:tcPr>
            <w:tcW w:type="dxa" w:w="336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6"/>
              </w:rPr>
              <w:t>Primary qualification</w:t>
            </w:r>
          </w:p>
        </w:tc>
      </w:tr>
      <w:tr>
        <w:tc>
          <w:tcPr>
            <w:tcW w:type="dxa" w:w="19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Cassava / starch cake</w:t>
            </w:r>
          </w:p>
        </w:tc>
        <w:tc>
          <w:tcPr>
            <w:tcW w:type="dxa" w:w="15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20–35%</w:t>
            </w:r>
          </w:p>
        </w:tc>
        <w:tc>
          <w:tcPr>
            <w:tcW w:type="dxa" w:w="26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Raises carbon density with wet-cake handling compatibility</w:t>
            </w:r>
          </w:p>
        </w:tc>
        <w:tc>
          <w:tcPr>
            <w:tcW w:type="dxa" w:w="336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Rheology, cyanogenic residues, Cl, seasonality</w:t>
            </w:r>
          </w:p>
        </w:tc>
      </w:tr>
      <w:tr>
        <w:tc>
          <w:tcPr>
            <w:tcW w:type="dxa" w:w="19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Fruit / vegetable pulp</w:t>
            </w:r>
          </w:p>
        </w:tc>
        <w:tc>
          <w:tcPr>
            <w:tcW w:type="dxa" w:w="150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5–10%</w:t>
            </w:r>
          </w:p>
        </w:tc>
        <w:tc>
          <w:tcPr>
            <w:tcW w:type="dxa" w:w="260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Readily gasifiable carbohydrate</w:t>
            </w:r>
          </w:p>
        </w:tc>
        <w:tc>
          <w:tcPr>
            <w:tcW w:type="dxa" w:w="336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Spoilage, grit, cleaning chemicals</w:t>
            </w:r>
          </w:p>
        </w:tc>
      </w:tr>
      <w:tr>
        <w:tc>
          <w:tcPr>
            <w:tcW w:type="dxa" w:w="19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Soluble organic liquor</w:t>
            </w:r>
          </w:p>
        </w:tc>
        <w:tc>
          <w:tcPr>
            <w:tcW w:type="dxa" w:w="15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Up to 5%</w:t>
            </w:r>
          </w:p>
        </w:tc>
        <w:tc>
          <w:tcPr>
            <w:tcW w:type="dxa" w:w="26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Adds soluble carbon without milling</w:t>
            </w:r>
          </w:p>
        </w:tc>
        <w:tc>
          <w:tcPr>
            <w:tcW w:type="dxa" w:w="336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Cl, S, refractory COD, cleaners</w:t>
            </w:r>
          </w:p>
        </w:tc>
      </w:tr>
      <w:tr>
        <w:tc>
          <w:tcPr>
            <w:tcW w:type="dxa" w:w="19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Milled crop residue</w:t>
            </w:r>
          </w:p>
        </w:tc>
        <w:tc>
          <w:tcPr>
            <w:tcW w:type="dxa" w:w="150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15–25%</w:t>
            </w:r>
          </w:p>
        </w:tc>
        <w:tc>
          <w:tcPr>
            <w:tcW w:type="dxa" w:w="260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Raises C/N and extends straw concept</w:t>
            </w:r>
          </w:p>
        </w:tc>
        <w:tc>
          <w:tcPr>
            <w:tcW w:type="dxa" w:w="336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Fibres, silica, ash, bridging, milling power</w:t>
            </w:r>
          </w:p>
        </w:tc>
      </w:tr>
      <w:tr>
        <w:tc>
          <w:tcPr>
            <w:tcW w:type="dxa" w:w="19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Dewatered manure</w:t>
            </w:r>
          </w:p>
        </w:tc>
        <w:tc>
          <w:tcPr>
            <w:tcW w:type="dxa" w:w="15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0–15%, trial only</w:t>
            </w:r>
          </w:p>
        </w:tc>
        <w:tc>
          <w:tcPr>
            <w:tcW w:type="dxa" w:w="26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Potential gate-fee and treatment value</w:t>
            </w:r>
          </w:p>
        </w:tc>
        <w:tc>
          <w:tcPr>
            <w:tcW w:type="dxa" w:w="336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Ash, N/P, Cu/Zn, residue outlets, paid gate fee</w:t>
            </w:r>
          </w:p>
        </w:tc>
      </w:tr>
    </w:tbl>
    <w:p>
      <w:pPr>
        <w:spacing w:after="0"/>
      </w:pPr>
    </w:p>
    <w:p>
      <w:pPr>
        <w:pStyle w:val="Heading2"/>
      </w:pPr>
      <w:r>
        <w:t>Four staged recipes per 300 t/day train</w:t>
      </w:r>
    </w:p>
    <w:tbl>
      <w:tblPr>
        <w:tblStyle w:val="TableGrid"/>
        <w:tblW w:type="dxa" w:w="9360"/>
        <w:jc w:val="left"/>
        <w:tblLayout w:type="fixed"/>
        <w:tblLook w:firstColumn="1" w:firstRow="1" w:lastColumn="0" w:lastRow="0" w:noHBand="0" w:noVBand="1" w:val="04A0"/>
        <w:tblInd w:w="120" w:type="dxa"/>
        <w:tblBorders>
          <w:top w:val="single" w:sz="4" w:space="0" w:color="D5D9DE"/>
          <w:left w:val="single" w:sz="4" w:space="0" w:color="D5D9DE"/>
          <w:bottom w:val="single" w:sz="4" w:space="0" w:color="D5D9DE"/>
          <w:right w:val="single" w:sz="4" w:space="0" w:color="D5D9DE"/>
          <w:insideH w:val="single" w:sz="4" w:space="0" w:color="D5D9DE"/>
          <w:insideV w:val="single" w:sz="4" w:space="0" w:color="D5D9DE"/>
        </w:tblBorders>
      </w:tblPr>
      <w:tblGrid>
        <w:gridCol w:w="2500"/>
        <w:gridCol w:w="1715"/>
        <w:gridCol w:w="1715"/>
        <w:gridCol w:w="1715"/>
        <w:gridCol w:w="1715"/>
      </w:tblGrid>
      <w:tr>
        <w:trPr>
          <w:tblHeader w:val="true"/>
        </w:trPr>
        <w:tc>
          <w:tcPr>
            <w:tcW w:type="dxa" w:w="250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6"/>
              </w:rPr>
              <w:t>Input (t/day)</w:t>
            </w:r>
          </w:p>
        </w:tc>
        <w:tc>
          <w:tcPr>
            <w:tcW w:type="dxa" w:w="1715"/>
            <w:shd w:fill="E8F3EC"/>
            <w:tcMar>
              <w:top w:w="80" w:type="dxa"/>
              <w:start w:w="120" w:type="dxa"/>
              <w:bottom w:w="80" w:type="dxa"/>
              <w:end w:w="120" w:type="dxa"/>
            </w:tcMar>
            <w:vAlign w:val="center"/>
          </w:tcPr>
          <w:p>
            <w:pPr>
              <w:spacing w:after="0" w:line="252" w:lineRule="auto"/>
              <w:jc w:val="center"/>
            </w:pPr>
            <w:r>
              <w:rPr>
                <w:rFonts w:ascii="Calibri" w:hAnsi="Calibri" w:eastAsia="Calibri"/>
                <w:b/>
                <w:color w:val="0A236F"/>
                <w:sz w:val="16"/>
              </w:rPr>
              <w:t>B0 control</w:t>
            </w:r>
          </w:p>
        </w:tc>
        <w:tc>
          <w:tcPr>
            <w:tcW w:type="dxa" w:w="1715"/>
            <w:shd w:fill="E8F3EC"/>
            <w:tcMar>
              <w:top w:w="80" w:type="dxa"/>
              <w:start w:w="120" w:type="dxa"/>
              <w:bottom w:w="80" w:type="dxa"/>
              <w:end w:w="120" w:type="dxa"/>
            </w:tcMar>
            <w:vAlign w:val="center"/>
          </w:tcPr>
          <w:p>
            <w:pPr>
              <w:spacing w:after="0" w:line="252" w:lineRule="auto"/>
              <w:jc w:val="center"/>
            </w:pPr>
            <w:r>
              <w:rPr>
                <w:rFonts w:ascii="Calibri" w:hAnsi="Calibri" w:eastAsia="Calibri"/>
                <w:b/>
                <w:color w:val="0A236F"/>
                <w:sz w:val="16"/>
              </w:rPr>
              <w:t>B1 transition</w:t>
            </w:r>
          </w:p>
        </w:tc>
        <w:tc>
          <w:tcPr>
            <w:tcW w:type="dxa" w:w="1715"/>
            <w:shd w:fill="E8F3EC"/>
            <w:tcMar>
              <w:top w:w="80" w:type="dxa"/>
              <w:start w:w="120" w:type="dxa"/>
              <w:bottom w:w="80" w:type="dxa"/>
              <w:end w:w="120" w:type="dxa"/>
            </w:tcMar>
            <w:vAlign w:val="center"/>
          </w:tcPr>
          <w:p>
            <w:pPr>
              <w:spacing w:after="0" w:line="252" w:lineRule="auto"/>
              <w:jc w:val="center"/>
            </w:pPr>
            <w:r>
              <w:rPr>
                <w:rFonts w:ascii="Calibri" w:hAnsi="Calibri" w:eastAsia="Calibri"/>
                <w:b/>
                <w:color w:val="0A236F"/>
                <w:sz w:val="16"/>
              </w:rPr>
              <w:t>B2 target</w:t>
            </w:r>
          </w:p>
        </w:tc>
        <w:tc>
          <w:tcPr>
            <w:tcW w:type="dxa" w:w="1715"/>
            <w:shd w:fill="E8F3EC"/>
            <w:tcMar>
              <w:top w:w="80" w:type="dxa"/>
              <w:start w:w="120" w:type="dxa"/>
              <w:bottom w:w="80" w:type="dxa"/>
              <w:end w:w="120" w:type="dxa"/>
            </w:tcMar>
            <w:vAlign w:val="center"/>
          </w:tcPr>
          <w:p>
            <w:pPr>
              <w:spacing w:after="0" w:line="252" w:lineRule="auto"/>
              <w:jc w:val="center"/>
            </w:pPr>
            <w:r>
              <w:rPr>
                <w:rFonts w:ascii="Calibri" w:hAnsi="Calibri" w:eastAsia="Calibri"/>
                <w:b/>
                <w:color w:val="0A236F"/>
                <w:sz w:val="16"/>
              </w:rPr>
              <w:t>B3 manure trial</w:t>
            </w:r>
          </w:p>
        </w:tc>
      </w:tr>
      <w:tr>
        <w:tc>
          <w:tcPr>
            <w:tcW w:type="dxa" w:w="25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Wet okara</w:t>
            </w:r>
          </w:p>
        </w:tc>
        <w:tc>
          <w:tcPr>
            <w:tcW w:type="dxa" w:w="171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250</w:t>
            </w:r>
          </w:p>
        </w:tc>
        <w:tc>
          <w:tcPr>
            <w:tcW w:type="dxa" w:w="171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150</w:t>
            </w:r>
          </w:p>
        </w:tc>
        <w:tc>
          <w:tcPr>
            <w:tcW w:type="dxa" w:w="1715"/>
            <w:shd w:fill="F4F8F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80</w:t>
            </w:r>
          </w:p>
        </w:tc>
        <w:tc>
          <w:tcPr>
            <w:tcW w:type="dxa" w:w="171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80</w:t>
            </w:r>
          </w:p>
        </w:tc>
      </w:tr>
      <w:tr>
        <w:tc>
          <w:tcPr>
            <w:tcW w:type="dxa" w:w="25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Cassava cake</w:t>
            </w:r>
          </w:p>
        </w:tc>
        <w:tc>
          <w:tcPr>
            <w:tcW w:type="dxa" w:w="1715"/>
            <w:shd w:fill="FAFBFC"/>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0</w:t>
            </w:r>
          </w:p>
        </w:tc>
        <w:tc>
          <w:tcPr>
            <w:tcW w:type="dxa" w:w="1715"/>
            <w:shd w:fill="FAFBFC"/>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60</w:t>
            </w:r>
          </w:p>
        </w:tc>
        <w:tc>
          <w:tcPr>
            <w:tcW w:type="dxa" w:w="1715"/>
            <w:shd w:fill="F4F8F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100</w:t>
            </w:r>
          </w:p>
        </w:tc>
        <w:tc>
          <w:tcPr>
            <w:tcW w:type="dxa" w:w="1715"/>
            <w:shd w:fill="FAFBFC"/>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80</w:t>
            </w:r>
          </w:p>
        </w:tc>
      </w:tr>
      <w:tr>
        <w:tc>
          <w:tcPr>
            <w:tcW w:type="dxa" w:w="25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Fruit pulp</w:t>
            </w:r>
          </w:p>
        </w:tc>
        <w:tc>
          <w:tcPr>
            <w:tcW w:type="dxa" w:w="171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0</w:t>
            </w:r>
          </w:p>
        </w:tc>
        <w:tc>
          <w:tcPr>
            <w:tcW w:type="dxa" w:w="171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20</w:t>
            </w:r>
          </w:p>
        </w:tc>
        <w:tc>
          <w:tcPr>
            <w:tcW w:type="dxa" w:w="1715"/>
            <w:shd w:fill="F4F8F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20</w:t>
            </w:r>
          </w:p>
        </w:tc>
        <w:tc>
          <w:tcPr>
            <w:tcW w:type="dxa" w:w="171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20</w:t>
            </w:r>
          </w:p>
        </w:tc>
      </w:tr>
      <w:tr>
        <w:tc>
          <w:tcPr>
            <w:tcW w:type="dxa" w:w="25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Organic liquor</w:t>
            </w:r>
          </w:p>
        </w:tc>
        <w:tc>
          <w:tcPr>
            <w:tcW w:type="dxa" w:w="1715"/>
            <w:shd w:fill="FAFBFC"/>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0</w:t>
            </w:r>
          </w:p>
        </w:tc>
        <w:tc>
          <w:tcPr>
            <w:tcW w:type="dxa" w:w="1715"/>
            <w:shd w:fill="FAFBFC"/>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10</w:t>
            </w:r>
          </w:p>
        </w:tc>
        <w:tc>
          <w:tcPr>
            <w:tcW w:type="dxa" w:w="1715"/>
            <w:shd w:fill="F4F8F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15</w:t>
            </w:r>
          </w:p>
        </w:tc>
        <w:tc>
          <w:tcPr>
            <w:tcW w:type="dxa" w:w="1715"/>
            <w:shd w:fill="FAFBFC"/>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15</w:t>
            </w:r>
          </w:p>
        </w:tc>
      </w:tr>
      <w:tr>
        <w:tc>
          <w:tcPr>
            <w:tcW w:type="dxa" w:w="25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Crop residue</w:t>
            </w:r>
          </w:p>
        </w:tc>
        <w:tc>
          <w:tcPr>
            <w:tcW w:type="dxa" w:w="171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8</w:t>
            </w:r>
          </w:p>
        </w:tc>
        <w:tc>
          <w:tcPr>
            <w:tcW w:type="dxa" w:w="171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12</w:t>
            </w:r>
          </w:p>
        </w:tc>
        <w:tc>
          <w:tcPr>
            <w:tcW w:type="dxa" w:w="1715"/>
            <w:shd w:fill="F4F8F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18</w:t>
            </w:r>
          </w:p>
        </w:tc>
        <w:tc>
          <w:tcPr>
            <w:tcW w:type="dxa" w:w="171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13</w:t>
            </w:r>
          </w:p>
        </w:tc>
      </w:tr>
      <w:tr>
        <w:tc>
          <w:tcPr>
            <w:tcW w:type="dxa" w:w="25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Manure cake</w:t>
            </w:r>
          </w:p>
        </w:tc>
        <w:tc>
          <w:tcPr>
            <w:tcW w:type="dxa" w:w="1715"/>
            <w:shd w:fill="FAFBFC"/>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0</w:t>
            </w:r>
          </w:p>
        </w:tc>
        <w:tc>
          <w:tcPr>
            <w:tcW w:type="dxa" w:w="1715"/>
            <w:shd w:fill="FAFBFC"/>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0</w:t>
            </w:r>
          </w:p>
        </w:tc>
        <w:tc>
          <w:tcPr>
            <w:tcW w:type="dxa" w:w="1715"/>
            <w:shd w:fill="F4F8F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0</w:t>
            </w:r>
          </w:p>
        </w:tc>
        <w:tc>
          <w:tcPr>
            <w:tcW w:type="dxa" w:w="1715"/>
            <w:shd w:fill="FAFBFC"/>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30</w:t>
            </w:r>
          </w:p>
        </w:tc>
      </w:tr>
      <w:tr>
        <w:tc>
          <w:tcPr>
            <w:tcW w:type="dxa" w:w="25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Fresh red mud</w:t>
            </w:r>
          </w:p>
        </w:tc>
        <w:tc>
          <w:tcPr>
            <w:tcW w:type="dxa" w:w="171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7</w:t>
            </w:r>
          </w:p>
        </w:tc>
        <w:tc>
          <w:tcPr>
            <w:tcW w:type="dxa" w:w="171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7</w:t>
            </w:r>
          </w:p>
        </w:tc>
        <w:tc>
          <w:tcPr>
            <w:tcW w:type="dxa" w:w="1715"/>
            <w:shd w:fill="F4F8F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7</w:t>
            </w:r>
          </w:p>
        </w:tc>
        <w:tc>
          <w:tcPr>
            <w:tcW w:type="dxa" w:w="171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7</w:t>
            </w:r>
          </w:p>
        </w:tc>
      </w:tr>
      <w:tr>
        <w:tc>
          <w:tcPr>
            <w:tcW w:type="dxa" w:w="25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Water</w:t>
            </w:r>
          </w:p>
        </w:tc>
        <w:tc>
          <w:tcPr>
            <w:tcW w:type="dxa" w:w="1715"/>
            <w:shd w:fill="FAFBFC"/>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35</w:t>
            </w:r>
          </w:p>
        </w:tc>
        <w:tc>
          <w:tcPr>
            <w:tcW w:type="dxa" w:w="1715"/>
            <w:shd w:fill="FAFBFC"/>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41</w:t>
            </w:r>
          </w:p>
        </w:tc>
        <w:tc>
          <w:tcPr>
            <w:tcW w:type="dxa" w:w="1715"/>
            <w:shd w:fill="F4F8F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60</w:t>
            </w:r>
          </w:p>
        </w:tc>
        <w:tc>
          <w:tcPr>
            <w:tcW w:type="dxa" w:w="1715"/>
            <w:shd w:fill="FAFBFC"/>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55</w:t>
            </w:r>
          </w:p>
        </w:tc>
      </w:tr>
    </w:tbl>
    <w:p>
      <w:pPr>
        <w:spacing w:after="0"/>
      </w:pPr>
    </w:p>
    <w:p>
      <w:pPr>
        <w:keepLines/>
        <w:spacing w:before="40" w:after="0"/>
      </w:pPr>
      <w:r>
        <w:rPr>
          <w:rFonts w:ascii="Calibri" w:hAnsi="Calibri" w:eastAsia="Calibri"/>
          <w:b/>
          <w:color w:val="667085"/>
          <w:sz w:val="16"/>
        </w:rPr>
        <w:t xml:space="preserve">Source basis: </w:t>
      </w:r>
      <w:r>
        <w:rPr>
          <w:rFonts w:ascii="Calibri" w:hAnsi="Calibri" w:eastAsia="Calibri"/>
          <w:i/>
          <w:color w:val="667085"/>
          <w:sz w:val="16"/>
        </w:rPr>
        <w:t>§§1.8–1.8.1; §4.2.1; §5.1.1.</w:t>
      </w:r>
    </w:p>
    <w:p>
      <w:pPr>
        <w:sectPr>
          <w:headerReference w:type="default" r:id="rId60"/>
          <w:headerReference w:type="even" r:id="rId61"/>
          <w:headerReference w:type="first" r:id="rId62"/>
          <w:footerReference w:type="default" r:id="rId63"/>
          <w:footerReference w:type="even" r:id="rId64"/>
          <w:footerReference w:type="first" r:id="rId65"/>
          <w:pgSz w:w="12240" w:h="15840"/>
          <w:pgMar w:top="0" w:right="1440" w:bottom="1440" w:left="1440" w:header="0" w:footer="708" w:gutter="0"/>
          <w:cols w:space="720"/>
          <w:titlePg/>
          <w:docGrid w:linePitch="360"/>
        </w:sectPr>
      </w:pPr>
    </w:p>
    <w:p>
      <w:pPr>
        <w:pStyle w:val="PacketKicker"/>
        <w:spacing w:before="1080"/>
      </w:pPr>
      <w:r>
        <w:t>09 · Co-feed outcomes</w:t>
      </w:r>
    </w:p>
    <w:p>
      <w:pPr>
        <w:pStyle w:val="Heading1"/>
      </w:pPr>
      <w:r>
        <w:t>B2 is the preferred technical-development blend</w:t>
      </w:r>
    </w:p>
    <w:tbl>
      <w:tblPr>
        <w:tblStyle w:val="TableGrid"/>
        <w:tblW w:type="dxa" w:w="9360"/>
        <w:jc w:val="left"/>
        <w:tblLayout w:type="fixed"/>
        <w:tblLook w:firstColumn="1" w:firstRow="1" w:lastColumn="0" w:lastRow="0" w:noHBand="0" w:noVBand="1" w:val="04A0"/>
        <w:tblInd w:w="120" w:type="dxa"/>
        <w:tblBorders>
          <w:top w:val="single" w:sz="4" w:space="0" w:color="D5D9DE"/>
          <w:left w:val="single" w:sz="4" w:space="0" w:color="D5D9DE"/>
          <w:bottom w:val="single" w:sz="4" w:space="0" w:color="D5D9DE"/>
          <w:right w:val="single" w:sz="4" w:space="0" w:color="D5D9DE"/>
          <w:insideH w:val="single" w:sz="4" w:space="0" w:color="D5D9DE"/>
          <w:insideV w:val="single" w:sz="4" w:space="0" w:color="D5D9DE"/>
        </w:tblBorders>
      </w:tblPr>
      <w:tblGrid>
        <w:gridCol w:w="2500"/>
        <w:gridCol w:w="1715"/>
        <w:gridCol w:w="1715"/>
        <w:gridCol w:w="1715"/>
        <w:gridCol w:w="1715"/>
      </w:tblGrid>
      <w:tr>
        <w:trPr>
          <w:tblHeader w:val="true"/>
        </w:trPr>
        <w:tc>
          <w:tcPr>
            <w:tcW w:type="dxa" w:w="250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6"/>
              </w:rPr>
              <w:t>Calculated property</w:t>
            </w:r>
          </w:p>
        </w:tc>
        <w:tc>
          <w:tcPr>
            <w:tcW w:type="dxa" w:w="1715"/>
            <w:shd w:fill="E8F3EC"/>
            <w:tcMar>
              <w:top w:w="80" w:type="dxa"/>
              <w:start w:w="120" w:type="dxa"/>
              <w:bottom w:w="80" w:type="dxa"/>
              <w:end w:w="120" w:type="dxa"/>
            </w:tcMar>
            <w:vAlign w:val="center"/>
          </w:tcPr>
          <w:p>
            <w:pPr>
              <w:spacing w:after="0" w:line="252" w:lineRule="auto"/>
              <w:jc w:val="center"/>
            </w:pPr>
            <w:r>
              <w:rPr>
                <w:rFonts w:ascii="Calibri" w:hAnsi="Calibri" w:eastAsia="Calibri"/>
                <w:b/>
                <w:color w:val="0A236F"/>
                <w:sz w:val="16"/>
              </w:rPr>
              <w:t>B0 control</w:t>
            </w:r>
          </w:p>
        </w:tc>
        <w:tc>
          <w:tcPr>
            <w:tcW w:type="dxa" w:w="1715"/>
            <w:shd w:fill="E8F3EC"/>
            <w:tcMar>
              <w:top w:w="80" w:type="dxa"/>
              <w:start w:w="120" w:type="dxa"/>
              <w:bottom w:w="80" w:type="dxa"/>
              <w:end w:w="120" w:type="dxa"/>
            </w:tcMar>
            <w:vAlign w:val="center"/>
          </w:tcPr>
          <w:p>
            <w:pPr>
              <w:spacing w:after="0" w:line="252" w:lineRule="auto"/>
              <w:jc w:val="center"/>
            </w:pPr>
            <w:r>
              <w:rPr>
                <w:rFonts w:ascii="Calibri" w:hAnsi="Calibri" w:eastAsia="Calibri"/>
                <w:b/>
                <w:color w:val="0A236F"/>
                <w:sz w:val="16"/>
              </w:rPr>
              <w:t>B1 transition</w:t>
            </w:r>
          </w:p>
        </w:tc>
        <w:tc>
          <w:tcPr>
            <w:tcW w:type="dxa" w:w="1715"/>
            <w:shd w:fill="E8F3EC"/>
            <w:tcMar>
              <w:top w:w="80" w:type="dxa"/>
              <w:start w:w="120" w:type="dxa"/>
              <w:bottom w:w="80" w:type="dxa"/>
              <w:end w:w="120" w:type="dxa"/>
            </w:tcMar>
            <w:vAlign w:val="center"/>
          </w:tcPr>
          <w:p>
            <w:pPr>
              <w:spacing w:after="0" w:line="252" w:lineRule="auto"/>
              <w:jc w:val="center"/>
            </w:pPr>
            <w:r>
              <w:rPr>
                <w:rFonts w:ascii="Calibri" w:hAnsi="Calibri" w:eastAsia="Calibri"/>
                <w:b/>
                <w:color w:val="0A236F"/>
                <w:sz w:val="16"/>
              </w:rPr>
              <w:t>B2 target</w:t>
            </w:r>
          </w:p>
        </w:tc>
        <w:tc>
          <w:tcPr>
            <w:tcW w:type="dxa" w:w="1715"/>
            <w:shd w:fill="E8F3EC"/>
            <w:tcMar>
              <w:top w:w="80" w:type="dxa"/>
              <w:start w:w="120" w:type="dxa"/>
              <w:bottom w:w="80" w:type="dxa"/>
              <w:end w:w="120" w:type="dxa"/>
            </w:tcMar>
            <w:vAlign w:val="center"/>
          </w:tcPr>
          <w:p>
            <w:pPr>
              <w:spacing w:after="0" w:line="252" w:lineRule="auto"/>
              <w:jc w:val="center"/>
            </w:pPr>
            <w:r>
              <w:rPr>
                <w:rFonts w:ascii="Calibri" w:hAnsi="Calibri" w:eastAsia="Calibri"/>
                <w:b/>
                <w:color w:val="0A236F"/>
                <w:sz w:val="16"/>
              </w:rPr>
              <w:t>B3 manure</w:t>
            </w:r>
          </w:p>
        </w:tc>
      </w:tr>
      <w:tr>
        <w:tc>
          <w:tcPr>
            <w:tcW w:type="dxa" w:w="25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Total solids, t/day</w:t>
            </w:r>
          </w:p>
        </w:tc>
        <w:tc>
          <w:tcPr>
            <w:tcW w:type="dxa" w:w="171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57.20</w:t>
            </w:r>
          </w:p>
        </w:tc>
        <w:tc>
          <w:tcPr>
            <w:tcW w:type="dxa" w:w="171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62.40</w:t>
            </w:r>
          </w:p>
        </w:tc>
        <w:tc>
          <w:tcPr>
            <w:tcW w:type="dxa" w:w="1715"/>
            <w:shd w:fill="F4F8F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66.16</w:t>
            </w:r>
          </w:p>
        </w:tc>
        <w:tc>
          <w:tcPr>
            <w:tcW w:type="dxa" w:w="171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65.66</w:t>
            </w:r>
          </w:p>
        </w:tc>
      </w:tr>
      <w:tr>
        <w:tc>
          <w:tcPr>
            <w:tcW w:type="dxa" w:w="25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Total solids, wt%</w:t>
            </w:r>
          </w:p>
        </w:tc>
        <w:tc>
          <w:tcPr>
            <w:tcW w:type="dxa" w:w="1715"/>
            <w:shd w:fill="FAFBFC"/>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19.07</w:t>
            </w:r>
          </w:p>
        </w:tc>
        <w:tc>
          <w:tcPr>
            <w:tcW w:type="dxa" w:w="1715"/>
            <w:shd w:fill="FAFBFC"/>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20.80</w:t>
            </w:r>
          </w:p>
        </w:tc>
        <w:tc>
          <w:tcPr>
            <w:tcW w:type="dxa" w:w="1715"/>
            <w:shd w:fill="F4F8F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22.05</w:t>
            </w:r>
          </w:p>
        </w:tc>
        <w:tc>
          <w:tcPr>
            <w:tcW w:type="dxa" w:w="1715"/>
            <w:shd w:fill="FAFBFC"/>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21.89</w:t>
            </w:r>
          </w:p>
        </w:tc>
      </w:tr>
      <w:tr>
        <w:tc>
          <w:tcPr>
            <w:tcW w:type="dxa" w:w="25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Feed carbon, t C/day</w:t>
            </w:r>
          </w:p>
        </w:tc>
        <w:tc>
          <w:tcPr>
            <w:tcW w:type="dxa" w:w="171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23.688</w:t>
            </w:r>
          </w:p>
        </w:tc>
        <w:tc>
          <w:tcPr>
            <w:tcW w:type="dxa" w:w="171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25.947</w:t>
            </w:r>
          </w:p>
        </w:tc>
        <w:tc>
          <w:tcPr>
            <w:tcW w:type="dxa" w:w="1715"/>
            <w:shd w:fill="F4F8F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27.864</w:t>
            </w:r>
          </w:p>
        </w:tc>
        <w:tc>
          <w:tcPr>
            <w:tcW w:type="dxa" w:w="171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26.848</w:t>
            </w:r>
          </w:p>
        </w:tc>
      </w:tr>
      <w:tr>
        <w:tc>
          <w:tcPr>
            <w:tcW w:type="dxa" w:w="25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Slurry carbon, wt%</w:t>
            </w:r>
          </w:p>
        </w:tc>
        <w:tc>
          <w:tcPr>
            <w:tcW w:type="dxa" w:w="1715"/>
            <w:shd w:fill="FAFBFC"/>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7.896</w:t>
            </w:r>
          </w:p>
        </w:tc>
        <w:tc>
          <w:tcPr>
            <w:tcW w:type="dxa" w:w="1715"/>
            <w:shd w:fill="FAFBFC"/>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8.649</w:t>
            </w:r>
          </w:p>
        </w:tc>
        <w:tc>
          <w:tcPr>
            <w:tcW w:type="dxa" w:w="1715"/>
            <w:shd w:fill="F4F8F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9.288</w:t>
            </w:r>
          </w:p>
        </w:tc>
        <w:tc>
          <w:tcPr>
            <w:tcW w:type="dxa" w:w="1715"/>
            <w:shd w:fill="FAFBFC"/>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8.949</w:t>
            </w:r>
          </w:p>
        </w:tc>
      </w:tr>
      <w:tr>
        <w:tc>
          <w:tcPr>
            <w:tcW w:type="dxa" w:w="25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Ash + mineral, t/day</w:t>
            </w:r>
          </w:p>
        </w:tc>
        <w:tc>
          <w:tcPr>
            <w:tcW w:type="dxa" w:w="171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8.652</w:t>
            </w:r>
          </w:p>
        </w:tc>
        <w:tc>
          <w:tcPr>
            <w:tcW w:type="dxa" w:w="171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9.147</w:t>
            </w:r>
          </w:p>
        </w:tc>
        <w:tc>
          <w:tcPr>
            <w:tcW w:type="dxa" w:w="1715"/>
            <w:shd w:fill="F4F8F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9.498</w:t>
            </w:r>
          </w:p>
        </w:tc>
        <w:tc>
          <w:tcPr>
            <w:tcW w:type="dxa" w:w="171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11.771</w:t>
            </w:r>
          </w:p>
        </w:tc>
      </w:tr>
      <w:tr>
        <w:tc>
          <w:tcPr>
            <w:tcW w:type="dxa" w:w="25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C/N ratio</w:t>
            </w:r>
          </w:p>
        </w:tc>
        <w:tc>
          <w:tcPr>
            <w:tcW w:type="dxa" w:w="1715"/>
            <w:shd w:fill="FAFBFC"/>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6.82</w:t>
            </w:r>
          </w:p>
        </w:tc>
        <w:tc>
          <w:tcPr>
            <w:tcW w:type="dxa" w:w="1715"/>
            <w:shd w:fill="FAFBFC"/>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10.97</w:t>
            </w:r>
          </w:p>
        </w:tc>
        <w:tc>
          <w:tcPr>
            <w:tcW w:type="dxa" w:w="1715"/>
            <w:shd w:fill="F4F8F5"/>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17.74</w:t>
            </w:r>
          </w:p>
        </w:tc>
        <w:tc>
          <w:tcPr>
            <w:tcW w:type="dxa" w:w="1715"/>
            <w:shd w:fill="FAFBFC"/>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6"/>
              </w:rPr>
              <w:t>13.90</w:t>
            </w:r>
          </w:p>
        </w:tc>
      </w:tr>
    </w:tbl>
    <w:p>
      <w:pPr>
        <w:spacing w:after="0"/>
      </w:pPr>
    </w:p>
    <w:p>
      <w:pPr>
        <w:spacing w:before="120" w:after="0"/>
        <w:jc w:val="center"/>
      </w:pPr>
      <w:r>
        <w:drawing>
          <wp:inline xmlns:a="http://schemas.openxmlformats.org/drawingml/2006/main" xmlns:pic="http://schemas.openxmlformats.org/drawingml/2006/picture">
            <wp:extent cx="5074920" cy="2165299"/>
            <wp:docPr id="4" name="Picture 4" descr="Grouped bars comparing B0 and B2 annual light-olefin production for the five-train base case and the ten-train improved decision envelope."/>
            <wp:cNvGraphicFramePr>
              <a:graphicFrameLocks noChangeAspect="1"/>
            </wp:cNvGraphicFramePr>
            <a:graphic>
              <a:graphicData uri="http://schemas.openxmlformats.org/drawingml/2006/picture">
                <pic:pic>
                  <pic:nvPicPr>
                    <pic:cNvPr id="0" name="cofeed-uplift.png"/>
                    <pic:cNvPicPr/>
                  </pic:nvPicPr>
                  <pic:blipFill>
                    <a:blip r:embed="rId72"/>
                    <a:stretch>
                      <a:fillRect/>
                    </a:stretch>
                  </pic:blipFill>
                  <pic:spPr>
                    <a:xfrm>
                      <a:off x="0" y="0"/>
                      <a:ext cx="5074920" cy="2165299"/>
                    </a:xfrm>
                    <a:prstGeom prst="rect"/>
                  </pic:spPr>
                </pic:pic>
              </a:graphicData>
            </a:graphic>
          </wp:inline>
        </w:drawing>
      </w:r>
    </w:p>
    <w:p>
      <w:pPr>
        <w:pStyle w:val="Caption"/>
        <w:jc w:val="center"/>
      </w:pPr>
      <w:r>
        <w:t>Figure 4. Co-feed production uplift. The ten-train case requires all listed improvement assumptions.</w:t>
      </w:r>
    </w:p>
    <w:p>
      <w:pPr>
        <w:pStyle w:val="Heading2"/>
      </w:pPr>
      <w:r>
        <w:t>Commercial interpretation</w:t>
      </w:r>
    </w:p>
    <w:p>
      <w:pPr>
        <w:pStyle w:val="ListBullet"/>
        <w:spacing w:after="80" w:line="300" w:lineRule="auto"/>
        <w:ind w:left="540" w:hanging="271"/>
      </w:pPr>
      <w:r>
        <w:rPr>
          <w:rFonts w:ascii="Calibri" w:hAnsi="Calibri" w:eastAsia="Calibri"/>
        </w:rPr>
        <w:t xml:space="preserve"> </w:t>
      </w:r>
      <w:r>
        <w:rPr>
          <w:rFonts w:ascii="Calibri" w:hAnsi="Calibri" w:eastAsia="Calibri"/>
          <w:b/>
          <w:color w:val="0A236F"/>
        </w:rPr>
        <w:t>Five trains:</w:t>
      </w:r>
      <w:r>
        <w:rPr>
          <w:rFonts w:ascii="Calibri" w:hAnsi="Calibri" w:eastAsia="Calibri"/>
        </w:rPr>
        <w:t xml:space="preserve"> B2 raises feed carbon by 17.63%, output from 19.33 to 22.74 kt/year, and gross product value by RMB 25.6 million/year at RMB 7,500/t.</w:t>
      </w:r>
    </w:p>
    <w:p>
      <w:pPr>
        <w:pStyle w:val="ListBullet"/>
        <w:spacing w:after="80" w:line="300" w:lineRule="auto"/>
        <w:ind w:left="540" w:hanging="271"/>
      </w:pPr>
      <w:r>
        <w:rPr>
          <w:rFonts w:ascii="Calibri" w:hAnsi="Calibri" w:eastAsia="Calibri"/>
        </w:rPr>
        <w:t xml:space="preserve"> </w:t>
      </w:r>
      <w:r>
        <w:rPr>
          <w:rFonts w:ascii="Calibri" w:hAnsi="Calibri" w:eastAsia="Calibri"/>
        </w:rPr>
        <w:t>After RMB 10–18 million/year incremental OPEX and RMB 30–60 million receiving CAPEX, the 20-year NPV uplift is only RMB 4–102 million; revised NPV remains about −RMB 1.85 to −1.75 billion.</w:t>
      </w:r>
    </w:p>
    <w:p>
      <w:pPr>
        <w:pStyle w:val="ListBullet"/>
        <w:spacing w:after="80" w:line="300" w:lineRule="auto"/>
        <w:ind w:left="540" w:hanging="271"/>
      </w:pPr>
      <w:r>
        <w:rPr>
          <w:rFonts w:ascii="Calibri" w:hAnsi="Calibri" w:eastAsia="Calibri"/>
        </w:rPr>
        <w:t xml:space="preserve"> </w:t>
      </w:r>
      <w:r>
        <w:rPr>
          <w:rFonts w:ascii="Calibri" w:hAnsi="Calibri" w:eastAsia="Calibri"/>
          <w:b/>
          <w:color w:val="0A236F"/>
        </w:rPr>
        <w:t>Ten-train improved envelope:</w:t>
      </w:r>
      <w:r>
        <w:rPr>
          <w:rFonts w:ascii="Calibri" w:hAnsi="Calibri" w:eastAsia="Calibri"/>
        </w:rPr>
        <w:t xml:space="preserve"> 55% carbon efficiency, RMB 7,500/t netback, RMB 250/t weighted gate fee, 15% CAPEX reduction, and 20% energy reduction. B2 reaches 59.55 kt/year and the combined case screens at positive RMB 243–411 million NPV.</w:t>
      </w:r>
    </w:p>
    <w:p>
      <w:pPr>
        <w:pStyle w:val="ListBullet"/>
        <w:spacing w:after="80" w:line="300" w:lineRule="auto"/>
        <w:ind w:left="540" w:hanging="271"/>
      </w:pPr>
      <w:r>
        <w:rPr>
          <w:rFonts w:ascii="Calibri" w:hAnsi="Calibri" w:eastAsia="Calibri"/>
        </w:rPr>
        <w:t xml:space="preserve"> </w:t>
      </w:r>
      <w:r>
        <w:rPr>
          <w:rFonts w:ascii="Calibri" w:hAnsi="Calibri" w:eastAsia="Calibri"/>
          <w:b/>
          <w:color w:val="0A236F"/>
        </w:rPr>
        <w:t>Manure:</w:t>
      </w:r>
      <w:r>
        <w:rPr>
          <w:rFonts w:ascii="Calibri" w:hAnsi="Calibri" w:eastAsia="Calibri"/>
        </w:rPr>
        <w:t xml:space="preserve"> about RMB 163/t is needed just to replace screened lost product value; practical entry threshold is roughly RMB 200–250/t including handling/treatment.</w:t>
      </w:r>
    </w:p>
    <w:p>
      <w:pPr>
        <w:spacing w:before="120" w:after="80" w:line="288" w:lineRule="auto"/>
        <w:ind w:left="173" w:right="115"/>
        <w:shd w:fill="FAF2ED"/>
        <w:keepLines/>
        <w:pBdr>
          <w:left w:val="single" w:sz="18" w:space="8" w:color="A7552A"/>
        </w:pBdr>
      </w:pPr>
      <w:r>
        <w:rPr>
          <w:rFonts w:ascii="Calibri" w:hAnsi="Calibri" w:eastAsia="Calibri"/>
          <w:b/>
          <w:color w:val="A7552A"/>
          <w:sz w:val="18"/>
        </w:rPr>
        <w:t xml:space="preserve">PRESENTER CAUTION  </w:t>
      </w:r>
      <w:r>
        <w:rPr>
          <w:rFonts w:ascii="Calibri" w:hAnsi="Calibri" w:eastAsia="Calibri"/>
          <w:b/>
          <w:color w:val="1F2933"/>
          <w:sz w:val="21"/>
        </w:rPr>
        <w:t>The positive ten-train range is a conditional decision envelope—not a forecast and not evidence that feed blending alone fixes the project.</w:t>
      </w:r>
    </w:p>
    <w:p>
      <w:pPr>
        <w:sectPr>
          <w:headerReference w:type="default" r:id="rId66"/>
          <w:headerReference w:type="even" r:id="rId67"/>
          <w:headerReference w:type="first" r:id="rId68"/>
          <w:footerReference w:type="default" r:id="rId69"/>
          <w:footerReference w:type="even" r:id="rId70"/>
          <w:footerReference w:type="first" r:id="rId71"/>
          <w:pgSz w:w="12240" w:h="15840"/>
          <w:pgMar w:top="0" w:right="1440" w:bottom="1440" w:left="1440" w:header="0" w:footer="708" w:gutter="0"/>
          <w:cols w:space="720"/>
          <w:titlePg/>
          <w:docGrid w:linePitch="360"/>
        </w:sectPr>
      </w:pPr>
    </w:p>
    <w:p>
      <w:pPr>
        <w:pStyle w:val="PacketKicker"/>
        <w:spacing w:before="1080"/>
      </w:pPr>
      <w:r>
        <w:t>10 · Base economics</w:t>
      </w:r>
    </w:p>
    <w:p>
      <w:pPr>
        <w:pStyle w:val="Heading1"/>
      </w:pPr>
      <w:r>
        <w:t>The commodity-olefin case is not financeable</w:t>
      </w:r>
    </w:p>
    <w:tbl>
      <w:tblPr>
        <w:tblW w:type="dxa" w:w="9360"/>
        <w:jc w:val="left"/>
        <w:tblLayout w:type="fixed"/>
        <w:tblLook w:firstColumn="1" w:firstRow="1" w:lastColumn="0" w:lastRow="0" w:noHBand="0" w:noVBand="1" w:val="04A0"/>
        <w:tblInd w:w="12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blGrid>
        <w:gridCol w:w="3120"/>
        <w:gridCol w:w="3120"/>
        <w:gridCol w:w="3120"/>
      </w:tblGrid>
      <w:tr>
        <w:tc>
          <w:tcPr>
            <w:tcW w:type="dxa" w:w="3120"/>
            <w:shd w:fill="F4F8F5"/>
            <w:tcMar>
              <w:top w:w="80" w:type="dxa"/>
              <w:start w:w="120" w:type="dxa"/>
              <w:bottom w:w="80" w:type="dxa"/>
              <w:end w:w="120" w:type="dxa"/>
            </w:tcMar>
            <w:vAlign w:val="center"/>
          </w:tcPr>
          <w:p>
            <w:pPr>
              <w:spacing w:after="40"/>
              <w:jc w:val="center"/>
            </w:pPr>
            <w:r>
              <w:rPr>
                <w:rFonts w:ascii="Calibri" w:hAnsi="Calibri" w:eastAsia="Calibri"/>
                <w:b/>
                <w:color w:val="0A236F"/>
                <w:sz w:val="32"/>
              </w:rPr>
              <w:t>RMB 1.90 bn</w:t>
              <w:br/>
            </w:r>
            <w:r>
              <w:rPr>
                <w:rFonts w:ascii="Calibri" w:hAnsi="Calibri" w:eastAsia="Calibri"/>
                <w:b/>
                <w:color w:val="667085"/>
                <w:sz w:val="17"/>
              </w:rPr>
              <w:t>central CAPEX; Class 4 range 1.4–2.8 bn</w:t>
            </w:r>
          </w:p>
        </w:tc>
        <w:tc>
          <w:tcPr>
            <w:tcW w:type="dxa" w:w="3120"/>
            <w:shd w:fill="F3F5F6"/>
            <w:tcMar>
              <w:top w:w="80" w:type="dxa"/>
              <w:start w:w="120" w:type="dxa"/>
              <w:bottom w:w="80" w:type="dxa"/>
              <w:end w:w="120" w:type="dxa"/>
            </w:tcMar>
            <w:vAlign w:val="center"/>
          </w:tcPr>
          <w:p>
            <w:pPr>
              <w:spacing w:after="40"/>
              <w:jc w:val="center"/>
            </w:pPr>
            <w:r>
              <w:rPr>
                <w:rFonts w:ascii="Calibri" w:hAnsi="Calibri" w:eastAsia="Calibri"/>
                <w:b/>
                <w:color w:val="0A236F"/>
                <w:sz w:val="32"/>
              </w:rPr>
              <w:t>RMB 160.2m/y</w:t>
              <w:br/>
            </w:r>
            <w:r>
              <w:rPr>
                <w:rFonts w:ascii="Calibri" w:hAnsi="Calibri" w:eastAsia="Calibri"/>
                <w:b/>
                <w:color w:val="667085"/>
                <w:sz w:val="17"/>
              </w:rPr>
              <w:t>cash OPEX</w:t>
            </w:r>
          </w:p>
        </w:tc>
        <w:tc>
          <w:tcPr>
            <w:tcW w:type="dxa" w:w="3120"/>
            <w:shd w:fill="F4F8F5"/>
            <w:tcMar>
              <w:top w:w="80" w:type="dxa"/>
              <w:start w:w="120" w:type="dxa"/>
              <w:bottom w:w="80" w:type="dxa"/>
              <w:end w:w="120" w:type="dxa"/>
            </w:tcMar>
            <w:vAlign w:val="center"/>
          </w:tcPr>
          <w:p>
            <w:pPr>
              <w:spacing w:after="40"/>
              <w:jc w:val="center"/>
            </w:pPr>
            <w:r>
              <w:rPr>
                <w:rFonts w:ascii="Calibri" w:hAnsi="Calibri" w:eastAsia="Calibri"/>
                <w:b/>
                <w:color w:val="0A236F"/>
                <w:sz w:val="32"/>
              </w:rPr>
              <w:t>RMB 165.4m/y</w:t>
              <w:br/>
            </w:r>
            <w:r>
              <w:rPr>
                <w:rFonts w:ascii="Calibri" w:hAnsi="Calibri" w:eastAsia="Calibri"/>
                <w:b/>
                <w:color w:val="667085"/>
                <w:sz w:val="17"/>
              </w:rPr>
              <w:t>revenue + conditional credits</w:t>
            </w:r>
          </w:p>
        </w:tc>
      </w:tr>
      <w:tr>
        <w:tc>
          <w:tcPr>
            <w:tcW w:type="dxa" w:w="3120"/>
            <w:shd w:fill="F3F5F6"/>
            <w:tcMar>
              <w:top w:w="80" w:type="dxa"/>
              <w:start w:w="120" w:type="dxa"/>
              <w:bottom w:w="80" w:type="dxa"/>
              <w:end w:w="120" w:type="dxa"/>
            </w:tcMar>
            <w:vAlign w:val="center"/>
          </w:tcPr>
          <w:p>
            <w:pPr>
              <w:spacing w:after="40"/>
              <w:jc w:val="center"/>
            </w:pPr>
            <w:r>
              <w:rPr>
                <w:rFonts w:ascii="Calibri" w:hAnsi="Calibri" w:eastAsia="Calibri"/>
                <w:b/>
                <w:color w:val="0A236F"/>
                <w:sz w:val="32"/>
              </w:rPr>
              <w:t>RMB 5.2m/y</w:t>
              <w:br/>
            </w:r>
            <w:r>
              <w:rPr>
                <w:rFonts w:ascii="Calibri" w:hAnsi="Calibri" w:eastAsia="Calibri"/>
                <w:b/>
                <w:color w:val="667085"/>
                <w:sz w:val="17"/>
              </w:rPr>
              <w:t>EBITDA</w:t>
            </w:r>
          </w:p>
        </w:tc>
        <w:tc>
          <w:tcPr>
            <w:tcW w:type="dxa" w:w="3120"/>
            <w:shd w:fill="F4F8F5"/>
            <w:tcMar>
              <w:top w:w="80" w:type="dxa"/>
              <w:start w:w="120" w:type="dxa"/>
              <w:bottom w:w="80" w:type="dxa"/>
              <w:end w:w="120" w:type="dxa"/>
            </w:tcMar>
            <w:vAlign w:val="center"/>
          </w:tcPr>
          <w:p>
            <w:pPr>
              <w:spacing w:after="40"/>
              <w:jc w:val="center"/>
            </w:pPr>
            <w:r>
              <w:rPr>
                <w:rFonts w:ascii="Calibri" w:hAnsi="Calibri" w:eastAsia="Calibri"/>
                <w:b/>
                <w:color w:val="0A236F"/>
                <w:sz w:val="32"/>
              </w:rPr>
              <w:t>−RMB 1.856 bn</w:t>
              <w:br/>
            </w:r>
            <w:r>
              <w:rPr>
                <w:rFonts w:ascii="Calibri" w:hAnsi="Calibri" w:eastAsia="Calibri"/>
                <w:b/>
                <w:color w:val="667085"/>
                <w:sz w:val="17"/>
              </w:rPr>
              <w:t>pre-tax unlevered NPV</w:t>
            </w:r>
          </w:p>
        </w:tc>
        <w:tc>
          <w:tcPr>
            <w:tcW w:type="dxa" w:w="3120"/>
            <w:shd w:fill="F3F5F6"/>
            <w:tcMar>
              <w:top w:w="80" w:type="dxa"/>
              <w:start w:w="120" w:type="dxa"/>
              <w:bottom w:w="80" w:type="dxa"/>
              <w:end w:w="120" w:type="dxa"/>
            </w:tcMar>
            <w:vAlign w:val="center"/>
          </w:tcPr>
          <w:p>
            <w:pPr>
              <w:spacing w:after="40"/>
              <w:jc w:val="center"/>
            </w:pPr>
            <w:r>
              <w:rPr>
                <w:rFonts w:ascii="Calibri" w:hAnsi="Calibri" w:eastAsia="Calibri"/>
                <w:b/>
                <w:color w:val="0A236F"/>
                <w:sz w:val="32"/>
              </w:rPr>
              <w:t>≈365 years</w:t>
              <w:br/>
            </w:r>
            <w:r>
              <w:rPr>
                <w:rFonts w:ascii="Calibri" w:hAnsi="Calibri" w:eastAsia="Calibri"/>
                <w:b/>
                <w:color w:val="667085"/>
                <w:sz w:val="17"/>
              </w:rPr>
              <w:t>simple payback; no positive IRR</w:t>
            </w:r>
          </w:p>
        </w:tc>
      </w:tr>
    </w:tbl>
    <w:p>
      <w:pPr>
        <w:spacing w:after="0"/>
      </w:pPr>
    </w:p>
    <w:p>
      <w:pPr>
        <w:pStyle w:val="Heading2"/>
      </w:pPr>
      <w:r>
        <w:t>Where the money goes</w:t>
      </w:r>
    </w:p>
    <w:tbl>
      <w:tblPr>
        <w:tblStyle w:val="TableGrid"/>
        <w:tblW w:type="dxa" w:w="9360"/>
        <w:jc w:val="left"/>
        <w:tblLayout w:type="fixed"/>
        <w:tblLook w:firstColumn="1" w:firstRow="1" w:lastColumn="0" w:lastRow="0" w:noHBand="0" w:noVBand="1" w:val="04A0"/>
        <w:tblInd w:w="120" w:type="dxa"/>
        <w:tblBorders>
          <w:top w:val="single" w:sz="4" w:space="0" w:color="D5D9DE"/>
          <w:left w:val="single" w:sz="4" w:space="0" w:color="D5D9DE"/>
          <w:bottom w:val="single" w:sz="4" w:space="0" w:color="D5D9DE"/>
          <w:right w:val="single" w:sz="4" w:space="0" w:color="D5D9DE"/>
          <w:insideH w:val="single" w:sz="4" w:space="0" w:color="D5D9DE"/>
          <w:insideV w:val="single" w:sz="4" w:space="0" w:color="D5D9DE"/>
        </w:tblBorders>
      </w:tblPr>
      <w:tblGrid>
        <w:gridCol w:w="4300"/>
        <w:gridCol w:w="1700"/>
        <w:gridCol w:w="3360"/>
      </w:tblGrid>
      <w:tr>
        <w:trPr>
          <w:tblHeader w:val="true"/>
        </w:trPr>
        <w:tc>
          <w:tcPr>
            <w:tcW w:type="dxa" w:w="430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7"/>
              </w:rPr>
              <w:t>CAPEX area</w:t>
            </w:r>
          </w:p>
        </w:tc>
        <w:tc>
          <w:tcPr>
            <w:tcW w:type="dxa" w:w="1700"/>
            <w:shd w:fill="E8F3EC"/>
            <w:tcMar>
              <w:top w:w="80" w:type="dxa"/>
              <w:start w:w="120" w:type="dxa"/>
              <w:bottom w:w="80" w:type="dxa"/>
              <w:end w:w="120" w:type="dxa"/>
            </w:tcMar>
            <w:vAlign w:val="center"/>
          </w:tcPr>
          <w:p>
            <w:pPr>
              <w:spacing w:after="0" w:line="252" w:lineRule="auto"/>
              <w:jc w:val="center"/>
            </w:pPr>
            <w:r>
              <w:rPr>
                <w:rFonts w:ascii="Calibri" w:hAnsi="Calibri" w:eastAsia="Calibri"/>
                <w:b/>
                <w:color w:val="0A236F"/>
                <w:sz w:val="17"/>
              </w:rPr>
              <w:t>RMB million</w:t>
            </w:r>
          </w:p>
        </w:tc>
        <w:tc>
          <w:tcPr>
            <w:tcW w:type="dxa" w:w="336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7"/>
              </w:rPr>
              <w:t>Share / note</w:t>
            </w:r>
          </w:p>
        </w:tc>
      </w:tr>
      <w:tr>
        <w:tc>
          <w:tcPr>
            <w:tcW w:type="dxa" w:w="43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7"/>
              </w:rPr>
              <w:t>B2 SCWG reactors, heaters, HP pumps</w:t>
            </w:r>
          </w:p>
        </w:tc>
        <w:tc>
          <w:tcPr>
            <w:tcW w:type="dxa" w:w="1700"/>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7"/>
              </w:rPr>
              <w:t>420</w:t>
            </w:r>
          </w:p>
        </w:tc>
        <w:tc>
          <w:tcPr>
            <w:tcW w:type="dxa" w:w="336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Largest process area; 22.1%</w:t>
            </w:r>
          </w:p>
        </w:tc>
      </w:tr>
      <w:tr>
        <w:tc>
          <w:tcPr>
            <w:tcW w:type="dxa" w:w="43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7"/>
              </w:rPr>
              <w:t>B7 OXZEO + recycle/separation</w:t>
            </w:r>
          </w:p>
        </w:tc>
        <w:tc>
          <w:tcPr>
            <w:tcW w:type="dxa" w:w="1700"/>
            <w:shd w:fill="FAFBFC"/>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7"/>
              </w:rPr>
              <w:t>230</w:t>
            </w:r>
          </w:p>
        </w:tc>
        <w:tc>
          <w:tcPr>
            <w:tcW w:type="dxa" w:w="336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12.1%</w:t>
            </w:r>
          </w:p>
        </w:tc>
      </w:tr>
      <w:tr>
        <w:tc>
          <w:tcPr>
            <w:tcW w:type="dxa" w:w="43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7"/>
              </w:rPr>
              <w:t>Utilities/offsites/land/buildings</w:t>
            </w:r>
          </w:p>
        </w:tc>
        <w:tc>
          <w:tcPr>
            <w:tcW w:type="dxa" w:w="1700"/>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7"/>
              </w:rPr>
              <w:t>240</w:t>
            </w:r>
          </w:p>
        </w:tc>
        <w:tc>
          <w:tcPr>
            <w:tcW w:type="dxa" w:w="336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12.6%</w:t>
            </w:r>
          </w:p>
        </w:tc>
      </w:tr>
      <w:tr>
        <w:tc>
          <w:tcPr>
            <w:tcW w:type="dxa" w:w="43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7"/>
              </w:rPr>
              <w:t>B6 bi-reformer + recovery</w:t>
            </w:r>
          </w:p>
        </w:tc>
        <w:tc>
          <w:tcPr>
            <w:tcW w:type="dxa" w:w="1700"/>
            <w:shd w:fill="FAFBFC"/>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7"/>
              </w:rPr>
              <w:t>190</w:t>
            </w:r>
          </w:p>
        </w:tc>
        <w:tc>
          <w:tcPr>
            <w:tcW w:type="dxa" w:w="336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10.0%</w:t>
            </w:r>
          </w:p>
        </w:tc>
      </w:tr>
      <w:tr>
        <w:tc>
          <w:tcPr>
            <w:tcW w:type="dxa" w:w="43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7"/>
              </w:rPr>
              <w:t>B5 Rectisol/ZnO/sulfur</w:t>
            </w:r>
          </w:p>
        </w:tc>
        <w:tc>
          <w:tcPr>
            <w:tcW w:type="dxa" w:w="1700"/>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7"/>
              </w:rPr>
              <w:t>170</w:t>
            </w:r>
          </w:p>
        </w:tc>
        <w:tc>
          <w:tcPr>
            <w:tcW w:type="dxa" w:w="336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8.9%</w:t>
            </w:r>
          </w:p>
        </w:tc>
      </w:tr>
      <w:tr>
        <w:tc>
          <w:tcPr>
            <w:tcW w:type="dxa" w:w="43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7"/>
              </w:rPr>
              <w:t>Other process areas + EPCM + contingency + start-up</w:t>
            </w:r>
          </w:p>
        </w:tc>
        <w:tc>
          <w:tcPr>
            <w:tcW w:type="dxa" w:w="1700"/>
            <w:shd w:fill="FAFBFC"/>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7"/>
              </w:rPr>
              <w:t>650</w:t>
            </w:r>
          </w:p>
        </w:tc>
        <w:tc>
          <w:tcPr>
            <w:tcW w:type="dxa" w:w="336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Remaining scope</w:t>
            </w:r>
          </w:p>
        </w:tc>
      </w:tr>
      <w:tr>
        <w:tc>
          <w:tcPr>
            <w:tcW w:type="dxa" w:w="43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7"/>
              </w:rPr>
              <w:t>Total</w:t>
            </w:r>
          </w:p>
        </w:tc>
        <w:tc>
          <w:tcPr>
            <w:tcW w:type="dxa" w:w="1700"/>
            <w:tcMar>
              <w:top w:w="80" w:type="dxa"/>
              <w:start w:w="120" w:type="dxa"/>
              <w:bottom w:w="80" w:type="dxa"/>
              <w:end w:w="120" w:type="dxa"/>
            </w:tcMar>
            <w:vAlign w:val="center"/>
          </w:tcPr>
          <w:p>
            <w:pPr>
              <w:spacing w:after="0" w:line="269" w:lineRule="auto"/>
              <w:jc w:val="center"/>
            </w:pPr>
            <w:r>
              <w:rPr>
                <w:rFonts w:ascii="Calibri" w:hAnsi="Calibri" w:eastAsia="Calibri"/>
                <w:b w:val="0"/>
                <w:color w:val="1F2933"/>
                <w:sz w:val="17"/>
              </w:rPr>
              <w:t>1,900</w:t>
            </w:r>
          </w:p>
        </w:tc>
        <w:tc>
          <w:tcPr>
            <w:tcW w:type="dxa" w:w="336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7"/>
              </w:rPr>
              <w:t>Class 4 screening estimate</w:t>
            </w:r>
          </w:p>
        </w:tc>
      </w:tr>
    </w:tbl>
    <w:p>
      <w:pPr>
        <w:spacing w:after="0"/>
      </w:pPr>
    </w:p>
    <w:p>
      <w:pPr>
        <w:spacing w:after="120"/>
      </w:pPr>
      <w:r>
        <w:rPr>
          <w:rFonts w:ascii="Calibri" w:hAnsi="Calibri" w:eastAsia="Calibri"/>
          <w:i w:val="0"/>
        </w:rPr>
        <w:t>OPEX is led by maintenance/turnarounds (RMB 46.5m/y), electricity (24.0), labour/support (22.0), purchased heat/gas (21.7), logistics (15.0), chemicals/catalysts (13.0), administration/certification (10.0), and water/waste handling (8.0).</w:t>
      </w:r>
    </w:p>
    <w:p>
      <w:pPr>
        <w:pStyle w:val="Heading2"/>
      </w:pPr>
      <w:r>
        <w:t>Why the methanol comparison is misleading</w:t>
      </w:r>
    </w:p>
    <w:p>
      <w:pPr>
        <w:spacing w:after="120"/>
      </w:pPr>
      <w:r>
        <w:rPr>
          <w:rFonts w:ascii="Calibri" w:hAnsi="Calibri" w:eastAsia="Calibri"/>
          <w:i w:val="0"/>
        </w:rPr>
        <w:t>The owner’s RMB 1.5 billion, 300 kt/year methanol benchmark is an order-of-magnitude anchor, not a scale factor. This concept handles dilute wet waste through five high-pressure trains and adds salt, mineral, Rectisol, reformer, and OXZEO systems. Much of the capital is sized by waste throughput rather than product output, producing an intensity near RMB 98,000 per annual tonne of olefins.</w:t>
      </w:r>
    </w:p>
    <w:p>
      <w:pPr>
        <w:keepLines/>
        <w:spacing w:before="40" w:after="0"/>
      </w:pPr>
      <w:r>
        <w:rPr>
          <w:rFonts w:ascii="Calibri" w:hAnsi="Calibri" w:eastAsia="Calibri"/>
          <w:b/>
          <w:color w:val="667085"/>
          <w:sz w:val="16"/>
        </w:rPr>
        <w:t xml:space="preserve">Source basis: </w:t>
      </w:r>
      <w:r>
        <w:rPr>
          <w:rFonts w:ascii="Calibri" w:hAnsi="Calibri" w:eastAsia="Calibri"/>
          <w:i/>
          <w:color w:val="667085"/>
          <w:sz w:val="16"/>
        </w:rPr>
        <w:t>§§9.1–9.7 and 9.11; Appendix B.</w:t>
      </w:r>
    </w:p>
    <w:p>
      <w:pPr>
        <w:sectPr>
          <w:headerReference w:type="default" r:id="rId73"/>
          <w:headerReference w:type="even" r:id="rId74"/>
          <w:headerReference w:type="first" r:id="rId75"/>
          <w:footerReference w:type="default" r:id="rId76"/>
          <w:footerReference w:type="even" r:id="rId77"/>
          <w:footerReference w:type="first" r:id="rId78"/>
          <w:pgSz w:w="12240" w:h="15840"/>
          <w:pgMar w:top="0" w:right="1440" w:bottom="1440" w:left="1440" w:header="0" w:footer="708" w:gutter="0"/>
          <w:cols w:space="720"/>
          <w:titlePg/>
          <w:docGrid w:linePitch="360"/>
        </w:sectPr>
      </w:pPr>
    </w:p>
    <w:p>
      <w:pPr>
        <w:pStyle w:val="PacketKicker"/>
        <w:spacing w:before="1080"/>
      </w:pPr>
      <w:r>
        <w:t>11 · What could change the economic answer</w:t>
      </w:r>
    </w:p>
    <w:p>
      <w:pPr>
        <w:pStyle w:val="Heading1"/>
      </w:pPr>
      <w:r>
        <w:t>The project must be sold as a contracted circular-economy service</w:t>
      </w:r>
    </w:p>
    <w:tbl>
      <w:tblPr>
        <w:tblStyle w:val="TableGrid"/>
        <w:tblW w:type="dxa" w:w="9360"/>
        <w:jc w:val="left"/>
        <w:tblLayout w:type="fixed"/>
        <w:tblLook w:firstColumn="1" w:firstRow="1" w:lastColumn="0" w:lastRow="0" w:noHBand="0" w:noVBand="1" w:val="04A0"/>
        <w:tblInd w:w="120" w:type="dxa"/>
        <w:tblBorders>
          <w:top w:val="single" w:sz="4" w:space="0" w:color="D5D9DE"/>
          <w:left w:val="single" w:sz="4" w:space="0" w:color="D5D9DE"/>
          <w:bottom w:val="single" w:sz="4" w:space="0" w:color="D5D9DE"/>
          <w:right w:val="single" w:sz="4" w:space="0" w:color="D5D9DE"/>
          <w:insideH w:val="single" w:sz="4" w:space="0" w:color="D5D9DE"/>
          <w:insideV w:val="single" w:sz="4" w:space="0" w:color="D5D9DE"/>
        </w:tblBorders>
      </w:tblPr>
      <w:tblGrid>
        <w:gridCol w:w="1900"/>
        <w:gridCol w:w="2300"/>
        <w:gridCol w:w="5160"/>
      </w:tblGrid>
      <w:tr>
        <w:trPr>
          <w:tblHeader w:val="true"/>
        </w:trPr>
        <w:tc>
          <w:tcPr>
            <w:tcW w:type="dxa" w:w="190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6"/>
              </w:rPr>
              <w:t>Lever</w:t>
            </w:r>
          </w:p>
        </w:tc>
        <w:tc>
          <w:tcPr>
            <w:tcW w:type="dxa" w:w="230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6"/>
              </w:rPr>
              <w:t>Base treatment</w:t>
            </w:r>
          </w:p>
        </w:tc>
        <w:tc>
          <w:tcPr>
            <w:tcW w:type="dxa" w:w="516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6"/>
              </w:rPr>
              <w:t>What would need to change</w:t>
            </w:r>
          </w:p>
        </w:tc>
      </w:tr>
      <w:tr>
        <w:tc>
          <w:tcPr>
            <w:tcW w:type="dxa" w:w="19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Waste gate fees</w:t>
            </w:r>
          </w:p>
        </w:tc>
        <w:tc>
          <w:tcPr>
            <w:tcW w:type="dxa" w:w="23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≈RMB 70/t weighted; contractual</w:t>
            </w:r>
          </w:p>
        </w:tc>
        <w:tc>
          <w:tcPr>
            <w:tcW w:type="dxa" w:w="516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Largest controllable cash driver; NPV-zero all-in average ≈RMB 565/t without other improvements</w:t>
            </w:r>
          </w:p>
        </w:tc>
      </w:tr>
      <w:tr>
        <w:tc>
          <w:tcPr>
            <w:tcW w:type="dxa" w:w="19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Olefin netback</w:t>
            </w:r>
          </w:p>
        </w:tc>
        <w:tc>
          <w:tcPr>
            <w:tcW w:type="dxa" w:w="230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RMB 6,800/t</w:t>
            </w:r>
          </w:p>
        </w:tc>
        <w:tc>
          <w:tcPr>
            <w:tcW w:type="dxa" w:w="516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Even RMB 8,500/t adds only ≈RMB 33m/year—insufficient alone</w:t>
            </w:r>
          </w:p>
        </w:tc>
      </w:tr>
      <w:tr>
        <w:tc>
          <w:tcPr>
            <w:tcW w:type="dxa" w:w="19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Capital</w:t>
            </w:r>
          </w:p>
        </w:tc>
        <w:tc>
          <w:tcPr>
            <w:tcW w:type="dxa" w:w="23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RMB 1.90bn</w:t>
            </w:r>
          </w:p>
        </w:tc>
        <w:tc>
          <w:tcPr>
            <w:tcW w:type="dxa" w:w="516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Vendor design, modularisation, standard packages, or simpler route must reduce capital materially</w:t>
            </w:r>
          </w:p>
        </w:tc>
      </w:tr>
      <w:tr>
        <w:tc>
          <w:tcPr>
            <w:tcW w:type="dxa" w:w="19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Energy</w:t>
            </w:r>
          </w:p>
        </w:tc>
        <w:tc>
          <w:tcPr>
            <w:tcW w:type="dxa" w:w="230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China utility basis</w:t>
            </w:r>
          </w:p>
        </w:tc>
        <w:tc>
          <w:tcPr>
            <w:tcW w:type="dxa" w:w="516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20% reduction is part of the improved envelope, not yet achieved</w:t>
            </w:r>
          </w:p>
        </w:tc>
      </w:tr>
      <w:tr>
        <w:tc>
          <w:tcPr>
            <w:tcW w:type="dxa" w:w="19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Availability</w:t>
            </w:r>
          </w:p>
        </w:tc>
        <w:tc>
          <w:tcPr>
            <w:tcW w:type="dxa" w:w="23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≈91.3%</w:t>
            </w:r>
          </w:p>
        </w:tc>
        <w:tc>
          <w:tcPr>
            <w:tcW w:type="dxa" w:w="516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Must be demonstrated through salt, slurry, materials, and catalyst reliability</w:t>
            </w:r>
          </w:p>
        </w:tc>
      </w:tr>
      <w:tr>
        <w:tc>
          <w:tcPr>
            <w:tcW w:type="dxa" w:w="19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Certified premium</w:t>
            </w:r>
          </w:p>
        </w:tc>
        <w:tc>
          <w:tcPr>
            <w:tcW w:type="dxa" w:w="230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Zero credited</w:t>
            </w:r>
          </w:p>
        </w:tc>
        <w:tc>
          <w:tcPr>
            <w:tcW w:type="dxa" w:w="516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Requires ISCC PLUS evidence and binding premium offtake</w:t>
            </w:r>
          </w:p>
        </w:tc>
      </w:tr>
      <w:tr>
        <w:tc>
          <w:tcPr>
            <w:tcW w:type="dxa" w:w="19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Residue / fertilizer products</w:t>
            </w:r>
          </w:p>
        </w:tc>
        <w:tc>
          <w:tcPr>
            <w:tcW w:type="dxa" w:w="23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Low conditional value</w:t>
            </w:r>
          </w:p>
        </w:tc>
        <w:tc>
          <w:tcPr>
            <w:tcW w:type="dxa" w:w="516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Independent qualification, registration, and customer trials</w:t>
            </w:r>
          </w:p>
        </w:tc>
      </w:tr>
      <w:tr>
        <w:tc>
          <w:tcPr>
            <w:tcW w:type="dxa" w:w="19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Carbon credit</w:t>
            </w:r>
          </w:p>
        </w:tc>
        <w:tc>
          <w:tcPr>
            <w:tcW w:type="dxa" w:w="230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Zero</w:t>
            </w:r>
          </w:p>
        </w:tc>
        <w:tc>
          <w:tcPr>
            <w:tcW w:type="dxa" w:w="516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Approved methodology, additionality, registration, verified reductions, and title</w:t>
            </w:r>
          </w:p>
        </w:tc>
      </w:tr>
      <w:tr>
        <w:tc>
          <w:tcPr>
            <w:tcW w:type="dxa" w:w="19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Scandium</w:t>
            </w:r>
          </w:p>
        </w:tc>
        <w:tc>
          <w:tcPr>
            <w:tcW w:type="dxa" w:w="23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Zero</w:t>
            </w:r>
          </w:p>
        </w:tc>
        <w:tc>
          <w:tcPr>
            <w:tcW w:type="dxa" w:w="516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Assay, recovery, reagents, impurity penalties, and offtake</w:t>
            </w:r>
          </w:p>
        </w:tc>
      </w:tr>
    </w:tbl>
    <w:p>
      <w:pPr>
        <w:spacing w:after="0"/>
      </w:pPr>
    </w:p>
    <w:p>
      <w:pPr>
        <w:pStyle w:val="Heading2"/>
      </w:pPr>
      <w:r>
        <w:t>Strategic alternatives</w:t>
      </w:r>
    </w:p>
    <w:p>
      <w:pPr>
        <w:pStyle w:val="ListBullet"/>
        <w:spacing w:after="80" w:line="300" w:lineRule="auto"/>
        <w:ind w:left="540" w:hanging="271"/>
      </w:pPr>
      <w:r>
        <w:rPr>
          <w:rFonts w:ascii="Calibri" w:hAnsi="Calibri" w:eastAsia="Calibri"/>
        </w:rPr>
        <w:t xml:space="preserve"> </w:t>
      </w:r>
      <w:r>
        <w:rPr>
          <w:rFonts w:ascii="Calibri" w:hAnsi="Calibri" w:eastAsia="Calibri"/>
        </w:rPr>
        <w:t>Keep the SCWG waste-treatment front end but select a simpler downstream product such as methanol or renewable methane.</w:t>
      </w:r>
    </w:p>
    <w:p>
      <w:pPr>
        <w:pStyle w:val="ListBullet"/>
        <w:spacing w:after="80" w:line="300" w:lineRule="auto"/>
        <w:ind w:left="540" w:hanging="271"/>
      </w:pPr>
      <w:r>
        <w:rPr>
          <w:rFonts w:ascii="Calibri" w:hAnsi="Calibri" w:eastAsia="Calibri"/>
        </w:rPr>
        <w:t xml:space="preserve"> </w:t>
      </w:r>
      <w:r>
        <w:rPr>
          <w:rFonts w:ascii="Calibri" w:hAnsi="Calibri" w:eastAsia="Calibri"/>
        </w:rPr>
        <w:t>Increase scale only after reliability and feed contracting are proven; scale magnifies common-mode failures if salt or slurry systems are unresolved.</w:t>
      </w:r>
    </w:p>
    <w:p>
      <w:pPr>
        <w:pStyle w:val="ListBullet"/>
        <w:spacing w:after="80" w:line="300" w:lineRule="auto"/>
        <w:ind w:left="540" w:hanging="271"/>
      </w:pPr>
      <w:r>
        <w:rPr>
          <w:rFonts w:ascii="Calibri" w:hAnsi="Calibri" w:eastAsia="Calibri"/>
        </w:rPr>
        <w:t xml:space="preserve"> </w:t>
      </w:r>
      <w:r>
        <w:rPr>
          <w:rFonts w:ascii="Calibri" w:hAnsi="Calibri" w:eastAsia="Calibri"/>
        </w:rPr>
        <w:t>Secure treatment-service contracts and offtake before commercial FEED; do not use speculative premiums to close the model.</w:t>
      </w:r>
    </w:p>
    <w:p>
      <w:pPr>
        <w:spacing w:before="120" w:after="80" w:line="288" w:lineRule="auto"/>
        <w:ind w:left="173" w:right="115"/>
        <w:shd w:fill="F4F8F5"/>
        <w:keepLines/>
        <w:pBdr>
          <w:left w:val="single" w:sz="18" w:space="8" w:color="0B6B3A"/>
        </w:pBdr>
      </w:pPr>
      <w:r>
        <w:rPr>
          <w:rFonts w:ascii="Calibri" w:hAnsi="Calibri" w:eastAsia="Calibri"/>
          <w:b/>
          <w:color w:val="0B6B3A"/>
          <w:sz w:val="18"/>
        </w:rPr>
        <w:t xml:space="preserve">COMMERCIAL MESSAGE  </w:t>
      </w:r>
      <w:r>
        <w:rPr>
          <w:rFonts w:ascii="Calibri" w:hAnsi="Calibri" w:eastAsia="Calibri"/>
          <w:color w:val="1F2933"/>
          <w:sz w:val="21"/>
        </w:rPr>
        <w:t>The project’s value proposition is avoided waste cost plus certified circular products. Commodity olefin revenue alone cannot carry the capital.</w:t>
      </w:r>
    </w:p>
    <w:p>
      <w:pPr>
        <w:keepLines/>
        <w:spacing w:before="40" w:after="0"/>
      </w:pPr>
      <w:r>
        <w:rPr>
          <w:rFonts w:ascii="Calibri" w:hAnsi="Calibri" w:eastAsia="Calibri"/>
          <w:b/>
          <w:color w:val="667085"/>
          <w:sz w:val="16"/>
        </w:rPr>
        <w:t xml:space="preserve">Source basis: </w:t>
      </w:r>
      <w:r>
        <w:rPr>
          <w:rFonts w:ascii="Calibri" w:hAnsi="Calibri" w:eastAsia="Calibri"/>
          <w:i/>
          <w:color w:val="667085"/>
          <w:sz w:val="16"/>
        </w:rPr>
        <w:t>§§9.8–9.11 and §10.4.</w:t>
      </w:r>
    </w:p>
    <w:p>
      <w:pPr>
        <w:sectPr>
          <w:headerReference w:type="default" r:id="rId79"/>
          <w:headerReference w:type="even" r:id="rId80"/>
          <w:headerReference w:type="first" r:id="rId81"/>
          <w:footerReference w:type="default" r:id="rId82"/>
          <w:footerReference w:type="even" r:id="rId83"/>
          <w:footerReference w:type="first" r:id="rId84"/>
          <w:pgSz w:w="12240" w:h="15840"/>
          <w:pgMar w:top="0" w:right="1440" w:bottom="1440" w:left="1440" w:header="0" w:footer="708" w:gutter="0"/>
          <w:cols w:space="720"/>
          <w:titlePg/>
          <w:docGrid w:linePitch="360"/>
        </w:sectPr>
      </w:pPr>
    </w:p>
    <w:p>
      <w:pPr>
        <w:pStyle w:val="PacketKicker"/>
        <w:spacing w:before="1080"/>
      </w:pPr>
      <w:r>
        <w:t>12 · Product slate</w:t>
      </w:r>
    </w:p>
    <w:p>
      <w:pPr>
        <w:pStyle w:val="Heading1"/>
      </w:pPr>
      <w:r>
        <w:t>Every co-product has a qualification gate</w:t>
      </w:r>
    </w:p>
    <w:tbl>
      <w:tblPr>
        <w:tblStyle w:val="TableGrid"/>
        <w:tblW w:type="dxa" w:w="9360"/>
        <w:jc w:val="left"/>
        <w:tblLayout w:type="fixed"/>
        <w:tblLook w:firstColumn="1" w:firstRow="1" w:lastColumn="0" w:lastRow="0" w:noHBand="0" w:noVBand="1" w:val="04A0"/>
        <w:tblInd w:w="120" w:type="dxa"/>
        <w:tblBorders>
          <w:top w:val="single" w:sz="4" w:space="0" w:color="D5D9DE"/>
          <w:left w:val="single" w:sz="4" w:space="0" w:color="D5D9DE"/>
          <w:bottom w:val="single" w:sz="4" w:space="0" w:color="D5D9DE"/>
          <w:right w:val="single" w:sz="4" w:space="0" w:color="D5D9DE"/>
          <w:insideH w:val="single" w:sz="4" w:space="0" w:color="D5D9DE"/>
          <w:insideV w:val="single" w:sz="4" w:space="0" w:color="D5D9DE"/>
        </w:tblBorders>
      </w:tblPr>
      <w:tblGrid>
        <w:gridCol w:w="2100"/>
        <w:gridCol w:w="2600"/>
        <w:gridCol w:w="4660"/>
      </w:tblGrid>
      <w:tr>
        <w:trPr>
          <w:tblHeader w:val="true"/>
        </w:trPr>
        <w:tc>
          <w:tcPr>
            <w:tcW w:type="dxa" w:w="210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6"/>
              </w:rPr>
              <w:t>Output</w:t>
            </w:r>
          </w:p>
        </w:tc>
        <w:tc>
          <w:tcPr>
            <w:tcW w:type="dxa" w:w="260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6"/>
              </w:rPr>
              <w:t>Screening role</w:t>
            </w:r>
          </w:p>
        </w:tc>
        <w:tc>
          <w:tcPr>
            <w:tcW w:type="dxa" w:w="466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6"/>
              </w:rPr>
              <w:t>Qualification before sale or claim</w:t>
            </w:r>
          </w:p>
        </w:tc>
      </w:tr>
      <w:tr>
        <w:tc>
          <w:tcPr>
            <w:tcW w:type="dxa" w:w="21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Light C₂–C₄ olefins</w:t>
            </w:r>
          </w:p>
        </w:tc>
        <w:tc>
          <w:tcPr>
            <w:tcW w:type="dxa" w:w="26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Primary product; ≈19.33 kt/year base</w:t>
            </w:r>
          </w:p>
        </w:tc>
        <w:tc>
          <w:tcPr>
            <w:tcW w:type="dxa" w:w="466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Measured composition/yield, catalyst life, certification, binding offtake</w:t>
            </w:r>
          </w:p>
        </w:tc>
      </w:tr>
      <w:tr>
        <w:tc>
          <w:tcPr>
            <w:tcW w:type="dxa" w:w="21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Recovered salt concentrate</w:t>
            </w:r>
          </w:p>
        </w:tc>
        <w:tc>
          <w:tcPr>
            <w:tcW w:type="dxa" w:w="260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Purposeful B3 product and dealkalization stream</w:t>
            </w:r>
          </w:p>
        </w:tc>
        <w:tc>
          <w:tcPr>
            <w:tcW w:type="dxa" w:w="466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Composition, chloride/metals, use specification, disposal fallback</w:t>
            </w:r>
          </w:p>
        </w:tc>
      </w:tr>
      <w:tr>
        <w:tc>
          <w:tcPr>
            <w:tcW w:type="dxa" w:w="21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Elemental sulfur</w:t>
            </w:r>
          </w:p>
        </w:tc>
        <w:tc>
          <w:tcPr>
            <w:tcW w:type="dxa" w:w="26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Minor product after Rectisol/liquid redox</w:t>
            </w:r>
          </w:p>
        </w:tc>
        <w:tc>
          <w:tcPr>
            <w:tcW w:type="dxa" w:w="466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Purity, handling, market acceptance</w:t>
            </w:r>
          </w:p>
        </w:tc>
      </w:tr>
      <w:tr>
        <w:tc>
          <w:tcPr>
            <w:tcW w:type="dxa" w:w="21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N-K-P-S concentrate</w:t>
            </w:r>
          </w:p>
        </w:tc>
        <w:tc>
          <w:tcPr>
            <w:tcW w:type="dxa" w:w="260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Potential low-value nutrient product</w:t>
            </w:r>
          </w:p>
        </w:tc>
        <w:tc>
          <w:tcPr>
            <w:tcW w:type="dxa" w:w="466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Nutrient assay, Cl/metals/pathogens/organics, fertilizer registration</w:t>
            </w:r>
          </w:p>
        </w:tc>
      </w:tr>
      <w:tr>
        <w:tc>
          <w:tcPr>
            <w:tcW w:type="dxa" w:w="21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Conditioned mineral residue</w:t>
            </w:r>
          </w:p>
        </w:tc>
        <w:tc>
          <w:tcPr>
            <w:tcW w:type="dxa" w:w="26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Potential sorbent/cementitious product</w:t>
            </w:r>
          </w:p>
        </w:tc>
        <w:tc>
          <w:tcPr>
            <w:tcW w:type="dxa" w:w="466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Na/leach, trace metals, mineralogy, strength or SO₂ performance, customer trial</w:t>
            </w:r>
          </w:p>
        </w:tc>
      </w:tr>
      <w:tr>
        <w:tc>
          <w:tcPr>
            <w:tcW w:type="dxa" w:w="21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CO₂ stream</w:t>
            </w:r>
          </w:p>
        </w:tc>
        <w:tc>
          <w:tcPr>
            <w:tcW w:type="dxa" w:w="260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Purge or potential export</w:t>
            </w:r>
          </w:p>
        </w:tc>
        <w:tc>
          <w:tcPr>
            <w:tcW w:type="dxa" w:w="466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Purity, compression, use/storage route, carbon-accounting treatment</w:t>
            </w:r>
          </w:p>
        </w:tc>
      </w:tr>
      <w:tr>
        <w:tc>
          <w:tcPr>
            <w:tcW w:type="dxa" w:w="21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Recycle water</w:t>
            </w:r>
          </w:p>
        </w:tc>
        <w:tc>
          <w:tcPr>
            <w:tcW w:type="dxa" w:w="26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Internal recovery</w:t>
            </w:r>
          </w:p>
        </w:tc>
        <w:tc>
          <w:tcPr>
            <w:tcW w:type="dxa" w:w="466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Cl, refractory TOC, corrosion/fouling limits</w:t>
            </w:r>
          </w:p>
        </w:tc>
      </w:tr>
      <w:tr>
        <w:tc>
          <w:tcPr>
            <w:tcW w:type="dxa" w:w="21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Scandium / iron concentrate</w:t>
            </w:r>
          </w:p>
        </w:tc>
        <w:tc>
          <w:tcPr>
            <w:tcW w:type="dxa" w:w="260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Upside only</w:t>
            </w:r>
          </w:p>
        </w:tc>
        <w:tc>
          <w:tcPr>
            <w:tcW w:type="dxa" w:w="466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No base value; assay and recovery campaign required</w:t>
            </w:r>
          </w:p>
        </w:tc>
      </w:tr>
    </w:tbl>
    <w:p>
      <w:pPr>
        <w:spacing w:after="0"/>
      </w:pPr>
    </w:p>
    <w:p>
      <w:pPr>
        <w:pStyle w:val="Heading2"/>
      </w:pPr>
      <w:r>
        <w:t>Contaminant destinations to remember</w:t>
      </w:r>
    </w:p>
    <w:p>
      <w:pPr>
        <w:pStyle w:val="ListBullet"/>
        <w:spacing w:after="80" w:line="300" w:lineRule="auto"/>
        <w:ind w:left="540" w:hanging="271"/>
      </w:pPr>
      <w:r>
        <w:rPr>
          <w:rFonts w:ascii="Calibri" w:hAnsi="Calibri" w:eastAsia="Calibri"/>
        </w:rPr>
        <w:t xml:space="preserve"> </w:t>
      </w:r>
      <w:r>
        <w:rPr>
          <w:rFonts w:ascii="Calibri" w:hAnsi="Calibri" w:eastAsia="Calibri"/>
        </w:rPr>
        <w:t>Nitrogen: ammonia/ammonium in water and trace N₂; affects treatment and nutrient concentrate.</w:t>
      </w:r>
    </w:p>
    <w:p>
      <w:pPr>
        <w:pStyle w:val="ListBullet"/>
        <w:spacing w:after="80" w:line="300" w:lineRule="auto"/>
        <w:ind w:left="540" w:hanging="271"/>
      </w:pPr>
      <w:r>
        <w:rPr>
          <w:rFonts w:ascii="Calibri" w:hAnsi="Calibri" w:eastAsia="Calibri"/>
        </w:rPr>
        <w:t xml:space="preserve"> </w:t>
      </w:r>
      <w:r>
        <w:rPr>
          <w:rFonts w:ascii="Calibri" w:hAnsi="Calibri" w:eastAsia="Calibri"/>
        </w:rPr>
        <w:t>Sulfur: H₂S/COS in gas; Rectisol + ZnO protects reformer/OXZEO; recovered through liquid redox.</w:t>
      </w:r>
    </w:p>
    <w:p>
      <w:pPr>
        <w:pStyle w:val="ListBullet"/>
        <w:spacing w:after="80" w:line="300" w:lineRule="auto"/>
        <w:ind w:left="540" w:hanging="271"/>
      </w:pPr>
      <w:r>
        <w:rPr>
          <w:rFonts w:ascii="Calibri" w:hAnsi="Calibri" w:eastAsia="Calibri"/>
        </w:rPr>
        <w:t xml:space="preserve"> </w:t>
      </w:r>
      <w:r>
        <w:rPr>
          <w:rFonts w:ascii="Calibri" w:hAnsi="Calibri" w:eastAsia="Calibri"/>
        </w:rPr>
        <w:t>Sodium/potassium: deliberately shifted toward B3 salt concentrate; residual inventory controls R1 recycle.</w:t>
      </w:r>
    </w:p>
    <w:p>
      <w:pPr>
        <w:pStyle w:val="ListBullet"/>
        <w:spacing w:after="80" w:line="300" w:lineRule="auto"/>
        <w:ind w:left="540" w:hanging="271"/>
      </w:pPr>
      <w:r>
        <w:rPr>
          <w:rFonts w:ascii="Calibri" w:hAnsi="Calibri" w:eastAsia="Calibri"/>
        </w:rPr>
        <w:t xml:space="preserve"> </w:t>
      </w:r>
      <w:r>
        <w:rPr>
          <w:rFonts w:ascii="Calibri" w:hAnsi="Calibri" w:eastAsia="Calibri"/>
        </w:rPr>
        <w:t>Chloride: corrosion and recycle-water constraint; source-specific alloy limit rather than one assumed universal number.</w:t>
      </w:r>
    </w:p>
    <w:p>
      <w:pPr>
        <w:pStyle w:val="ListBullet"/>
        <w:spacing w:after="80" w:line="300" w:lineRule="auto"/>
        <w:ind w:left="540" w:hanging="271"/>
      </w:pPr>
      <w:r>
        <w:rPr>
          <w:rFonts w:ascii="Calibri" w:hAnsi="Calibri" w:eastAsia="Calibri"/>
        </w:rPr>
        <w:t xml:space="preserve"> </w:t>
      </w:r>
      <w:r>
        <w:rPr>
          <w:rFonts w:ascii="Calibri" w:hAnsi="Calibri" w:eastAsia="Calibri"/>
        </w:rPr>
        <w:t>Metals: may concentrate in solids and foreclose product routes; feed acceptance and hold/release testing are required.</w:t>
      </w:r>
    </w:p>
    <w:p>
      <w:pPr>
        <w:keepLines/>
        <w:spacing w:before="40" w:after="0"/>
      </w:pPr>
      <w:r>
        <w:rPr>
          <w:rFonts w:ascii="Calibri" w:hAnsi="Calibri" w:eastAsia="Calibri"/>
          <w:b/>
          <w:color w:val="667085"/>
          <w:sz w:val="16"/>
        </w:rPr>
        <w:t xml:space="preserve">Source basis: </w:t>
      </w:r>
      <w:r>
        <w:rPr>
          <w:rFonts w:ascii="Calibri" w:hAnsi="Calibri" w:eastAsia="Calibri"/>
          <w:i/>
          <w:color w:val="667085"/>
          <w:sz w:val="16"/>
        </w:rPr>
        <w:t>§§2.6–2.7; §§7.1 and 8.5; Tables 8.1–8.2.</w:t>
      </w:r>
    </w:p>
    <w:p>
      <w:pPr>
        <w:sectPr>
          <w:headerReference w:type="default" r:id="rId85"/>
          <w:headerReference w:type="even" r:id="rId86"/>
          <w:headerReference w:type="first" r:id="rId87"/>
          <w:footerReference w:type="default" r:id="rId88"/>
          <w:footerReference w:type="even" r:id="rId89"/>
          <w:footerReference w:type="first" r:id="rId90"/>
          <w:pgSz w:w="12240" w:h="15840"/>
          <w:pgMar w:top="0" w:right="1440" w:bottom="1440" w:left="1440" w:header="0" w:footer="708" w:gutter="0"/>
          <w:cols w:space="720"/>
          <w:titlePg/>
          <w:docGrid w:linePitch="360"/>
        </w:sectPr>
      </w:pPr>
    </w:p>
    <w:p>
      <w:pPr>
        <w:pStyle w:val="PacketKicker"/>
        <w:spacing w:before="1080"/>
      </w:pPr>
      <w:r>
        <w:t>13 · Environmental and certification architecture</w:t>
      </w:r>
    </w:p>
    <w:p>
      <w:pPr>
        <w:pStyle w:val="Heading1"/>
      </w:pPr>
      <w:r>
        <w:t>Circularity claims require separate evidence chains</w:t>
      </w:r>
    </w:p>
    <w:tbl>
      <w:tblPr>
        <w:tblStyle w:val="TableGrid"/>
        <w:tblW w:type="dxa" w:w="9360"/>
        <w:jc w:val="left"/>
        <w:tblLayout w:type="fixed"/>
        <w:tblLook w:firstColumn="1" w:firstRow="1" w:lastColumn="0" w:lastRow="0" w:noHBand="0" w:noVBand="1" w:val="04A0"/>
        <w:tblInd w:w="120" w:type="dxa"/>
        <w:tblBorders>
          <w:top w:val="single" w:sz="4" w:space="0" w:color="D5D9DE"/>
          <w:left w:val="single" w:sz="4" w:space="0" w:color="D5D9DE"/>
          <w:bottom w:val="single" w:sz="4" w:space="0" w:color="D5D9DE"/>
          <w:right w:val="single" w:sz="4" w:space="0" w:color="D5D9DE"/>
          <w:insideH w:val="single" w:sz="4" w:space="0" w:color="D5D9DE"/>
          <w:insideV w:val="single" w:sz="4" w:space="0" w:color="D5D9DE"/>
        </w:tblBorders>
      </w:tblPr>
      <w:tblGrid>
        <w:gridCol w:w="1600"/>
        <w:gridCol w:w="4680"/>
        <w:gridCol w:w="3080"/>
      </w:tblGrid>
      <w:tr>
        <w:trPr>
          <w:tblHeader w:val="true"/>
        </w:trPr>
        <w:tc>
          <w:tcPr>
            <w:tcW w:type="dxa" w:w="160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6"/>
              </w:rPr>
              <w:t>Framework</w:t>
            </w:r>
          </w:p>
        </w:tc>
        <w:tc>
          <w:tcPr>
            <w:tcW w:type="dxa" w:w="468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6"/>
              </w:rPr>
              <w:t>High-level requirement</w:t>
            </w:r>
          </w:p>
        </w:tc>
        <w:tc>
          <w:tcPr>
            <w:tcW w:type="dxa" w:w="308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6"/>
              </w:rPr>
              <w:t>Economic treatment in the report</w:t>
            </w:r>
          </w:p>
        </w:tc>
      </w:tr>
      <w:tr>
        <w:tc>
          <w:tcPr>
            <w:tcW w:type="dxa" w:w="16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ISO 14067</w:t>
            </w:r>
          </w:p>
        </w:tc>
        <w:tc>
          <w:tcPr>
            <w:tcW w:type="dxa" w:w="468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Separate product footprints; show waste cut-off and allocated-burden cases; do not assume biogenic neutrality</w:t>
            </w:r>
          </w:p>
        </w:tc>
        <w:tc>
          <w:tcPr>
            <w:tcW w:type="dxa" w:w="308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No footprint premium until metered balances and uncertainty ranges</w:t>
            </w:r>
          </w:p>
        </w:tc>
      </w:tr>
      <w:tr>
        <w:tc>
          <w:tcPr>
            <w:tcW w:type="dxa" w:w="16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ISCC PLUS</w:t>
            </w:r>
          </w:p>
        </w:tc>
        <w:tc>
          <w:tcPr>
            <w:tcW w:type="dxa" w:w="468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Point-of-origin, supplier identity, certified mass, conversion factors, losses, outgoing claims, period reconciliation</w:t>
            </w:r>
          </w:p>
        </w:tc>
        <w:tc>
          <w:tcPr>
            <w:tcW w:type="dxa" w:w="308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No bio/circular premium until auditable chain of custody</w:t>
            </w:r>
          </w:p>
        </w:tc>
      </w:tr>
      <w:tr>
        <w:tc>
          <w:tcPr>
            <w:tcW w:type="dxa" w:w="16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EU CBAM</w:t>
            </w:r>
          </w:p>
        </w:tc>
        <w:tc>
          <w:tcPr>
            <w:tcW w:type="dxa" w:w="468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Check product customs classifications; co-products may enter scope even if olefins do not</w:t>
            </w:r>
          </w:p>
        </w:tc>
        <w:tc>
          <w:tcPr>
            <w:tcW w:type="dxa" w:w="308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No implied olefin CBAM benefit</w:t>
            </w:r>
          </w:p>
        </w:tc>
      </w:tr>
      <w:tr>
        <w:tc>
          <w:tcPr>
            <w:tcW w:type="dxa" w:w="16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RED III</w:t>
            </w:r>
          </w:p>
        </w:tc>
        <w:tc>
          <w:tcPr>
            <w:tcW w:type="dxa" w:w="468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Relevant only where product/use pathway and sustainability criteria apply</w:t>
            </w:r>
          </w:p>
        </w:tc>
        <w:tc>
          <w:tcPr>
            <w:tcW w:type="dxa" w:w="308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Requires pathway-specific legal review</w:t>
            </w:r>
          </w:p>
        </w:tc>
      </w:tr>
      <w:tr>
        <w:tc>
          <w:tcPr>
            <w:tcW w:type="dxa" w:w="16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China ETS / CCER</w:t>
            </w:r>
          </w:p>
        </w:tc>
        <w:tc>
          <w:tcPr>
            <w:tcW w:type="dxa" w:w="468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Methodology, additionality, registration, verification, and contractual title</w:t>
            </w:r>
          </w:p>
        </w:tc>
        <w:tc>
          <w:tcPr>
            <w:tcW w:type="dxa" w:w="308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Zero base carbon-credit revenue</w:t>
            </w:r>
          </w:p>
        </w:tc>
      </w:tr>
      <w:tr>
        <w:tc>
          <w:tcPr>
            <w:tcW w:type="dxa" w:w="16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Waste/end-of-waste</w:t>
            </w:r>
          </w:p>
        </w:tc>
        <w:tc>
          <w:tcPr>
            <w:tcW w:type="dxa" w:w="468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Determine feed burden and legal status of every outgoing material</w:t>
            </w:r>
          </w:p>
        </w:tc>
        <w:tc>
          <w:tcPr>
            <w:tcW w:type="dxa" w:w="308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Maintain compliant disposal route until qualified</w:t>
            </w:r>
          </w:p>
        </w:tc>
      </w:tr>
      <w:tr>
        <w:tc>
          <w:tcPr>
            <w:tcW w:type="dxa" w:w="16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Fertilizer/product rules</w:t>
            </w:r>
          </w:p>
        </w:tc>
        <w:tc>
          <w:tcPr>
            <w:tcW w:type="dxa" w:w="468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Assay, contaminants, performance, registration, customer acceptance</w:t>
            </w:r>
          </w:p>
        </w:tc>
        <w:tc>
          <w:tcPr>
            <w:tcW w:type="dxa" w:w="308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Only low conditional product value</w:t>
            </w:r>
          </w:p>
        </w:tc>
      </w:tr>
    </w:tbl>
    <w:p>
      <w:pPr>
        <w:spacing w:after="0"/>
      </w:pPr>
    </w:p>
    <w:p>
      <w:pPr>
        <w:pStyle w:val="Heading2"/>
      </w:pPr>
      <w:r>
        <w:t>Monitoring and permits</w:t>
      </w:r>
    </w:p>
    <w:p>
      <w:pPr>
        <w:spacing w:after="120"/>
      </w:pPr>
      <w:r>
        <w:rPr>
          <w:rFonts w:ascii="Calibri" w:hAnsi="Calibri" w:eastAsia="Calibri"/>
          <w:i w:val="0"/>
        </w:rPr>
        <w:t>The project requires conventional air, water, waste, toxic-gas, pressure-system, fire, and chemical-storage controls in addition to carbon/certification data. The analytical plan must reconcile batch feed identity, gas and liquid compositions, salts, residue, catalyst poisons, emissions, and product release status.</w:t>
      </w:r>
    </w:p>
    <w:p>
      <w:pPr>
        <w:spacing w:before="120" w:after="80" w:line="288" w:lineRule="auto"/>
        <w:ind w:left="173" w:right="115"/>
        <w:shd w:fill="FAF2ED"/>
        <w:keepLines/>
        <w:pBdr>
          <w:left w:val="single" w:sz="18" w:space="8" w:color="A7552A"/>
        </w:pBdr>
      </w:pPr>
      <w:r>
        <w:rPr>
          <w:rFonts w:ascii="Calibri" w:hAnsi="Calibri" w:eastAsia="Calibri"/>
          <w:b/>
          <w:color w:val="A7552A"/>
          <w:sz w:val="18"/>
        </w:rPr>
        <w:t xml:space="preserve">PRESENTER TAKEAWAY  </w:t>
      </w:r>
      <w:r>
        <w:rPr>
          <w:rFonts w:ascii="Calibri" w:hAnsi="Calibri" w:eastAsia="Calibri"/>
          <w:b/>
          <w:color w:val="1F2933"/>
          <w:sz w:val="21"/>
        </w:rPr>
        <w:t>A circularity story is not a carbon credit. The report deliberately assigns zero value until the methodology, chain of custody, measurement, registration, and contract exist.</w:t>
      </w:r>
    </w:p>
    <w:p>
      <w:pPr>
        <w:keepLines/>
        <w:spacing w:before="40" w:after="0"/>
      </w:pPr>
      <w:r>
        <w:rPr>
          <w:rFonts w:ascii="Calibri" w:hAnsi="Calibri" w:eastAsia="Calibri"/>
          <w:b/>
          <w:color w:val="667085"/>
          <w:sz w:val="16"/>
        </w:rPr>
        <w:t xml:space="preserve">Source basis: </w:t>
      </w:r>
      <w:r>
        <w:rPr>
          <w:rFonts w:ascii="Calibri" w:hAnsi="Calibri" w:eastAsia="Calibri"/>
          <w:i/>
          <w:color w:val="667085"/>
          <w:sz w:val="16"/>
        </w:rPr>
        <w:t>§§8.1–8.6.</w:t>
      </w:r>
    </w:p>
    <w:p>
      <w:pPr>
        <w:sectPr>
          <w:headerReference w:type="default" r:id="rId91"/>
          <w:headerReference w:type="even" r:id="rId92"/>
          <w:headerReference w:type="first" r:id="rId93"/>
          <w:footerReference w:type="default" r:id="rId94"/>
          <w:footerReference w:type="even" r:id="rId95"/>
          <w:footerReference w:type="first" r:id="rId96"/>
          <w:pgSz w:w="12240" w:h="15840"/>
          <w:pgMar w:top="0" w:right="1440" w:bottom="1440" w:left="1440" w:header="0" w:footer="708" w:gutter="0"/>
          <w:cols w:space="720"/>
          <w:titlePg/>
          <w:docGrid w:linePitch="360"/>
        </w:sectPr>
      </w:pPr>
    </w:p>
    <w:p>
      <w:pPr>
        <w:pStyle w:val="PacketKicker"/>
        <w:spacing w:before="1080"/>
      </w:pPr>
      <w:r>
        <w:t>14 · Materials, control, and safety</w:t>
      </w:r>
    </w:p>
    <w:p>
      <w:pPr>
        <w:pStyle w:val="Heading1"/>
      </w:pPr>
      <w:r>
        <w:t>The dominant risks are operability and containment—not chemistry alone</w:t>
      </w:r>
    </w:p>
    <w:tbl>
      <w:tblPr>
        <w:tblStyle w:val="TableGrid"/>
        <w:tblW w:type="dxa" w:w="9360"/>
        <w:jc w:val="left"/>
        <w:tblLayout w:type="fixed"/>
        <w:tblLook w:firstColumn="1" w:firstRow="1" w:lastColumn="0" w:lastRow="0" w:noHBand="0" w:noVBand="1" w:val="04A0"/>
        <w:tblInd w:w="120" w:type="dxa"/>
        <w:tblBorders>
          <w:top w:val="single" w:sz="4" w:space="0" w:color="D5D9DE"/>
          <w:left w:val="single" w:sz="4" w:space="0" w:color="D5D9DE"/>
          <w:bottom w:val="single" w:sz="4" w:space="0" w:color="D5D9DE"/>
          <w:right w:val="single" w:sz="4" w:space="0" w:color="D5D9DE"/>
          <w:insideH w:val="single" w:sz="4" w:space="0" w:color="D5D9DE"/>
          <w:insideV w:val="single" w:sz="4" w:space="0" w:color="D5D9DE"/>
        </w:tblBorders>
      </w:tblPr>
      <w:tblGrid>
        <w:gridCol w:w="1850"/>
        <w:gridCol w:w="2900"/>
        <w:gridCol w:w="4610"/>
      </w:tblGrid>
      <w:tr>
        <w:trPr>
          <w:tblHeader w:val="true"/>
        </w:trPr>
        <w:tc>
          <w:tcPr>
            <w:tcW w:type="dxa" w:w="185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6"/>
              </w:rPr>
              <w:t>Hazard / failure mode</w:t>
            </w:r>
          </w:p>
        </w:tc>
        <w:tc>
          <w:tcPr>
            <w:tcW w:type="dxa" w:w="290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6"/>
              </w:rPr>
              <w:t>Why it matters</w:t>
            </w:r>
          </w:p>
        </w:tc>
        <w:tc>
          <w:tcPr>
            <w:tcW w:type="dxa" w:w="461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6"/>
              </w:rPr>
              <w:t>Design or validation response</w:t>
            </w:r>
          </w:p>
        </w:tc>
      </w:tr>
      <w:tr>
        <w:tc>
          <w:tcPr>
            <w:tcW w:type="dxa" w:w="185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25 MPa slurry pumping</w:t>
            </w:r>
          </w:p>
        </w:tc>
        <w:tc>
          <w:tcPr>
            <w:tcW w:type="dxa" w:w="29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Cavitation, bridging, erosion, loss of feed</w:t>
            </w:r>
          </w:p>
        </w:tc>
        <w:tc>
          <w:tcPr>
            <w:tcW w:type="dxa" w:w="461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Duty/standby PD pumps; cold/hot loop testing; torque and ΔP monitoring</w:t>
            </w:r>
          </w:p>
        </w:tc>
      </w:tr>
      <w:tr>
        <w:tc>
          <w:tcPr>
            <w:tcW w:type="dxa" w:w="185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Hot salt deposition</w:t>
            </w:r>
          </w:p>
        </w:tc>
        <w:tc>
          <w:tcPr>
            <w:tcW w:type="dxa" w:w="290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Rapid pressure-drop growth and forced shutdown</w:t>
            </w:r>
          </w:p>
        </w:tc>
        <w:tc>
          <w:tcPr>
            <w:tcW w:type="dxa" w:w="461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Continuous B3 underflow, flush recovery, wall-deposit inspection</w:t>
            </w:r>
          </w:p>
        </w:tc>
      </w:tr>
      <w:tr>
        <w:tc>
          <w:tcPr>
            <w:tcW w:type="dxa" w:w="185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Chloride/sulfide corrosion</w:t>
            </w:r>
          </w:p>
        </w:tc>
        <w:tc>
          <w:tcPr>
            <w:tcW w:type="dxa" w:w="29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Stress corrosion and pressure-boundary failure</w:t>
            </w:r>
          </w:p>
        </w:tc>
        <w:tc>
          <w:tcPr>
            <w:tcW w:type="dxa" w:w="461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Welded coupons, source-specific chemistry limits, wall-loss mapping</w:t>
            </w:r>
          </w:p>
        </w:tc>
      </w:tr>
      <w:tr>
        <w:tc>
          <w:tcPr>
            <w:tcW w:type="dxa" w:w="185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High-pressure letdown</w:t>
            </w:r>
          </w:p>
        </w:tc>
        <w:tc>
          <w:tcPr>
            <w:tcW w:type="dxa" w:w="290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Erosion, flashing, vibration, toxic release</w:t>
            </w:r>
          </w:p>
        </w:tc>
        <w:tc>
          <w:tcPr>
            <w:tcW w:type="dxa" w:w="461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Staged letdown, materials testing, isolation and blowdown philosophy</w:t>
            </w:r>
          </w:p>
        </w:tc>
      </w:tr>
      <w:tr>
        <w:tc>
          <w:tcPr>
            <w:tcW w:type="dxa" w:w="185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H₂S / CO</w:t>
            </w:r>
          </w:p>
        </w:tc>
        <w:tc>
          <w:tcPr>
            <w:tcW w:type="dxa" w:w="29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Acute toxicity and flammability</w:t>
            </w:r>
          </w:p>
        </w:tc>
        <w:tc>
          <w:tcPr>
            <w:tcW w:type="dxa" w:w="461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Enclosed systems, detection, ventilation, ESD, flare/oxidation and emergency response</w:t>
            </w:r>
          </w:p>
        </w:tc>
      </w:tr>
      <w:tr>
        <w:tc>
          <w:tcPr>
            <w:tcW w:type="dxa" w:w="185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Reformer furnace</w:t>
            </w:r>
          </w:p>
        </w:tc>
        <w:tc>
          <w:tcPr>
            <w:tcW w:type="dxa" w:w="290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Tube hot spots, coke, fuel-gas hazards</w:t>
            </w:r>
          </w:p>
        </w:tc>
        <w:tc>
          <w:tcPr>
            <w:tcW w:type="dxa" w:w="461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Steam/carbon control, tube monitoring, real-gas coking campaign</w:t>
            </w:r>
          </w:p>
        </w:tc>
      </w:tr>
      <w:tr>
        <w:tc>
          <w:tcPr>
            <w:tcW w:type="dxa" w:w="185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OXZEO heat release</w:t>
            </w:r>
          </w:p>
        </w:tc>
        <w:tc>
          <w:tcPr>
            <w:tcW w:type="dxa" w:w="29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Hot spots, catalyst deactivation, runaway potential</w:t>
            </w:r>
          </w:p>
        </w:tc>
        <w:tc>
          <w:tcPr>
            <w:tcW w:type="dxa" w:w="461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Heat-removal design, recycle control, trip logic, staged catalyst tests</w:t>
            </w:r>
          </w:p>
        </w:tc>
      </w:tr>
      <w:tr>
        <w:tc>
          <w:tcPr>
            <w:tcW w:type="dxa" w:w="185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Start-up/shutdown</w:t>
            </w:r>
          </w:p>
        </w:tc>
        <w:tc>
          <w:tcPr>
            <w:tcW w:type="dxa" w:w="290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Salt freezing/deposition and off-spec gas</w:t>
            </w:r>
          </w:p>
        </w:tc>
        <w:tc>
          <w:tcPr>
            <w:tcW w:type="dxa" w:w="461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Defined water/heat/feed sequencing, purge, controlled quench and cleanout</w:t>
            </w:r>
          </w:p>
        </w:tc>
      </w:tr>
    </w:tbl>
    <w:p>
      <w:pPr>
        <w:spacing w:after="0"/>
      </w:pPr>
    </w:p>
    <w:p>
      <w:pPr>
        <w:pStyle w:val="Heading2"/>
      </w:pPr>
      <w:r>
        <w:t>Feed acceptance controls</w:t>
      </w:r>
    </w:p>
    <w:p>
      <w:pPr>
        <w:spacing w:after="120"/>
      </w:pPr>
      <w:r>
        <w:rPr>
          <w:rFonts w:ascii="Calibri" w:hAnsi="Calibri" w:eastAsia="Calibri"/>
          <w:i w:val="0"/>
        </w:rPr>
        <w:t>Total solids 18–22 wt%; organic D90 &lt;0.5 mm and mineral D90 &lt;0.15 mm; no hard settling bed after 30 minutes; stable pump-loop operation; chloride to source-specific alloy limit; first-in/first-out spoilage control; PFAS/metals hold-and-release by product route.</w:t>
      </w:r>
    </w:p>
    <w:p>
      <w:pPr>
        <w:keepLines/>
        <w:spacing w:before="40" w:after="0"/>
      </w:pPr>
      <w:r>
        <w:rPr>
          <w:rFonts w:ascii="Calibri" w:hAnsi="Calibri" w:eastAsia="Calibri"/>
          <w:b/>
          <w:color w:val="667085"/>
          <w:sz w:val="16"/>
        </w:rPr>
        <w:t xml:space="preserve">Source basis: </w:t>
      </w:r>
      <w:r>
        <w:rPr>
          <w:rFonts w:ascii="Calibri" w:hAnsi="Calibri" w:eastAsia="Calibri"/>
          <w:i/>
          <w:color w:val="667085"/>
          <w:sz w:val="16"/>
        </w:rPr>
        <w:t>§§4.2 and 4.10; §§7.1–7.7.</w:t>
      </w:r>
    </w:p>
    <w:p>
      <w:pPr>
        <w:sectPr>
          <w:headerReference w:type="default" r:id="rId97"/>
          <w:headerReference w:type="even" r:id="rId98"/>
          <w:headerReference w:type="first" r:id="rId99"/>
          <w:footerReference w:type="default" r:id="rId100"/>
          <w:footerReference w:type="even" r:id="rId101"/>
          <w:footerReference w:type="first" r:id="rId102"/>
          <w:pgSz w:w="12240" w:h="15840"/>
          <w:pgMar w:top="0" w:right="1440" w:bottom="1440" w:left="1440" w:header="0" w:footer="708" w:gutter="0"/>
          <w:cols w:space="720"/>
          <w:titlePg/>
          <w:docGrid w:linePitch="360"/>
        </w:sectPr>
      </w:pPr>
    </w:p>
    <w:p>
      <w:pPr>
        <w:pStyle w:val="PacketKicker"/>
        <w:spacing w:before="1080"/>
      </w:pPr>
      <w:r>
        <w:t>15 · Risk register</w:t>
      </w:r>
    </w:p>
    <w:p>
      <w:pPr>
        <w:pStyle w:val="Heading1"/>
      </w:pPr>
      <w:r>
        <w:t>Eight risks determine whether the concept advances</w:t>
      </w:r>
    </w:p>
    <w:tbl>
      <w:tblPr>
        <w:tblStyle w:val="TableGrid"/>
        <w:tblW w:type="dxa" w:w="9360"/>
        <w:jc w:val="left"/>
        <w:tblLayout w:type="fixed"/>
        <w:tblLook w:firstColumn="1" w:firstRow="1" w:lastColumn="0" w:lastRow="0" w:noHBand="0" w:noVBand="1" w:val="04A0"/>
        <w:tblInd w:w="120" w:type="dxa"/>
        <w:tblBorders>
          <w:top w:val="single" w:sz="4" w:space="0" w:color="D5D9DE"/>
          <w:left w:val="single" w:sz="4" w:space="0" w:color="D5D9DE"/>
          <w:bottom w:val="single" w:sz="4" w:space="0" w:color="D5D9DE"/>
          <w:right w:val="single" w:sz="4" w:space="0" w:color="D5D9DE"/>
          <w:insideH w:val="single" w:sz="4" w:space="0" w:color="D5D9DE"/>
          <w:insideV w:val="single" w:sz="4" w:space="0" w:color="D5D9DE"/>
        </w:tblBorders>
      </w:tblPr>
      <w:tblGrid>
        <w:gridCol w:w="800"/>
        <w:gridCol w:w="2350"/>
        <w:gridCol w:w="6210"/>
      </w:tblGrid>
      <w:tr>
        <w:trPr>
          <w:tblHeader w:val="true"/>
        </w:trPr>
        <w:tc>
          <w:tcPr>
            <w:tcW w:type="dxa" w:w="800"/>
            <w:shd w:fill="E8F3EC"/>
            <w:tcMar>
              <w:top w:w="80" w:type="dxa"/>
              <w:start w:w="120" w:type="dxa"/>
              <w:bottom w:w="80" w:type="dxa"/>
              <w:end w:w="120" w:type="dxa"/>
            </w:tcMar>
            <w:vAlign w:val="center"/>
          </w:tcPr>
          <w:p>
            <w:pPr>
              <w:spacing w:after="0" w:line="252" w:lineRule="auto"/>
              <w:jc w:val="center"/>
            </w:pPr>
            <w:r>
              <w:rPr>
                <w:rFonts w:ascii="Calibri" w:hAnsi="Calibri" w:eastAsia="Calibri"/>
                <w:b/>
                <w:color w:val="0A236F"/>
                <w:sz w:val="16"/>
              </w:rPr>
              <w:t>Rank</w:t>
            </w:r>
          </w:p>
        </w:tc>
        <w:tc>
          <w:tcPr>
            <w:tcW w:type="dxa" w:w="235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6"/>
              </w:rPr>
              <w:t>Risk</w:t>
            </w:r>
          </w:p>
        </w:tc>
        <w:tc>
          <w:tcPr>
            <w:tcW w:type="dxa" w:w="621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6"/>
              </w:rPr>
              <w:t>Retirement evidence</w:t>
            </w:r>
          </w:p>
        </w:tc>
      </w:tr>
      <w:tr>
        <w:tc>
          <w:tcPr>
            <w:tcW w:type="dxa" w:w="800"/>
            <w:tcMar>
              <w:top w:w="80" w:type="dxa"/>
              <w:start w:w="120" w:type="dxa"/>
              <w:bottom w:w="80" w:type="dxa"/>
              <w:end w:w="120" w:type="dxa"/>
            </w:tcMar>
            <w:vAlign w:val="center"/>
          </w:tcPr>
          <w:p>
            <w:pPr>
              <w:spacing w:after="0" w:line="269" w:lineRule="auto"/>
              <w:jc w:val="center"/>
            </w:pPr>
            <w:r>
              <w:rPr>
                <w:rFonts w:ascii="Calibri" w:hAnsi="Calibri" w:eastAsia="Calibri"/>
                <w:b/>
                <w:color w:val="1F2933"/>
                <w:sz w:val="16"/>
              </w:rPr>
              <w:t>1</w:t>
            </w:r>
          </w:p>
        </w:tc>
        <w:tc>
          <w:tcPr>
            <w:tcW w:type="dxa" w:w="235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Salt plugging</w:t>
            </w:r>
          </w:p>
        </w:tc>
        <w:tc>
          <w:tcPr>
            <w:tcW w:type="dxa" w:w="621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1,000 h continuous underflow/flush campaign with stable ΔP and deposit recovery</w:t>
            </w:r>
          </w:p>
        </w:tc>
      </w:tr>
      <w:tr>
        <w:tc>
          <w:tcPr>
            <w:tcW w:type="dxa" w:w="800"/>
            <w:shd w:fill="FAFBFC"/>
            <w:tcMar>
              <w:top w:w="80" w:type="dxa"/>
              <w:start w:w="120" w:type="dxa"/>
              <w:bottom w:w="80" w:type="dxa"/>
              <w:end w:w="120" w:type="dxa"/>
            </w:tcMar>
            <w:vAlign w:val="center"/>
          </w:tcPr>
          <w:p>
            <w:pPr>
              <w:spacing w:after="0" w:line="269" w:lineRule="auto"/>
              <w:jc w:val="center"/>
            </w:pPr>
            <w:r>
              <w:rPr>
                <w:rFonts w:ascii="Calibri" w:hAnsi="Calibri" w:eastAsia="Calibri"/>
                <w:b/>
                <w:color w:val="1F2933"/>
                <w:sz w:val="16"/>
              </w:rPr>
              <w:t>2</w:t>
            </w:r>
          </w:p>
        </w:tc>
        <w:tc>
          <w:tcPr>
            <w:tcW w:type="dxa" w:w="235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Slurry pumpability</w:t>
            </w:r>
          </w:p>
        </w:tc>
        <w:tc>
          <w:tcPr>
            <w:tcW w:type="dxa" w:w="621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25 MPa loop + hot feed-heater pressure-drop map across solids/particle size</w:t>
            </w:r>
          </w:p>
        </w:tc>
      </w:tr>
      <w:tr>
        <w:tc>
          <w:tcPr>
            <w:tcW w:type="dxa" w:w="800"/>
            <w:tcMar>
              <w:top w:w="80" w:type="dxa"/>
              <w:start w:w="120" w:type="dxa"/>
              <w:bottom w:w="80" w:type="dxa"/>
              <w:end w:w="120" w:type="dxa"/>
            </w:tcMar>
            <w:vAlign w:val="center"/>
          </w:tcPr>
          <w:p>
            <w:pPr>
              <w:spacing w:after="0" w:line="269" w:lineRule="auto"/>
              <w:jc w:val="center"/>
            </w:pPr>
            <w:r>
              <w:rPr>
                <w:rFonts w:ascii="Calibri" w:hAnsi="Calibri" w:eastAsia="Calibri"/>
                <w:b/>
                <w:color w:val="1F2933"/>
                <w:sz w:val="16"/>
              </w:rPr>
              <w:t>3</w:t>
            </w:r>
          </w:p>
        </w:tc>
        <w:tc>
          <w:tcPr>
            <w:tcW w:type="dxa" w:w="235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Red-mud catalytic claim</w:t>
            </w:r>
          </w:p>
        </w:tc>
        <w:tc>
          <w:tcPr>
            <w:tcW w:type="dxa" w:w="621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Factorial autoclave/continuous testing with Na release, phases, gas yields, char, carbon closure</w:t>
            </w:r>
          </w:p>
        </w:tc>
      </w:tr>
      <w:tr>
        <w:tc>
          <w:tcPr>
            <w:tcW w:type="dxa" w:w="800"/>
            <w:shd w:fill="FAFBFC"/>
            <w:tcMar>
              <w:top w:w="80" w:type="dxa"/>
              <w:start w:w="120" w:type="dxa"/>
              <w:bottom w:w="80" w:type="dxa"/>
              <w:end w:w="120" w:type="dxa"/>
            </w:tcMar>
            <w:vAlign w:val="center"/>
          </w:tcPr>
          <w:p>
            <w:pPr>
              <w:spacing w:after="0" w:line="269" w:lineRule="auto"/>
              <w:jc w:val="center"/>
            </w:pPr>
            <w:r>
              <w:rPr>
                <w:rFonts w:ascii="Calibri" w:hAnsi="Calibri" w:eastAsia="Calibri"/>
                <w:b/>
                <w:color w:val="1F2933"/>
                <w:sz w:val="16"/>
              </w:rPr>
              <w:t>4</w:t>
            </w:r>
          </w:p>
        </w:tc>
        <w:tc>
          <w:tcPr>
            <w:tcW w:type="dxa" w:w="235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Bi-reformer coking</w:t>
            </w:r>
          </w:p>
        </w:tc>
        <w:tc>
          <w:tcPr>
            <w:tcW w:type="dxa" w:w="621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1,000 h real-gas slipstream with carbon balance, catalyst inspection, upset tests</w:t>
            </w:r>
          </w:p>
        </w:tc>
      </w:tr>
      <w:tr>
        <w:tc>
          <w:tcPr>
            <w:tcW w:type="dxa" w:w="800"/>
            <w:tcMar>
              <w:top w:w="80" w:type="dxa"/>
              <w:start w:w="120" w:type="dxa"/>
              <w:bottom w:w="80" w:type="dxa"/>
              <w:end w:w="120" w:type="dxa"/>
            </w:tcMar>
            <w:vAlign w:val="center"/>
          </w:tcPr>
          <w:p>
            <w:pPr>
              <w:spacing w:after="0" w:line="269" w:lineRule="auto"/>
              <w:jc w:val="center"/>
            </w:pPr>
            <w:r>
              <w:rPr>
                <w:rFonts w:ascii="Calibri" w:hAnsi="Calibri" w:eastAsia="Calibri"/>
                <w:b/>
                <w:color w:val="1F2933"/>
                <w:sz w:val="16"/>
              </w:rPr>
              <w:t>5</w:t>
            </w:r>
          </w:p>
        </w:tc>
        <w:tc>
          <w:tcPr>
            <w:tcW w:type="dxa" w:w="235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OXZEO durability</w:t>
            </w:r>
          </w:p>
        </w:tc>
        <w:tc>
          <w:tcPr>
            <w:tcW w:type="dxa" w:w="621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Guard-bed challenge + 2,000 h cleaned-real-gas catalyst campaign</w:t>
            </w:r>
          </w:p>
        </w:tc>
      </w:tr>
      <w:tr>
        <w:tc>
          <w:tcPr>
            <w:tcW w:type="dxa" w:w="800"/>
            <w:shd w:fill="FAFBFC"/>
            <w:tcMar>
              <w:top w:w="80" w:type="dxa"/>
              <w:start w:w="120" w:type="dxa"/>
              <w:bottom w:w="80" w:type="dxa"/>
              <w:end w:w="120" w:type="dxa"/>
            </w:tcMar>
            <w:vAlign w:val="center"/>
          </w:tcPr>
          <w:p>
            <w:pPr>
              <w:spacing w:after="0" w:line="269" w:lineRule="auto"/>
              <w:jc w:val="center"/>
            </w:pPr>
            <w:r>
              <w:rPr>
                <w:rFonts w:ascii="Calibri" w:hAnsi="Calibri" w:eastAsia="Calibri"/>
                <w:b/>
                <w:color w:val="1F2933"/>
                <w:sz w:val="16"/>
              </w:rPr>
              <w:t>6</w:t>
            </w:r>
          </w:p>
        </w:tc>
        <w:tc>
          <w:tcPr>
            <w:tcW w:type="dxa" w:w="235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Residue qualification</w:t>
            </w:r>
          </w:p>
        </w:tc>
        <w:tc>
          <w:tcPr>
            <w:tcW w:type="dxa" w:w="621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Independent leach/performance qualification and customer/offtake trial</w:t>
            </w:r>
          </w:p>
        </w:tc>
      </w:tr>
      <w:tr>
        <w:tc>
          <w:tcPr>
            <w:tcW w:type="dxa" w:w="800"/>
            <w:tcMar>
              <w:top w:w="80" w:type="dxa"/>
              <w:start w:w="120" w:type="dxa"/>
              <w:bottom w:w="80" w:type="dxa"/>
              <w:end w:w="120" w:type="dxa"/>
            </w:tcMar>
            <w:vAlign w:val="center"/>
          </w:tcPr>
          <w:p>
            <w:pPr>
              <w:spacing w:after="0" w:line="269" w:lineRule="auto"/>
              <w:jc w:val="center"/>
            </w:pPr>
            <w:r>
              <w:rPr>
                <w:rFonts w:ascii="Calibri" w:hAnsi="Calibri" w:eastAsia="Calibri"/>
                <w:b/>
                <w:color w:val="1F2933"/>
                <w:sz w:val="16"/>
              </w:rPr>
              <w:t>7</w:t>
            </w:r>
          </w:p>
        </w:tc>
        <w:tc>
          <w:tcPr>
            <w:tcW w:type="dxa" w:w="235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Materials durability</w:t>
            </w:r>
          </w:p>
        </w:tc>
        <w:tc>
          <w:tcPr>
            <w:tcW w:type="dxa" w:w="621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Long-duration welded coupons, erosion tests, wall-loss and deposit analysis</w:t>
            </w:r>
          </w:p>
        </w:tc>
      </w:tr>
      <w:tr>
        <w:tc>
          <w:tcPr>
            <w:tcW w:type="dxa" w:w="800"/>
            <w:shd w:fill="FAFBFC"/>
            <w:tcMar>
              <w:top w:w="80" w:type="dxa"/>
              <w:start w:w="120" w:type="dxa"/>
              <w:bottom w:w="80" w:type="dxa"/>
              <w:end w:w="120" w:type="dxa"/>
            </w:tcMar>
            <w:vAlign w:val="center"/>
          </w:tcPr>
          <w:p>
            <w:pPr>
              <w:spacing w:after="0" w:line="269" w:lineRule="auto"/>
              <w:jc w:val="center"/>
            </w:pPr>
            <w:r>
              <w:rPr>
                <w:rFonts w:ascii="Calibri" w:hAnsi="Calibri" w:eastAsia="Calibri"/>
                <w:b/>
                <w:color w:val="1F2933"/>
                <w:sz w:val="16"/>
              </w:rPr>
              <w:t>8</w:t>
            </w:r>
          </w:p>
        </w:tc>
        <w:tc>
          <w:tcPr>
            <w:tcW w:type="dxa" w:w="235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Economics/contracting</w:t>
            </w:r>
          </w:p>
        </w:tc>
        <w:tc>
          <w:tcPr>
            <w:tcW w:type="dxa" w:w="621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Binding feed/offtake terms + Chinese vendor-budget quotations</w:t>
            </w:r>
          </w:p>
        </w:tc>
      </w:tr>
    </w:tbl>
    <w:p>
      <w:pPr>
        <w:spacing w:after="0"/>
      </w:pPr>
    </w:p>
    <w:p>
      <w:pPr>
        <w:spacing w:before="120" w:after="80" w:line="288" w:lineRule="auto"/>
        <w:ind w:left="173" w:right="115"/>
        <w:shd w:fill="FAF2ED"/>
        <w:keepLines/>
        <w:pBdr>
          <w:left w:val="single" w:sz="18" w:space="8" w:color="A7552A"/>
        </w:pBdr>
      </w:pPr>
      <w:r>
        <w:rPr>
          <w:rFonts w:ascii="Calibri" w:hAnsi="Calibri" w:eastAsia="Calibri"/>
          <w:b/>
          <w:color w:val="A7552A"/>
          <w:sz w:val="18"/>
        </w:rPr>
        <w:t xml:space="preserve">THE COMMON THEME  </w:t>
      </w:r>
      <w:r>
        <w:rPr>
          <w:rFonts w:ascii="Calibri" w:hAnsi="Calibri" w:eastAsia="Calibri"/>
          <w:b/>
          <w:color w:val="1F2933"/>
          <w:sz w:val="21"/>
        </w:rPr>
        <w:t>No single laboratory yield retires this project. It needs long-duration integrated evidence across feed handling, salt control, containment, gas cleanup, catalyst life, product qualification, and commercial contracts.</w:t>
      </w:r>
    </w:p>
    <w:p>
      <w:pPr>
        <w:keepLines/>
        <w:spacing w:before="40" w:after="0"/>
      </w:pPr>
      <w:r>
        <w:rPr>
          <w:rFonts w:ascii="Calibri" w:hAnsi="Calibri" w:eastAsia="Calibri"/>
          <w:b/>
          <w:color w:val="667085"/>
          <w:sz w:val="16"/>
        </w:rPr>
        <w:t xml:space="preserve">Source basis: </w:t>
      </w:r>
      <w:r>
        <w:rPr>
          <w:rFonts w:ascii="Calibri" w:hAnsi="Calibri" w:eastAsia="Calibri"/>
          <w:i/>
          <w:color w:val="667085"/>
          <w:sz w:val="16"/>
        </w:rPr>
        <w:t>§10.2, Table 10.2.</w:t>
      </w:r>
    </w:p>
    <w:p>
      <w:pPr>
        <w:sectPr>
          <w:headerReference w:type="default" r:id="rId103"/>
          <w:headerReference w:type="even" r:id="rId104"/>
          <w:headerReference w:type="first" r:id="rId105"/>
          <w:footerReference w:type="default" r:id="rId106"/>
          <w:footerReference w:type="even" r:id="rId107"/>
          <w:footerReference w:type="first" r:id="rId108"/>
          <w:pgSz w:w="12240" w:h="15840"/>
          <w:pgMar w:top="0" w:right="1440" w:bottom="1440" w:left="1440" w:header="0" w:footer="708" w:gutter="0"/>
          <w:cols w:space="720"/>
          <w:titlePg/>
          <w:docGrid w:linePitch="360"/>
        </w:sectPr>
      </w:pPr>
    </w:p>
    <w:p>
      <w:pPr>
        <w:pStyle w:val="PacketKicker"/>
        <w:spacing w:before="1080"/>
      </w:pPr>
      <w:r>
        <w:t>16 · Development programme</w:t>
      </w:r>
    </w:p>
    <w:p>
      <w:pPr>
        <w:pStyle w:val="Heading1"/>
      </w:pPr>
      <w:r>
        <w:t>G0–G7: evidence before capital</w:t>
      </w:r>
    </w:p>
    <w:tbl>
      <w:tblPr>
        <w:tblStyle w:val="TableGrid"/>
        <w:tblW w:type="dxa" w:w="9360"/>
        <w:jc w:val="left"/>
        <w:tblLayout w:type="fixed"/>
        <w:tblLook w:firstColumn="1" w:firstRow="1" w:lastColumn="0" w:lastRow="0" w:noHBand="0" w:noVBand="1" w:val="04A0"/>
        <w:tblInd w:w="120" w:type="dxa"/>
        <w:tblBorders>
          <w:top w:val="single" w:sz="4" w:space="0" w:color="D5D9DE"/>
          <w:left w:val="single" w:sz="4" w:space="0" w:color="D5D9DE"/>
          <w:bottom w:val="single" w:sz="4" w:space="0" w:color="D5D9DE"/>
          <w:right w:val="single" w:sz="4" w:space="0" w:color="D5D9DE"/>
          <w:insideH w:val="single" w:sz="4" w:space="0" w:color="D5D9DE"/>
          <w:insideV w:val="single" w:sz="4" w:space="0" w:color="D5D9DE"/>
        </w:tblBorders>
      </w:tblPr>
      <w:tblGrid>
        <w:gridCol w:w="1500"/>
        <w:gridCol w:w="3000"/>
        <w:gridCol w:w="4860"/>
      </w:tblGrid>
      <w:tr>
        <w:trPr>
          <w:tblHeader w:val="true"/>
        </w:trPr>
        <w:tc>
          <w:tcPr>
            <w:tcW w:type="dxa" w:w="150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6"/>
              </w:rPr>
              <w:t>Gate</w:t>
            </w:r>
          </w:p>
        </w:tc>
        <w:tc>
          <w:tcPr>
            <w:tcW w:type="dxa" w:w="300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6"/>
              </w:rPr>
              <w:t>Scale / duration</w:t>
            </w:r>
          </w:p>
        </w:tc>
        <w:tc>
          <w:tcPr>
            <w:tcW w:type="dxa" w:w="486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6"/>
              </w:rPr>
              <w:t>Decision unlocked</w:t>
            </w:r>
          </w:p>
        </w:tc>
      </w:tr>
      <w:tr>
        <w:tc>
          <w:tcPr>
            <w:tcW w:type="dxa" w:w="15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G0 Feed campaign</w:t>
            </w:r>
          </w:p>
        </w:tc>
        <w:tc>
          <w:tcPr>
            <w:tcW w:type="dxa" w:w="30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Composite testing + 12 months supplier records</w:t>
            </w:r>
          </w:p>
        </w:tc>
        <w:tc>
          <w:tcPr>
            <w:tcW w:type="dxa" w:w="486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Freeze representative design feed</w:t>
            </w:r>
          </w:p>
        </w:tc>
      </w:tr>
      <w:tr>
        <w:tc>
          <w:tcPr>
            <w:tcW w:type="dxa" w:w="15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G1 Batch chemistry</w:t>
            </w:r>
          </w:p>
        </w:tc>
        <w:tc>
          <w:tcPr>
            <w:tcW w:type="dxa" w:w="300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Autoclave severity matrix</w:t>
            </w:r>
          </w:p>
        </w:tc>
        <w:tc>
          <w:tcPr>
            <w:tcW w:type="dxa" w:w="486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Select B2 operating window</w:t>
            </w:r>
          </w:p>
        </w:tc>
      </w:tr>
      <w:tr>
        <w:tc>
          <w:tcPr>
            <w:tcW w:type="dxa" w:w="15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G2 Feed + salt loop</w:t>
            </w:r>
          </w:p>
        </w:tc>
        <w:tc>
          <w:tcPr>
            <w:tcW w:type="dxa" w:w="30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100–500 h</w:t>
            </w:r>
          </w:p>
        </w:tc>
        <w:tc>
          <w:tcPr>
            <w:tcW w:type="dxa" w:w="486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Select B1 and B3 concepts</w:t>
            </w:r>
          </w:p>
        </w:tc>
      </w:tr>
      <w:tr>
        <w:tc>
          <w:tcPr>
            <w:tcW w:type="dxa" w:w="15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G3 Continuous pilot</w:t>
            </w:r>
          </w:p>
        </w:tc>
        <w:tc>
          <w:tcPr>
            <w:tcW w:type="dxa" w:w="300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1–5 t/day; 1,000 h</w:t>
            </w:r>
          </w:p>
        </w:tc>
        <w:tc>
          <w:tcPr>
            <w:tcW w:type="dxa" w:w="486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Authorise integrated gas cleanup/synthesis pilot</w:t>
            </w:r>
          </w:p>
        </w:tc>
      </w:tr>
      <w:tr>
        <w:tc>
          <w:tcPr>
            <w:tcW w:type="dxa" w:w="15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G4 Cleanup + reforming</w:t>
            </w:r>
          </w:p>
        </w:tc>
        <w:tc>
          <w:tcPr>
            <w:tcW w:type="dxa" w:w="30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Real-gas slipstream; 1,000 h</w:t>
            </w:r>
          </w:p>
        </w:tc>
        <w:tc>
          <w:tcPr>
            <w:tcW w:type="dxa" w:w="486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Freeze B5 and B6</w:t>
            </w:r>
          </w:p>
        </w:tc>
      </w:tr>
      <w:tr>
        <w:tc>
          <w:tcPr>
            <w:tcW w:type="dxa" w:w="15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G5 OXZEO campaign</w:t>
            </w:r>
          </w:p>
        </w:tc>
        <w:tc>
          <w:tcPr>
            <w:tcW w:type="dxa" w:w="300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2,000 h</w:t>
            </w:r>
          </w:p>
        </w:tc>
        <w:tc>
          <w:tcPr>
            <w:tcW w:type="dxa" w:w="486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Freeze B7 and catalyst/licensor architecture</w:t>
            </w:r>
          </w:p>
        </w:tc>
      </w:tr>
      <w:tr>
        <w:tc>
          <w:tcPr>
            <w:tcW w:type="dxa" w:w="1500"/>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G6 Demonstration</w:t>
            </w:r>
          </w:p>
        </w:tc>
        <w:tc>
          <w:tcPr>
            <w:tcW w:type="dxa" w:w="30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30 t/day; ≈7,000 h/y campaign</w:t>
            </w:r>
          </w:p>
        </w:tc>
        <w:tc>
          <w:tcPr>
            <w:tcW w:type="dxa" w:w="486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Decide whether project can enter commercial FEED</w:t>
            </w:r>
          </w:p>
        </w:tc>
      </w:tr>
      <w:tr>
        <w:tc>
          <w:tcPr>
            <w:tcW w:type="dxa" w:w="1500"/>
            <w:shd w:fill="FAFBFC"/>
            <w:tcMar>
              <w:top w:w="80" w:type="dxa"/>
              <w:start w:w="120" w:type="dxa"/>
              <w:bottom w:w="80" w:type="dxa"/>
              <w:end w:w="120" w:type="dxa"/>
            </w:tcMar>
            <w:vAlign w:val="center"/>
          </w:tcPr>
          <w:p>
            <w:pPr>
              <w:spacing w:after="0" w:line="269" w:lineRule="auto"/>
              <w:jc w:val="left"/>
            </w:pPr>
            <w:r>
              <w:rPr>
                <w:rFonts w:ascii="Calibri" w:hAnsi="Calibri" w:eastAsia="Calibri"/>
                <w:b/>
                <w:color w:val="1F2933"/>
                <w:sz w:val="16"/>
              </w:rPr>
              <w:t>G7 Commercial FEED</w:t>
            </w:r>
          </w:p>
        </w:tc>
        <w:tc>
          <w:tcPr>
            <w:tcW w:type="dxa" w:w="300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After G0–G6 + binding terms</w:t>
            </w:r>
          </w:p>
        </w:tc>
        <w:tc>
          <w:tcPr>
            <w:tcW w:type="dxa" w:w="486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Investment-grade FEED or simpler product route</w:t>
            </w:r>
          </w:p>
        </w:tc>
      </w:tr>
    </w:tbl>
    <w:p>
      <w:pPr>
        <w:spacing w:after="0"/>
      </w:pPr>
    </w:p>
    <w:p>
      <w:pPr>
        <w:pStyle w:val="Heading2"/>
      </w:pPr>
      <w:r>
        <w:t>Minimum package before commercial FEED</w:t>
      </w:r>
    </w:p>
    <w:p>
      <w:pPr>
        <w:pStyle w:val="ListBullet"/>
        <w:spacing w:after="80" w:line="300" w:lineRule="auto"/>
        <w:ind w:left="540" w:hanging="271"/>
      </w:pPr>
      <w:r>
        <w:rPr>
          <w:rFonts w:ascii="Calibri" w:hAnsi="Calibri" w:eastAsia="Calibri"/>
        </w:rPr>
        <w:t xml:space="preserve"> </w:t>
      </w:r>
      <w:r>
        <w:rPr>
          <w:rFonts w:ascii="Calibri" w:hAnsi="Calibri" w:eastAsia="Calibri"/>
        </w:rPr>
        <w:t>Representative feed and B2 regional-blend specification with supply contracts.</w:t>
      </w:r>
    </w:p>
    <w:p>
      <w:pPr>
        <w:pStyle w:val="ListBullet"/>
        <w:spacing w:after="80" w:line="300" w:lineRule="auto"/>
        <w:ind w:left="540" w:hanging="271"/>
      </w:pPr>
      <w:r>
        <w:rPr>
          <w:rFonts w:ascii="Calibri" w:hAnsi="Calibri" w:eastAsia="Calibri"/>
        </w:rPr>
        <w:t xml:space="preserve"> </w:t>
      </w:r>
      <w:r>
        <w:rPr>
          <w:rFonts w:ascii="Calibri" w:hAnsi="Calibri" w:eastAsia="Calibri"/>
        </w:rPr>
        <w:t>Closed mass, elemental, and carbon balances from continuous operation.</w:t>
      </w:r>
    </w:p>
    <w:p>
      <w:pPr>
        <w:pStyle w:val="ListBullet"/>
        <w:spacing w:after="80" w:line="300" w:lineRule="auto"/>
        <w:ind w:left="540" w:hanging="271"/>
      </w:pPr>
      <w:r>
        <w:rPr>
          <w:rFonts w:ascii="Calibri" w:hAnsi="Calibri" w:eastAsia="Calibri"/>
        </w:rPr>
        <w:t xml:space="preserve"> </w:t>
      </w:r>
      <w:r>
        <w:rPr>
          <w:rFonts w:ascii="Calibri" w:hAnsi="Calibri" w:eastAsia="Calibri"/>
        </w:rPr>
        <w:t>Salt-separator availability, flush recovery, corrosion/erosion, and materials evidence.</w:t>
      </w:r>
    </w:p>
    <w:p>
      <w:pPr>
        <w:pStyle w:val="ListBullet"/>
        <w:spacing w:after="80" w:line="300" w:lineRule="auto"/>
        <w:ind w:left="540" w:hanging="271"/>
      </w:pPr>
      <w:r>
        <w:rPr>
          <w:rFonts w:ascii="Calibri" w:hAnsi="Calibri" w:eastAsia="Calibri"/>
        </w:rPr>
        <w:t xml:space="preserve"> </w:t>
      </w:r>
      <w:r>
        <w:rPr>
          <w:rFonts w:ascii="Calibri" w:hAnsi="Calibri" w:eastAsia="Calibri"/>
        </w:rPr>
        <w:t>Real-gas sulfur cleanup, ZnO life, reformer coking, and H₂/CO control.</w:t>
      </w:r>
    </w:p>
    <w:p>
      <w:pPr>
        <w:pStyle w:val="ListBullet"/>
        <w:spacing w:after="80" w:line="300" w:lineRule="auto"/>
        <w:ind w:left="540" w:hanging="271"/>
      </w:pPr>
      <w:r>
        <w:rPr>
          <w:rFonts w:ascii="Calibri" w:hAnsi="Calibri" w:eastAsia="Calibri"/>
        </w:rPr>
        <w:t xml:space="preserve"> </w:t>
      </w:r>
      <w:r>
        <w:rPr>
          <w:rFonts w:ascii="Calibri" w:hAnsi="Calibri" w:eastAsia="Calibri"/>
        </w:rPr>
        <w:t>OXZEO conversion/selectivity, heat removal, cycle life, and poison tolerance.</w:t>
      </w:r>
    </w:p>
    <w:p>
      <w:pPr>
        <w:pStyle w:val="ListBullet"/>
        <w:spacing w:after="80" w:line="300" w:lineRule="auto"/>
        <w:ind w:left="540" w:hanging="271"/>
      </w:pPr>
      <w:r>
        <w:rPr>
          <w:rFonts w:ascii="Calibri" w:hAnsi="Calibri" w:eastAsia="Calibri"/>
        </w:rPr>
        <w:t xml:space="preserve"> </w:t>
      </w:r>
      <w:r>
        <w:rPr>
          <w:rFonts w:ascii="Calibri" w:hAnsi="Calibri" w:eastAsia="Calibri"/>
        </w:rPr>
        <w:t>Residue, salt, sulfur, nutrient-product, water, and emissions qualification.</w:t>
      </w:r>
    </w:p>
    <w:p>
      <w:pPr>
        <w:pStyle w:val="ListBullet"/>
        <w:spacing w:after="80" w:line="300" w:lineRule="auto"/>
        <w:ind w:left="540" w:hanging="271"/>
      </w:pPr>
      <w:r>
        <w:rPr>
          <w:rFonts w:ascii="Calibri" w:hAnsi="Calibri" w:eastAsia="Calibri"/>
        </w:rPr>
        <w:t xml:space="preserve"> </w:t>
      </w:r>
      <w:r>
        <w:rPr>
          <w:rFonts w:ascii="Calibri" w:hAnsi="Calibri" w:eastAsia="Calibri"/>
        </w:rPr>
        <w:t>Chinese vendor quotations plus binding gate-fee, feed, certification, and product-offtake terms.</w:t>
      </w:r>
    </w:p>
    <w:p>
      <w:pPr>
        <w:spacing w:before="120" w:after="80" w:line="288" w:lineRule="auto"/>
        <w:ind w:left="173" w:right="115"/>
        <w:shd w:fill="F4F8F5"/>
        <w:keepLines/>
        <w:pBdr>
          <w:left w:val="single" w:sz="18" w:space="8" w:color="0B6B3A"/>
        </w:pBdr>
      </w:pPr>
      <w:r>
        <w:rPr>
          <w:rFonts w:ascii="Calibri" w:hAnsi="Calibri" w:eastAsia="Calibri"/>
          <w:b/>
          <w:color w:val="0B6B3A"/>
          <w:sz w:val="18"/>
        </w:rPr>
        <w:t xml:space="preserve">RECOMMENDATION  </w:t>
      </w:r>
      <w:r>
        <w:rPr>
          <w:rFonts w:ascii="Calibri" w:hAnsi="Calibri" w:eastAsia="Calibri"/>
          <w:color w:val="1F2933"/>
          <w:sz w:val="21"/>
        </w:rPr>
        <w:t>Proceed to a 1–5 t/day continuous hydrothermal pilot and Chinese vendor-budget study. Do not authorise commercial FEED until salt availability, carbon balance, real-gas catalyst life, residue qualification, gate-fee economics, and offtake all pass.</w:t>
      </w:r>
    </w:p>
    <w:p>
      <w:pPr>
        <w:keepLines/>
        <w:spacing w:before="40" w:after="0"/>
      </w:pPr>
      <w:r>
        <w:rPr>
          <w:rFonts w:ascii="Calibri" w:hAnsi="Calibri" w:eastAsia="Calibri"/>
          <w:b/>
          <w:color w:val="667085"/>
          <w:sz w:val="16"/>
        </w:rPr>
        <w:t xml:space="preserve">Source basis: </w:t>
      </w:r>
      <w:r>
        <w:rPr>
          <w:rFonts w:ascii="Calibri" w:hAnsi="Calibri" w:eastAsia="Calibri"/>
          <w:i/>
          <w:color w:val="667085"/>
          <w:sz w:val="16"/>
        </w:rPr>
        <w:t>§§10.1–10.4.</w:t>
      </w:r>
    </w:p>
    <w:p>
      <w:pPr>
        <w:sectPr>
          <w:headerReference w:type="default" r:id="rId109"/>
          <w:headerReference w:type="even" r:id="rId110"/>
          <w:headerReference w:type="first" r:id="rId111"/>
          <w:footerReference w:type="default" r:id="rId112"/>
          <w:footerReference w:type="even" r:id="rId113"/>
          <w:footerReference w:type="first" r:id="rId114"/>
          <w:pgSz w:w="12240" w:h="15840"/>
          <w:pgMar w:top="0" w:right="1440" w:bottom="1440" w:left="1440" w:header="0" w:footer="708" w:gutter="0"/>
          <w:cols w:space="720"/>
          <w:titlePg/>
          <w:docGrid w:linePitch="360"/>
        </w:sectPr>
      </w:pPr>
    </w:p>
    <w:p>
      <w:pPr>
        <w:pStyle w:val="PacketKicker"/>
        <w:spacing w:before="1080"/>
      </w:pPr>
      <w:r>
        <w:t>17 · Suggested presentation structure</w:t>
      </w:r>
    </w:p>
    <w:p>
      <w:pPr>
        <w:pStyle w:val="Heading1"/>
      </w:pPr>
      <w:r>
        <w:t>A strong 12-slide story</w:t>
      </w:r>
    </w:p>
    <w:tbl>
      <w:tblPr>
        <w:tblStyle w:val="TableGrid"/>
        <w:tblW w:type="dxa" w:w="9360"/>
        <w:jc w:val="left"/>
        <w:tblLayout w:type="fixed"/>
        <w:tblLook w:firstColumn="1" w:firstRow="1" w:lastColumn="0" w:lastRow="0" w:noHBand="0" w:noVBand="1" w:val="04A0"/>
        <w:tblInd w:w="120" w:type="dxa"/>
        <w:tblBorders>
          <w:top w:val="single" w:sz="4" w:space="0" w:color="D5D9DE"/>
          <w:left w:val="single" w:sz="4" w:space="0" w:color="D5D9DE"/>
          <w:bottom w:val="single" w:sz="4" w:space="0" w:color="D5D9DE"/>
          <w:right w:val="single" w:sz="4" w:space="0" w:color="D5D9DE"/>
          <w:insideH w:val="single" w:sz="4" w:space="0" w:color="D5D9DE"/>
          <w:insideV w:val="single" w:sz="4" w:space="0" w:color="D5D9DE"/>
        </w:tblBorders>
      </w:tblPr>
      <w:tblGrid>
        <w:gridCol w:w="750"/>
        <w:gridCol w:w="2500"/>
        <w:gridCol w:w="6110"/>
      </w:tblGrid>
      <w:tr>
        <w:trPr>
          <w:tblHeader w:val="true"/>
        </w:trPr>
        <w:tc>
          <w:tcPr>
            <w:tcW w:type="dxa" w:w="750"/>
            <w:shd w:fill="E8F3EC"/>
            <w:tcMar>
              <w:top w:w="80" w:type="dxa"/>
              <w:start w:w="120" w:type="dxa"/>
              <w:bottom w:w="80" w:type="dxa"/>
              <w:end w:w="120" w:type="dxa"/>
            </w:tcMar>
            <w:vAlign w:val="center"/>
          </w:tcPr>
          <w:p>
            <w:pPr>
              <w:spacing w:after="0" w:line="252" w:lineRule="auto"/>
              <w:jc w:val="center"/>
            </w:pPr>
            <w:r>
              <w:rPr>
                <w:rFonts w:ascii="Calibri" w:hAnsi="Calibri" w:eastAsia="Calibri"/>
                <w:b/>
                <w:color w:val="0A236F"/>
                <w:sz w:val="16"/>
              </w:rPr>
              <w:t>Slide</w:t>
            </w:r>
          </w:p>
        </w:tc>
        <w:tc>
          <w:tcPr>
            <w:tcW w:type="dxa" w:w="250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6"/>
              </w:rPr>
              <w:t>Headline</w:t>
            </w:r>
          </w:p>
        </w:tc>
        <w:tc>
          <w:tcPr>
            <w:tcW w:type="dxa" w:w="6110"/>
            <w:shd w:fill="E8F3EC"/>
            <w:tcMar>
              <w:top w:w="80" w:type="dxa"/>
              <w:start w:w="120" w:type="dxa"/>
              <w:bottom w:w="80" w:type="dxa"/>
              <w:end w:w="120" w:type="dxa"/>
            </w:tcMar>
            <w:vAlign w:val="center"/>
          </w:tcPr>
          <w:p>
            <w:pPr>
              <w:spacing w:after="0" w:line="252" w:lineRule="auto"/>
              <w:jc w:val="left"/>
            </w:pPr>
            <w:r>
              <w:rPr>
                <w:rFonts w:ascii="Calibri" w:hAnsi="Calibri" w:eastAsia="Calibri"/>
                <w:b/>
                <w:color w:val="0A236F"/>
                <w:sz w:val="16"/>
              </w:rPr>
              <w:t>What to say</w:t>
            </w:r>
          </w:p>
        </w:tc>
      </w:tr>
      <w:tr>
        <w:tc>
          <w:tcPr>
            <w:tcW w:type="dxa" w:w="750"/>
            <w:tcMar>
              <w:top w:w="80" w:type="dxa"/>
              <w:start w:w="120" w:type="dxa"/>
              <w:bottom w:w="80" w:type="dxa"/>
              <w:end w:w="120" w:type="dxa"/>
            </w:tcMar>
            <w:vAlign w:val="center"/>
          </w:tcPr>
          <w:p>
            <w:pPr>
              <w:spacing w:after="0" w:line="269" w:lineRule="auto"/>
              <w:jc w:val="center"/>
            </w:pPr>
            <w:r>
              <w:rPr>
                <w:rFonts w:ascii="Calibri" w:hAnsi="Calibri" w:eastAsia="Calibri"/>
                <w:b/>
                <w:color w:val="1F2933"/>
                <w:sz w:val="16"/>
              </w:rPr>
              <w:t>1</w:t>
            </w:r>
          </w:p>
        </w:tc>
        <w:tc>
          <w:tcPr>
            <w:tcW w:type="dxa" w:w="25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Title + thesis</w:t>
            </w:r>
          </w:p>
        </w:tc>
        <w:tc>
          <w:tcPr>
            <w:tcW w:type="dxa" w:w="611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Two difficult wastes; one integrated circular-chemicals concept.</w:t>
            </w:r>
          </w:p>
        </w:tc>
      </w:tr>
      <w:tr>
        <w:tc>
          <w:tcPr>
            <w:tcW w:type="dxa" w:w="750"/>
            <w:shd w:fill="FAFBFC"/>
            <w:tcMar>
              <w:top w:w="80" w:type="dxa"/>
              <w:start w:w="120" w:type="dxa"/>
              <w:bottom w:w="80" w:type="dxa"/>
              <w:end w:w="120" w:type="dxa"/>
            </w:tcMar>
            <w:vAlign w:val="center"/>
          </w:tcPr>
          <w:p>
            <w:pPr>
              <w:spacing w:after="0" w:line="269" w:lineRule="auto"/>
              <w:jc w:val="center"/>
            </w:pPr>
            <w:r>
              <w:rPr>
                <w:rFonts w:ascii="Calibri" w:hAnsi="Calibri" w:eastAsia="Calibri"/>
                <w:b/>
                <w:color w:val="1F2933"/>
                <w:sz w:val="16"/>
              </w:rPr>
              <w:t>2</w:t>
            </w:r>
          </w:p>
        </w:tc>
        <w:tc>
          <w:tcPr>
            <w:tcW w:type="dxa" w:w="250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Why these feeds</w:t>
            </w:r>
          </w:p>
        </w:tc>
        <w:tc>
          <w:tcPr>
            <w:tcW w:type="dxa" w:w="611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Okara is too wet to dry economically; red mud is alkaline and hard to reuse.</w:t>
            </w:r>
          </w:p>
        </w:tc>
      </w:tr>
      <w:tr>
        <w:tc>
          <w:tcPr>
            <w:tcW w:type="dxa" w:w="750"/>
            <w:tcMar>
              <w:top w:w="80" w:type="dxa"/>
              <w:start w:w="120" w:type="dxa"/>
              <w:bottom w:w="80" w:type="dxa"/>
              <w:end w:w="120" w:type="dxa"/>
            </w:tcMar>
            <w:vAlign w:val="center"/>
          </w:tcPr>
          <w:p>
            <w:pPr>
              <w:spacing w:after="0" w:line="269" w:lineRule="auto"/>
              <w:jc w:val="center"/>
            </w:pPr>
            <w:r>
              <w:rPr>
                <w:rFonts w:ascii="Calibri" w:hAnsi="Calibri" w:eastAsia="Calibri"/>
                <w:b/>
                <w:color w:val="1F2933"/>
                <w:sz w:val="16"/>
              </w:rPr>
              <w:t>3</w:t>
            </w:r>
          </w:p>
        </w:tc>
        <w:tc>
          <w:tcPr>
            <w:tcW w:type="dxa" w:w="25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Design basis</w:t>
            </w:r>
          </w:p>
        </w:tc>
        <w:tc>
          <w:tcPr>
            <w:tcW w:type="dxa" w:w="611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Five × 300 t/day trains; 625 °C, 25 MPa; 19.33 kt/y olefins.</w:t>
            </w:r>
          </w:p>
        </w:tc>
      </w:tr>
      <w:tr>
        <w:tc>
          <w:tcPr>
            <w:tcW w:type="dxa" w:w="750"/>
            <w:shd w:fill="FAFBFC"/>
            <w:tcMar>
              <w:top w:w="80" w:type="dxa"/>
              <w:start w:w="120" w:type="dxa"/>
              <w:bottom w:w="80" w:type="dxa"/>
              <w:end w:w="120" w:type="dxa"/>
            </w:tcMar>
            <w:vAlign w:val="center"/>
          </w:tcPr>
          <w:p>
            <w:pPr>
              <w:spacing w:after="0" w:line="269" w:lineRule="auto"/>
              <w:jc w:val="center"/>
            </w:pPr>
            <w:r>
              <w:rPr>
                <w:rFonts w:ascii="Calibri" w:hAnsi="Calibri" w:eastAsia="Calibri"/>
                <w:b/>
                <w:color w:val="1F2933"/>
                <w:sz w:val="16"/>
              </w:rPr>
              <w:t>4</w:t>
            </w:r>
          </w:p>
        </w:tc>
        <w:tc>
          <w:tcPr>
            <w:tcW w:type="dxa" w:w="250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Three design conflicts</w:t>
            </w:r>
          </w:p>
        </w:tc>
        <w:tc>
          <w:tcPr>
            <w:tcW w:type="dxa" w:w="611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Salt/product role, CO deficit, and failed calcium-sulfur concept.</w:t>
            </w:r>
          </w:p>
        </w:tc>
      </w:tr>
      <w:tr>
        <w:tc>
          <w:tcPr>
            <w:tcW w:type="dxa" w:w="750"/>
            <w:tcMar>
              <w:top w:w="80" w:type="dxa"/>
              <w:start w:w="120" w:type="dxa"/>
              <w:bottom w:w="80" w:type="dxa"/>
              <w:end w:w="120" w:type="dxa"/>
            </w:tcMar>
            <w:vAlign w:val="center"/>
          </w:tcPr>
          <w:p>
            <w:pPr>
              <w:spacing w:after="0" w:line="269" w:lineRule="auto"/>
              <w:jc w:val="center"/>
            </w:pPr>
            <w:r>
              <w:rPr>
                <w:rFonts w:ascii="Calibri" w:hAnsi="Calibri" w:eastAsia="Calibri"/>
                <w:b/>
                <w:color w:val="1F2933"/>
                <w:sz w:val="16"/>
              </w:rPr>
              <w:t>5</w:t>
            </w:r>
          </w:p>
        </w:tc>
        <w:tc>
          <w:tcPr>
            <w:tcW w:type="dxa" w:w="25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Flowsheet</w:t>
            </w:r>
          </w:p>
        </w:tc>
        <w:tc>
          <w:tcPr>
            <w:tcW w:type="dxa" w:w="611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Walk B1–B8/R1 from feed reception to olefin and residue products.</w:t>
            </w:r>
          </w:p>
        </w:tc>
      </w:tr>
      <w:tr>
        <w:tc>
          <w:tcPr>
            <w:tcW w:type="dxa" w:w="750"/>
            <w:shd w:fill="FAFBFC"/>
            <w:tcMar>
              <w:top w:w="80" w:type="dxa"/>
              <w:start w:w="120" w:type="dxa"/>
              <w:bottom w:w="80" w:type="dxa"/>
              <w:end w:w="120" w:type="dxa"/>
            </w:tcMar>
            <w:vAlign w:val="center"/>
          </w:tcPr>
          <w:p>
            <w:pPr>
              <w:spacing w:after="0" w:line="269" w:lineRule="auto"/>
              <w:jc w:val="center"/>
            </w:pPr>
            <w:r>
              <w:rPr>
                <w:rFonts w:ascii="Calibri" w:hAnsi="Calibri" w:eastAsia="Calibri"/>
                <w:b/>
                <w:color w:val="1F2933"/>
                <w:sz w:val="16"/>
              </w:rPr>
              <w:t>6</w:t>
            </w:r>
          </w:p>
        </w:tc>
        <w:tc>
          <w:tcPr>
            <w:tcW w:type="dxa" w:w="250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Chemistry</w:t>
            </w:r>
          </w:p>
        </w:tc>
        <w:tc>
          <w:tcPr>
            <w:tcW w:type="dxa" w:w="611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SCWG makes CH₄/CO₂; bi-reforming makes syngas; OXZEO makes olefins.</w:t>
            </w:r>
          </w:p>
        </w:tc>
      </w:tr>
      <w:tr>
        <w:tc>
          <w:tcPr>
            <w:tcW w:type="dxa" w:w="750"/>
            <w:tcMar>
              <w:top w:w="80" w:type="dxa"/>
              <w:start w:w="120" w:type="dxa"/>
              <w:bottom w:w="80" w:type="dxa"/>
              <w:end w:w="120" w:type="dxa"/>
            </w:tcMar>
            <w:vAlign w:val="center"/>
          </w:tcPr>
          <w:p>
            <w:pPr>
              <w:spacing w:after="0" w:line="269" w:lineRule="auto"/>
              <w:jc w:val="center"/>
            </w:pPr>
            <w:r>
              <w:rPr>
                <w:rFonts w:ascii="Calibri" w:hAnsi="Calibri" w:eastAsia="Calibri"/>
                <w:b/>
                <w:color w:val="1F2933"/>
                <w:sz w:val="16"/>
              </w:rPr>
              <w:t>7</w:t>
            </w:r>
          </w:p>
        </w:tc>
        <w:tc>
          <w:tcPr>
            <w:tcW w:type="dxa" w:w="25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Balances + energy</w:t>
            </w:r>
          </w:p>
        </w:tc>
        <w:tc>
          <w:tcPr>
            <w:tcW w:type="dxa" w:w="611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42% olefin-carbon efficiency; 207 GJ/day purchased equivalent per train.</w:t>
            </w:r>
          </w:p>
        </w:tc>
      </w:tr>
      <w:tr>
        <w:tc>
          <w:tcPr>
            <w:tcW w:type="dxa" w:w="750"/>
            <w:shd w:fill="FAFBFC"/>
            <w:tcMar>
              <w:top w:w="80" w:type="dxa"/>
              <w:start w:w="120" w:type="dxa"/>
              <w:bottom w:w="80" w:type="dxa"/>
              <w:end w:w="120" w:type="dxa"/>
            </w:tcMar>
            <w:vAlign w:val="center"/>
          </w:tcPr>
          <w:p>
            <w:pPr>
              <w:spacing w:after="0" w:line="269" w:lineRule="auto"/>
              <w:jc w:val="center"/>
            </w:pPr>
            <w:r>
              <w:rPr>
                <w:rFonts w:ascii="Calibri" w:hAnsi="Calibri" w:eastAsia="Calibri"/>
                <w:b/>
                <w:color w:val="1F2933"/>
                <w:sz w:val="16"/>
              </w:rPr>
              <w:t>8</w:t>
            </w:r>
          </w:p>
        </w:tc>
        <w:tc>
          <w:tcPr>
            <w:tcW w:type="dxa" w:w="250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Regional feed strategy</w:t>
            </w:r>
          </w:p>
        </w:tc>
        <w:tc>
          <w:tcPr>
            <w:tcW w:type="dxa" w:w="611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B2 raises carbon 17.6% without adding gross slurry.</w:t>
            </w:r>
          </w:p>
        </w:tc>
      </w:tr>
      <w:tr>
        <w:tc>
          <w:tcPr>
            <w:tcW w:type="dxa" w:w="750"/>
            <w:tcMar>
              <w:top w:w="80" w:type="dxa"/>
              <w:start w:w="120" w:type="dxa"/>
              <w:bottom w:w="80" w:type="dxa"/>
              <w:end w:w="120" w:type="dxa"/>
            </w:tcMar>
            <w:vAlign w:val="center"/>
          </w:tcPr>
          <w:p>
            <w:pPr>
              <w:spacing w:after="0" w:line="269" w:lineRule="auto"/>
              <w:jc w:val="center"/>
            </w:pPr>
            <w:r>
              <w:rPr>
                <w:rFonts w:ascii="Calibri" w:hAnsi="Calibri" w:eastAsia="Calibri"/>
                <w:b/>
                <w:color w:val="1F2933"/>
                <w:sz w:val="16"/>
              </w:rPr>
              <w:t>9</w:t>
            </w:r>
          </w:p>
        </w:tc>
        <w:tc>
          <w:tcPr>
            <w:tcW w:type="dxa" w:w="25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Economic reality</w:t>
            </w:r>
          </w:p>
        </w:tc>
        <w:tc>
          <w:tcPr>
            <w:tcW w:type="dxa" w:w="611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RMB 1.90bn CAPEX; RMB 5.2m/y EBITDA; −RMB 1.856bn NPV.</w:t>
            </w:r>
          </w:p>
        </w:tc>
      </w:tr>
      <w:tr>
        <w:tc>
          <w:tcPr>
            <w:tcW w:type="dxa" w:w="750"/>
            <w:shd w:fill="FAFBFC"/>
            <w:tcMar>
              <w:top w:w="80" w:type="dxa"/>
              <w:start w:w="120" w:type="dxa"/>
              <w:bottom w:w="80" w:type="dxa"/>
              <w:end w:w="120" w:type="dxa"/>
            </w:tcMar>
            <w:vAlign w:val="center"/>
          </w:tcPr>
          <w:p>
            <w:pPr>
              <w:spacing w:after="0" w:line="269" w:lineRule="auto"/>
              <w:jc w:val="center"/>
            </w:pPr>
            <w:r>
              <w:rPr>
                <w:rFonts w:ascii="Calibri" w:hAnsi="Calibri" w:eastAsia="Calibri"/>
                <w:b/>
                <w:color w:val="1F2933"/>
                <w:sz w:val="16"/>
              </w:rPr>
              <w:t>10</w:t>
            </w:r>
          </w:p>
        </w:tc>
        <w:tc>
          <w:tcPr>
            <w:tcW w:type="dxa" w:w="250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What could work</w:t>
            </w:r>
          </w:p>
        </w:tc>
        <w:tc>
          <w:tcPr>
            <w:tcW w:type="dxa" w:w="611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Contracted gate fees, capital/energy reductions, scale, premiums, or simpler product.</w:t>
            </w:r>
          </w:p>
        </w:tc>
      </w:tr>
      <w:tr>
        <w:tc>
          <w:tcPr>
            <w:tcW w:type="dxa" w:w="750"/>
            <w:tcMar>
              <w:top w:w="80" w:type="dxa"/>
              <w:start w:w="120" w:type="dxa"/>
              <w:bottom w:w="80" w:type="dxa"/>
              <w:end w:w="120" w:type="dxa"/>
            </w:tcMar>
            <w:vAlign w:val="center"/>
          </w:tcPr>
          <w:p>
            <w:pPr>
              <w:spacing w:after="0" w:line="269" w:lineRule="auto"/>
              <w:jc w:val="center"/>
            </w:pPr>
            <w:r>
              <w:rPr>
                <w:rFonts w:ascii="Calibri" w:hAnsi="Calibri" w:eastAsia="Calibri"/>
                <w:b/>
                <w:color w:val="1F2933"/>
                <w:sz w:val="16"/>
              </w:rPr>
              <w:t>11</w:t>
            </w:r>
          </w:p>
        </w:tc>
        <w:tc>
          <w:tcPr>
            <w:tcW w:type="dxa" w:w="250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Risks + gates</w:t>
            </w:r>
          </w:p>
        </w:tc>
        <w:tc>
          <w:tcPr>
            <w:tcW w:type="dxa" w:w="6110"/>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Long-duration proof across salt, slurry, materials, catalysts, products, and contracts.</w:t>
            </w:r>
          </w:p>
        </w:tc>
      </w:tr>
      <w:tr>
        <w:tc>
          <w:tcPr>
            <w:tcW w:type="dxa" w:w="750"/>
            <w:shd w:fill="FAFBFC"/>
            <w:tcMar>
              <w:top w:w="80" w:type="dxa"/>
              <w:start w:w="120" w:type="dxa"/>
              <w:bottom w:w="80" w:type="dxa"/>
              <w:end w:w="120" w:type="dxa"/>
            </w:tcMar>
            <w:vAlign w:val="center"/>
          </w:tcPr>
          <w:p>
            <w:pPr>
              <w:spacing w:after="0" w:line="269" w:lineRule="auto"/>
              <w:jc w:val="center"/>
            </w:pPr>
            <w:r>
              <w:rPr>
                <w:rFonts w:ascii="Calibri" w:hAnsi="Calibri" w:eastAsia="Calibri"/>
                <w:b/>
                <w:color w:val="1F2933"/>
                <w:sz w:val="16"/>
              </w:rPr>
              <w:t>12</w:t>
            </w:r>
          </w:p>
        </w:tc>
        <w:tc>
          <w:tcPr>
            <w:tcW w:type="dxa" w:w="250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Recommendation</w:t>
            </w:r>
          </w:p>
        </w:tc>
        <w:tc>
          <w:tcPr>
            <w:tcW w:type="dxa" w:w="6110"/>
            <w:shd w:fill="FAFBFC"/>
            <w:tcMar>
              <w:top w:w="80" w:type="dxa"/>
              <w:start w:w="120" w:type="dxa"/>
              <w:bottom w:w="80" w:type="dxa"/>
              <w:end w:w="120" w:type="dxa"/>
            </w:tcMar>
            <w:vAlign w:val="center"/>
          </w:tcPr>
          <w:p>
            <w:pPr>
              <w:spacing w:after="0" w:line="269" w:lineRule="auto"/>
              <w:jc w:val="left"/>
            </w:pPr>
            <w:r>
              <w:rPr>
                <w:rFonts w:ascii="Calibri" w:hAnsi="Calibri" w:eastAsia="Calibri"/>
                <w:b w:val="0"/>
                <w:color w:val="1F2933"/>
                <w:sz w:val="16"/>
              </w:rPr>
              <w:t>Fund continuous pilot/vendor study; commercial FEED only after evidence passes.</w:t>
            </w:r>
          </w:p>
        </w:tc>
      </w:tr>
    </w:tbl>
    <w:p>
      <w:pPr>
        <w:spacing w:after="0"/>
      </w:pPr>
    </w:p>
    <w:p>
      <w:pPr>
        <w:pStyle w:val="Heading2"/>
      </w:pPr>
      <w:r>
        <w:t>Narrative discipline</w:t>
      </w:r>
    </w:p>
    <w:p>
      <w:pPr>
        <w:pStyle w:val="ListBullet"/>
        <w:spacing w:after="80" w:line="300" w:lineRule="auto"/>
        <w:ind w:left="540" w:hanging="271"/>
      </w:pPr>
      <w:r>
        <w:rPr>
          <w:rFonts w:ascii="Calibri" w:hAnsi="Calibri" w:eastAsia="Calibri"/>
        </w:rPr>
        <w:t xml:space="preserve"> </w:t>
      </w:r>
      <w:r>
        <w:rPr>
          <w:rFonts w:ascii="Calibri" w:hAnsi="Calibri" w:eastAsia="Calibri"/>
        </w:rPr>
        <w:t>Lead with the decision, not the technology list: this is a pilot-stage circular-economy service concept.</w:t>
      </w:r>
    </w:p>
    <w:p>
      <w:pPr>
        <w:pStyle w:val="ListBullet"/>
        <w:spacing w:after="80" w:line="300" w:lineRule="auto"/>
        <w:ind w:left="540" w:hanging="271"/>
      </w:pPr>
      <w:r>
        <w:rPr>
          <w:rFonts w:ascii="Calibri" w:hAnsi="Calibri" w:eastAsia="Calibri"/>
        </w:rPr>
        <w:t xml:space="preserve"> </w:t>
      </w:r>
      <w:r>
        <w:rPr>
          <w:rFonts w:ascii="Calibri" w:hAnsi="Calibri" w:eastAsia="Calibri"/>
        </w:rPr>
        <w:t>Use ‘screened’, ‘assumed’, and ‘requires validation’ consistently; never say the 42% efficiency or 22.74 kt/year has been achieved.</w:t>
      </w:r>
    </w:p>
    <w:p>
      <w:pPr>
        <w:pStyle w:val="ListBullet"/>
        <w:spacing w:after="80" w:line="300" w:lineRule="auto"/>
        <w:ind w:left="540" w:hanging="271"/>
      </w:pPr>
      <w:r>
        <w:rPr>
          <w:rFonts w:ascii="Calibri" w:hAnsi="Calibri" w:eastAsia="Calibri"/>
        </w:rPr>
        <w:t xml:space="preserve"> </w:t>
      </w:r>
      <w:r>
        <w:rPr>
          <w:rFonts w:ascii="Calibri" w:hAnsi="Calibri" w:eastAsia="Calibri"/>
        </w:rPr>
        <w:t>State the negative economics early. Credibility rises when the audience sees that the report does not hide the answer.</w:t>
      </w:r>
    </w:p>
    <w:p>
      <w:pPr>
        <w:pStyle w:val="ListBullet"/>
        <w:spacing w:after="80" w:line="300" w:lineRule="auto"/>
        <w:ind w:left="540" w:hanging="271"/>
      </w:pPr>
      <w:r>
        <w:rPr>
          <w:rFonts w:ascii="Calibri" w:hAnsi="Calibri" w:eastAsia="Calibri"/>
        </w:rPr>
        <w:t xml:space="preserve"> </w:t>
      </w:r>
      <w:r>
        <w:rPr>
          <w:rFonts w:ascii="Calibri" w:hAnsi="Calibri" w:eastAsia="Calibri"/>
        </w:rPr>
        <w:t>End on evidence and choice: which data will decide whether to scale, change product, or stop.</w:t>
      </w:r>
    </w:p>
    <w:p>
      <w:pPr>
        <w:keepLines/>
        <w:spacing w:before="40" w:after="0"/>
      </w:pPr>
      <w:r>
        <w:rPr>
          <w:rFonts w:ascii="Calibri" w:hAnsi="Calibri" w:eastAsia="Calibri"/>
          <w:b/>
          <w:color w:val="667085"/>
          <w:sz w:val="16"/>
        </w:rPr>
        <w:t xml:space="preserve">Source basis: </w:t>
      </w:r>
      <w:r>
        <w:rPr>
          <w:rFonts w:ascii="Calibri" w:hAnsi="Calibri" w:eastAsia="Calibri"/>
          <w:i/>
          <w:color w:val="667085"/>
          <w:sz w:val="16"/>
        </w:rPr>
        <w:t>Presentation synthesis of the full report; no new engineering claims added.</w:t>
      </w:r>
    </w:p>
    <w:p>
      <w:pPr>
        <w:sectPr>
          <w:headerReference w:type="default" r:id="rId115"/>
          <w:headerReference w:type="even" r:id="rId116"/>
          <w:headerReference w:type="first" r:id="rId117"/>
          <w:footerReference w:type="default" r:id="rId118"/>
          <w:footerReference w:type="even" r:id="rId119"/>
          <w:footerReference w:type="first" r:id="rId120"/>
          <w:pgSz w:w="12240" w:h="15840"/>
          <w:pgMar w:top="0" w:right="1440" w:bottom="1440" w:left="1440" w:header="0" w:footer="708" w:gutter="0"/>
          <w:cols w:space="720"/>
          <w:titlePg/>
          <w:docGrid w:linePitch="360"/>
        </w:sectPr>
      </w:pPr>
    </w:p>
    <w:p>
      <w:pPr>
        <w:pStyle w:val="PacketKicker"/>
        <w:spacing w:before="1080"/>
      </w:pPr>
      <w:r>
        <w:t>18 · Presenter quick reference</w:t>
      </w:r>
    </w:p>
    <w:p>
      <w:pPr>
        <w:pStyle w:val="Heading1"/>
      </w:pPr>
      <w:r>
        <w:t>Likely questions—and concise answers</w:t>
      </w:r>
    </w:p>
    <w:p>
      <w:pPr>
        <w:keepLines/>
        <w:spacing w:before="80" w:after="120"/>
      </w:pPr>
      <w:r>
        <w:rPr>
          <w:rFonts w:ascii="Calibri" w:hAnsi="Calibri" w:eastAsia="Calibri"/>
          <w:b/>
          <w:color w:val="0A236F"/>
          <w:sz w:val="20"/>
        </w:rPr>
        <w:t xml:space="preserve">Why SCWG instead of drying?  </w:t>
      </w:r>
      <w:r>
        <w:rPr>
          <w:rFonts w:ascii="Calibri" w:hAnsi="Calibri" w:eastAsia="Calibri"/>
          <w:color w:val="1F2933"/>
          <w:sz w:val="20"/>
        </w:rPr>
        <w:t>Okara is mostly water. SCWG uses that water as reaction medium, avoiding a front-end drying penalty.</w:t>
      </w:r>
    </w:p>
    <w:p>
      <w:pPr>
        <w:keepLines/>
        <w:spacing w:before="80" w:after="120"/>
      </w:pPr>
      <w:r>
        <w:rPr>
          <w:rFonts w:ascii="Calibri" w:hAnsi="Calibri" w:eastAsia="Calibri"/>
          <w:b/>
          <w:color w:val="0A236F"/>
          <w:sz w:val="20"/>
        </w:rPr>
        <w:t xml:space="preserve">What does red mud actually do?  </w:t>
      </w:r>
      <w:r>
        <w:rPr>
          <w:rFonts w:ascii="Calibri" w:hAnsi="Calibri" w:eastAsia="Calibri"/>
          <w:color w:val="1F2933"/>
          <w:sz w:val="20"/>
        </w:rPr>
        <w:t>Potential catalyst and alkali/tar-cracking aid, while being dealkalized. All three roles need representative-feed testing.</w:t>
      </w:r>
    </w:p>
    <w:p>
      <w:pPr>
        <w:keepLines/>
        <w:spacing w:before="80" w:after="120"/>
      </w:pPr>
      <w:r>
        <w:rPr>
          <w:rFonts w:ascii="Calibri" w:hAnsi="Calibri" w:eastAsia="Calibri"/>
          <w:b/>
          <w:color w:val="0A236F"/>
          <w:sz w:val="20"/>
        </w:rPr>
        <w:t xml:space="preserve">Why is salt recovery central?  </w:t>
      </w:r>
      <w:r>
        <w:rPr>
          <w:rFonts w:ascii="Calibri" w:hAnsi="Calibri" w:eastAsia="Calibri"/>
          <w:color w:val="1F2933"/>
          <w:sz w:val="20"/>
        </w:rPr>
        <w:t>The alkali that may help chemistry precipitates in supercritical water. Stable salt withdrawal controls availability and residue quality.</w:t>
      </w:r>
    </w:p>
    <w:p>
      <w:pPr>
        <w:keepLines/>
        <w:spacing w:before="80" w:after="120"/>
      </w:pPr>
      <w:r>
        <w:rPr>
          <w:rFonts w:ascii="Calibri" w:hAnsi="Calibri" w:eastAsia="Calibri"/>
          <w:b/>
          <w:color w:val="0A236F"/>
          <w:sz w:val="20"/>
        </w:rPr>
        <w:t xml:space="preserve">Why add a reformer?  </w:t>
      </w:r>
      <w:r>
        <w:rPr>
          <w:rFonts w:ascii="Calibri" w:hAnsi="Calibri" w:eastAsia="Calibri"/>
          <w:color w:val="1F2933"/>
          <w:sz w:val="20"/>
        </w:rPr>
        <w:t>SCWG produces almost no CO; OXZEO needs CO. Bi-reforming converts CH₄/CO₂ into the required syngas.</w:t>
      </w:r>
    </w:p>
    <w:p>
      <w:pPr>
        <w:keepLines/>
        <w:spacing w:before="80" w:after="120"/>
      </w:pPr>
      <w:r>
        <w:rPr>
          <w:rFonts w:ascii="Calibri" w:hAnsi="Calibri" w:eastAsia="Calibri"/>
          <w:b/>
          <w:color w:val="0A236F"/>
          <w:sz w:val="20"/>
        </w:rPr>
        <w:t xml:space="preserve">Why not capture sulfur with calcium?  </w:t>
      </w:r>
      <w:r>
        <w:rPr>
          <w:rFonts w:ascii="Calibri" w:hAnsi="Calibri" w:eastAsia="Calibri"/>
          <w:color w:val="1F2933"/>
          <w:sz w:val="20"/>
        </w:rPr>
        <w:t>CaS can hydrolyse in hot water and release H₂S again. Rectisol + ZnO is the defensible route.</w:t>
      </w:r>
    </w:p>
    <w:p>
      <w:pPr>
        <w:keepLines/>
        <w:spacing w:before="80" w:after="120"/>
      </w:pPr>
      <w:r>
        <w:rPr>
          <w:rFonts w:ascii="Calibri" w:hAnsi="Calibri" w:eastAsia="Calibri"/>
          <w:b/>
          <w:color w:val="0A236F"/>
          <w:sz w:val="20"/>
        </w:rPr>
        <w:t xml:space="preserve">Is 42% a measured yield?  </w:t>
      </w:r>
      <w:r>
        <w:rPr>
          <w:rFonts w:ascii="Calibri" w:hAnsi="Calibri" w:eastAsia="Calibri"/>
          <w:color w:val="1F2933"/>
          <w:sz w:val="20"/>
        </w:rPr>
        <w:t>No. It is an integrated screening carbon-efficiency assumption that the continuous pilot must replace.</w:t>
      </w:r>
    </w:p>
    <w:p>
      <w:pPr>
        <w:keepLines/>
        <w:spacing w:before="80" w:after="120"/>
      </w:pPr>
      <w:r>
        <w:rPr>
          <w:rFonts w:ascii="Calibri" w:hAnsi="Calibri" w:eastAsia="Calibri"/>
          <w:b/>
          <w:color w:val="0A236F"/>
          <w:sz w:val="20"/>
        </w:rPr>
        <w:t xml:space="preserve">Does B2 make the project economic?  </w:t>
      </w:r>
      <w:r>
        <w:rPr>
          <w:rFonts w:ascii="Calibri" w:hAnsi="Calibri" w:eastAsia="Calibri"/>
          <w:color w:val="1F2933"/>
          <w:sz w:val="20"/>
        </w:rPr>
        <w:t>No. It improves carbon density and offsets some loss; the five-train NPV remains strongly negative.</w:t>
      </w:r>
    </w:p>
    <w:p>
      <w:pPr>
        <w:keepLines/>
        <w:spacing w:before="80" w:after="120"/>
      </w:pPr>
      <w:r>
        <w:rPr>
          <w:rFonts w:ascii="Calibri" w:hAnsi="Calibri" w:eastAsia="Calibri"/>
          <w:b/>
          <w:color w:val="0A236F"/>
          <w:sz w:val="20"/>
        </w:rPr>
        <w:t xml:space="preserve">Why can ten trains screen positive?  </w:t>
      </w:r>
      <w:r>
        <w:rPr>
          <w:rFonts w:ascii="Calibri" w:hAnsi="Calibri" w:eastAsia="Calibri"/>
          <w:color w:val="1F2933"/>
          <w:sz w:val="20"/>
        </w:rPr>
        <w:t>Only because scale is combined with better efficiency, price, gate fees, lower CAPEX, and lower energy. It is an envelope, not a forecast.</w:t>
      </w:r>
    </w:p>
    <w:p>
      <w:pPr>
        <w:keepLines/>
        <w:spacing w:before="80" w:after="120"/>
      </w:pPr>
      <w:r>
        <w:rPr>
          <w:rFonts w:ascii="Calibri" w:hAnsi="Calibri" w:eastAsia="Calibri"/>
          <w:b/>
          <w:color w:val="0A236F"/>
          <w:sz w:val="20"/>
        </w:rPr>
        <w:t xml:space="preserve">What is the biggest technical risk?  </w:t>
      </w:r>
      <w:r>
        <w:rPr>
          <w:rFonts w:ascii="Calibri" w:hAnsi="Calibri" w:eastAsia="Calibri"/>
          <w:color w:val="1F2933"/>
          <w:sz w:val="20"/>
        </w:rPr>
        <w:t>Salt plugging, followed closely by slurry reliability and unproven integrated catalyst performance.</w:t>
      </w:r>
    </w:p>
    <w:p>
      <w:pPr>
        <w:keepLines/>
        <w:spacing w:before="80" w:after="120"/>
      </w:pPr>
      <w:r>
        <w:rPr>
          <w:rFonts w:ascii="Calibri" w:hAnsi="Calibri" w:eastAsia="Calibri"/>
          <w:b/>
          <w:color w:val="0A236F"/>
          <w:sz w:val="20"/>
        </w:rPr>
        <w:t xml:space="preserve">What is the biggest commercial risk?  </w:t>
      </w:r>
      <w:r>
        <w:rPr>
          <w:rFonts w:ascii="Calibri" w:hAnsi="Calibri" w:eastAsia="Calibri"/>
          <w:color w:val="1F2933"/>
          <w:sz w:val="20"/>
        </w:rPr>
        <w:t>Unavailable gate fees/premiums and capital above the screening basis.</w:t>
      </w:r>
    </w:p>
    <w:p>
      <w:pPr>
        <w:keepLines/>
        <w:spacing w:before="80" w:after="120"/>
      </w:pPr>
      <w:r>
        <w:rPr>
          <w:rFonts w:ascii="Calibri" w:hAnsi="Calibri" w:eastAsia="Calibri"/>
          <w:b/>
          <w:color w:val="0A236F"/>
          <w:sz w:val="20"/>
        </w:rPr>
        <w:t xml:space="preserve">What should happen next?  </w:t>
      </w:r>
      <w:r>
        <w:rPr>
          <w:rFonts w:ascii="Calibri" w:hAnsi="Calibri" w:eastAsia="Calibri"/>
          <w:color w:val="1F2933"/>
          <w:sz w:val="20"/>
        </w:rPr>
        <w:t>A 1–5 t/day continuous pilot, long-duration salt/feed testing, real-gas catalyst campaigns, product qualification, and Chinese vendor quotes.</w:t>
      </w:r>
    </w:p>
    <w:p>
      <w:pPr>
        <w:pStyle w:val="Heading2"/>
      </w:pPr>
      <w:r>
        <w:t>Numbers worth memorising</w:t>
      </w:r>
    </w:p>
    <w:p>
      <w:pPr>
        <w:spacing w:after="120"/>
      </w:pPr>
      <w:r>
        <w:rPr>
          <w:rFonts w:ascii="Calibri" w:hAnsi="Calibri" w:eastAsia="Calibri"/>
          <w:i w:val="0"/>
        </w:rPr>
        <w:t>300 t/day per train · five trains · 625 °C · 25 MPa · 60 s · 19.07 wt% base solids · 23.70 t C/day per train · 42% screened olefin-carbon efficiency · 19.33 kt/year base · 22.74 kt/year B2 screen · 207 GJ/day purchased-energy equivalent per train · RMB 1.90bn CAPEX · RMB 160.2m/year OPEX · RMB 5.2m/year EBITDA · −RMB 1.856bn NPV · 1–5 t/day recommended pilot.</w:t>
      </w:r>
    </w:p>
    <w:p>
      <w:pPr>
        <w:keepLines/>
        <w:spacing w:before="40" w:after="0"/>
      </w:pPr>
      <w:r>
        <w:rPr>
          <w:rFonts w:ascii="Calibri" w:hAnsi="Calibri" w:eastAsia="Calibri"/>
          <w:b/>
          <w:color w:val="667085"/>
          <w:sz w:val="16"/>
        </w:rPr>
        <w:t xml:space="preserve">Source basis: </w:t>
      </w:r>
      <w:r>
        <w:rPr>
          <w:rFonts w:ascii="Calibri" w:hAnsi="Calibri" w:eastAsia="Calibri"/>
          <w:i/>
          <w:color w:val="667085"/>
          <w:sz w:val="16"/>
        </w:rPr>
        <w:t>Final report dated 5 August 2026. This packet condenses the report and should not replace the full assumptions, calculation, HAZOP, equipment, or validation registers.</w:t>
      </w:r>
    </w:p>
    <w:sectPr w:rsidR="00FC693F" w:rsidRPr="0006063C" w:rsidSect="00034616">
      <w:headerReference w:type="default" r:id="rId121"/>
      <w:headerReference w:type="even" r:id="rId122"/>
      <w:headerReference w:type="first" r:id="rId123"/>
      <w:footerReference w:type="default" r:id="rId124"/>
      <w:footerReference w:type="even" r:id="rId125"/>
      <w:footerReference w:type="first" r:id="rId126"/>
      <w:pgSz w:w="12240" w:h="15840"/>
      <w:pgMar w:top="0" w:right="1440" w:bottom="1440" w:left="1440" w:header="0"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Curtis Lee  ·  </w:t>
    </w:r>
    <w:r>
      <w:rPr>
        <w:rFonts w:ascii="Calibri" w:hAnsi="Calibri" w:eastAsia="Calibri"/>
        <w:color w:val="667085"/>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Arial" w:hAnsi="Arial"/>
      </w:r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A236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B6B3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A236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Calibri" w:hAnsi="Calibri"/>
      <w:b/>
      <w:bCs/>
      <w:i/>
      <w:color w:val="66708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cketKicker">
    <w:name w:val="Packet Kicker"/>
    <w:pPr>
      <w:keepNext/>
      <w:spacing w:before="0" w:after="140"/>
    </w:pPr>
    <w:rPr>
      <w:rFonts w:ascii="Calibri" w:hAnsi="Calibri"/>
      <w:b/>
      <w:caps/>
      <w:color w:val="0B6B3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header" Target="header11.xml"/><Relationship Id="rId29" Type="http://schemas.openxmlformats.org/officeDocument/2006/relationships/header" Target="header12.xml"/><Relationship Id="rId30" Type="http://schemas.openxmlformats.org/officeDocument/2006/relationships/footer" Target="footer10.xml"/><Relationship Id="rId31" Type="http://schemas.openxmlformats.org/officeDocument/2006/relationships/footer" Target="footer11.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header" Target="header14.xml"/><Relationship Id="rId35" Type="http://schemas.openxmlformats.org/officeDocument/2006/relationships/header" Target="header15.xml"/><Relationship Id="rId36" Type="http://schemas.openxmlformats.org/officeDocument/2006/relationships/footer" Target="footer13.xml"/><Relationship Id="rId37" Type="http://schemas.openxmlformats.org/officeDocument/2006/relationships/footer" Target="footer14.xml"/><Relationship Id="rId38" Type="http://schemas.openxmlformats.org/officeDocument/2006/relationships/footer" Target="footer15.xml"/><Relationship Id="rId39" Type="http://schemas.openxmlformats.org/officeDocument/2006/relationships/image" Target="media/image1.png"/><Relationship Id="rId40" Type="http://schemas.openxmlformats.org/officeDocument/2006/relationships/header" Target="header16.xml"/><Relationship Id="rId41" Type="http://schemas.openxmlformats.org/officeDocument/2006/relationships/header" Target="header17.xml"/><Relationship Id="rId42" Type="http://schemas.openxmlformats.org/officeDocument/2006/relationships/header" Target="header18.xml"/><Relationship Id="rId43" Type="http://schemas.openxmlformats.org/officeDocument/2006/relationships/footer" Target="footer16.xml"/><Relationship Id="rId44" Type="http://schemas.openxmlformats.org/officeDocument/2006/relationships/footer" Target="footer17.xml"/><Relationship Id="rId45" Type="http://schemas.openxmlformats.org/officeDocument/2006/relationships/footer" Target="footer18.xml"/><Relationship Id="rId46" Type="http://schemas.openxmlformats.org/officeDocument/2006/relationships/header" Target="header19.xml"/><Relationship Id="rId47" Type="http://schemas.openxmlformats.org/officeDocument/2006/relationships/header" Target="header20.xml"/><Relationship Id="rId48" Type="http://schemas.openxmlformats.org/officeDocument/2006/relationships/header" Target="header21.xml"/><Relationship Id="rId49" Type="http://schemas.openxmlformats.org/officeDocument/2006/relationships/footer" Target="footer19.xml"/><Relationship Id="rId50" Type="http://schemas.openxmlformats.org/officeDocument/2006/relationships/footer" Target="footer20.xml"/><Relationship Id="rId51" Type="http://schemas.openxmlformats.org/officeDocument/2006/relationships/footer" Target="footer21.xml"/><Relationship Id="rId52" Type="http://schemas.openxmlformats.org/officeDocument/2006/relationships/image" Target="media/image2.png"/><Relationship Id="rId53" Type="http://schemas.openxmlformats.org/officeDocument/2006/relationships/header" Target="header22.xml"/><Relationship Id="rId54" Type="http://schemas.openxmlformats.org/officeDocument/2006/relationships/header" Target="header23.xml"/><Relationship Id="rId55" Type="http://schemas.openxmlformats.org/officeDocument/2006/relationships/header" Target="header24.xml"/><Relationship Id="rId56" Type="http://schemas.openxmlformats.org/officeDocument/2006/relationships/footer" Target="footer22.xml"/><Relationship Id="rId57" Type="http://schemas.openxmlformats.org/officeDocument/2006/relationships/footer" Target="footer23.xml"/><Relationship Id="rId58" Type="http://schemas.openxmlformats.org/officeDocument/2006/relationships/footer" Target="footer24.xml"/><Relationship Id="rId59" Type="http://schemas.openxmlformats.org/officeDocument/2006/relationships/image" Target="media/image3.png"/><Relationship Id="rId60" Type="http://schemas.openxmlformats.org/officeDocument/2006/relationships/header" Target="header25.xml"/><Relationship Id="rId61" Type="http://schemas.openxmlformats.org/officeDocument/2006/relationships/header" Target="header26.xml"/><Relationship Id="rId62" Type="http://schemas.openxmlformats.org/officeDocument/2006/relationships/header" Target="header27.xml"/><Relationship Id="rId63" Type="http://schemas.openxmlformats.org/officeDocument/2006/relationships/footer" Target="footer25.xml"/><Relationship Id="rId64" Type="http://schemas.openxmlformats.org/officeDocument/2006/relationships/footer" Target="footer26.xml"/><Relationship Id="rId65" Type="http://schemas.openxmlformats.org/officeDocument/2006/relationships/footer" Target="footer27.xml"/><Relationship Id="rId66" Type="http://schemas.openxmlformats.org/officeDocument/2006/relationships/header" Target="header28.xml"/><Relationship Id="rId67" Type="http://schemas.openxmlformats.org/officeDocument/2006/relationships/header" Target="header29.xml"/><Relationship Id="rId68" Type="http://schemas.openxmlformats.org/officeDocument/2006/relationships/header" Target="header30.xml"/><Relationship Id="rId69" Type="http://schemas.openxmlformats.org/officeDocument/2006/relationships/footer" Target="footer28.xml"/><Relationship Id="rId70" Type="http://schemas.openxmlformats.org/officeDocument/2006/relationships/footer" Target="footer29.xml"/><Relationship Id="rId71" Type="http://schemas.openxmlformats.org/officeDocument/2006/relationships/footer" Target="footer30.xml"/><Relationship Id="rId72" Type="http://schemas.openxmlformats.org/officeDocument/2006/relationships/image" Target="media/image4.png"/><Relationship Id="rId73" Type="http://schemas.openxmlformats.org/officeDocument/2006/relationships/header" Target="header31.xml"/><Relationship Id="rId74" Type="http://schemas.openxmlformats.org/officeDocument/2006/relationships/header" Target="header32.xml"/><Relationship Id="rId75" Type="http://schemas.openxmlformats.org/officeDocument/2006/relationships/header" Target="header33.xml"/><Relationship Id="rId76" Type="http://schemas.openxmlformats.org/officeDocument/2006/relationships/footer" Target="footer31.xml"/><Relationship Id="rId77" Type="http://schemas.openxmlformats.org/officeDocument/2006/relationships/footer" Target="footer32.xml"/><Relationship Id="rId78" Type="http://schemas.openxmlformats.org/officeDocument/2006/relationships/footer" Target="footer33.xml"/><Relationship Id="rId79" Type="http://schemas.openxmlformats.org/officeDocument/2006/relationships/header" Target="header34.xml"/><Relationship Id="rId80" Type="http://schemas.openxmlformats.org/officeDocument/2006/relationships/header" Target="header35.xml"/><Relationship Id="rId81" Type="http://schemas.openxmlformats.org/officeDocument/2006/relationships/header" Target="header36.xml"/><Relationship Id="rId82" Type="http://schemas.openxmlformats.org/officeDocument/2006/relationships/footer" Target="footer34.xml"/><Relationship Id="rId83" Type="http://schemas.openxmlformats.org/officeDocument/2006/relationships/footer" Target="footer35.xml"/><Relationship Id="rId84" Type="http://schemas.openxmlformats.org/officeDocument/2006/relationships/footer" Target="footer36.xml"/><Relationship Id="rId85" Type="http://schemas.openxmlformats.org/officeDocument/2006/relationships/header" Target="header37.xml"/><Relationship Id="rId86" Type="http://schemas.openxmlformats.org/officeDocument/2006/relationships/header" Target="header38.xml"/><Relationship Id="rId87" Type="http://schemas.openxmlformats.org/officeDocument/2006/relationships/header" Target="header39.xml"/><Relationship Id="rId88" Type="http://schemas.openxmlformats.org/officeDocument/2006/relationships/footer" Target="footer37.xml"/><Relationship Id="rId89" Type="http://schemas.openxmlformats.org/officeDocument/2006/relationships/footer" Target="footer38.xml"/><Relationship Id="rId90" Type="http://schemas.openxmlformats.org/officeDocument/2006/relationships/footer" Target="footer39.xml"/><Relationship Id="rId91" Type="http://schemas.openxmlformats.org/officeDocument/2006/relationships/header" Target="header40.xml"/><Relationship Id="rId92" Type="http://schemas.openxmlformats.org/officeDocument/2006/relationships/header" Target="header41.xml"/><Relationship Id="rId93" Type="http://schemas.openxmlformats.org/officeDocument/2006/relationships/header" Target="header42.xml"/><Relationship Id="rId94" Type="http://schemas.openxmlformats.org/officeDocument/2006/relationships/footer" Target="footer40.xml"/><Relationship Id="rId95" Type="http://schemas.openxmlformats.org/officeDocument/2006/relationships/footer" Target="footer41.xml"/><Relationship Id="rId96" Type="http://schemas.openxmlformats.org/officeDocument/2006/relationships/footer" Target="footer42.xml"/><Relationship Id="rId97" Type="http://schemas.openxmlformats.org/officeDocument/2006/relationships/header" Target="header43.xml"/><Relationship Id="rId98" Type="http://schemas.openxmlformats.org/officeDocument/2006/relationships/header" Target="header44.xml"/><Relationship Id="rId99" Type="http://schemas.openxmlformats.org/officeDocument/2006/relationships/header" Target="header45.xml"/><Relationship Id="rId100" Type="http://schemas.openxmlformats.org/officeDocument/2006/relationships/footer" Target="footer43.xml"/><Relationship Id="rId101" Type="http://schemas.openxmlformats.org/officeDocument/2006/relationships/footer" Target="footer44.xml"/><Relationship Id="rId102" Type="http://schemas.openxmlformats.org/officeDocument/2006/relationships/footer" Target="footer45.xml"/><Relationship Id="rId103" Type="http://schemas.openxmlformats.org/officeDocument/2006/relationships/header" Target="header46.xml"/><Relationship Id="rId104" Type="http://schemas.openxmlformats.org/officeDocument/2006/relationships/header" Target="header47.xml"/><Relationship Id="rId105" Type="http://schemas.openxmlformats.org/officeDocument/2006/relationships/header" Target="header48.xml"/><Relationship Id="rId106" Type="http://schemas.openxmlformats.org/officeDocument/2006/relationships/footer" Target="footer46.xml"/><Relationship Id="rId107" Type="http://schemas.openxmlformats.org/officeDocument/2006/relationships/footer" Target="footer47.xml"/><Relationship Id="rId108" Type="http://schemas.openxmlformats.org/officeDocument/2006/relationships/footer" Target="footer48.xml"/><Relationship Id="rId109" Type="http://schemas.openxmlformats.org/officeDocument/2006/relationships/header" Target="header49.xml"/><Relationship Id="rId110" Type="http://schemas.openxmlformats.org/officeDocument/2006/relationships/header" Target="header50.xml"/><Relationship Id="rId111" Type="http://schemas.openxmlformats.org/officeDocument/2006/relationships/header" Target="header51.xml"/><Relationship Id="rId112" Type="http://schemas.openxmlformats.org/officeDocument/2006/relationships/footer" Target="footer49.xml"/><Relationship Id="rId113" Type="http://schemas.openxmlformats.org/officeDocument/2006/relationships/footer" Target="footer50.xml"/><Relationship Id="rId114" Type="http://schemas.openxmlformats.org/officeDocument/2006/relationships/footer" Target="footer51.xml"/><Relationship Id="rId115" Type="http://schemas.openxmlformats.org/officeDocument/2006/relationships/header" Target="header52.xml"/><Relationship Id="rId116" Type="http://schemas.openxmlformats.org/officeDocument/2006/relationships/header" Target="header53.xml"/><Relationship Id="rId117" Type="http://schemas.openxmlformats.org/officeDocument/2006/relationships/header" Target="header54.xml"/><Relationship Id="rId118" Type="http://schemas.openxmlformats.org/officeDocument/2006/relationships/footer" Target="footer52.xml"/><Relationship Id="rId119" Type="http://schemas.openxmlformats.org/officeDocument/2006/relationships/footer" Target="footer53.xml"/><Relationship Id="rId120" Type="http://schemas.openxmlformats.org/officeDocument/2006/relationships/footer" Target="footer54.xml"/><Relationship Id="rId121" Type="http://schemas.openxmlformats.org/officeDocument/2006/relationships/header" Target="header55.xml"/><Relationship Id="rId122" Type="http://schemas.openxmlformats.org/officeDocument/2006/relationships/header" Target="header56.xml"/><Relationship Id="rId123" Type="http://schemas.openxmlformats.org/officeDocument/2006/relationships/header" Target="header57.xml"/><Relationship Id="rId124" Type="http://schemas.openxmlformats.org/officeDocument/2006/relationships/footer" Target="footer55.xml"/><Relationship Id="rId125" Type="http://schemas.openxmlformats.org/officeDocument/2006/relationships/footer" Target="footer56.xml"/><Relationship Id="rId126" Type="http://schemas.openxmlformats.org/officeDocument/2006/relationships/footer" Target="footer5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Towngas SCWG–OXZEO Presentation Briefing Packet</dc:title>
  <dc:subject>Condensed high-level overview of the 5 August 2026 screening / pre-FEED process design report</dc:subject>
  <dc:creator>Curtis Lee</dc:creator>
  <cp:keywords>SCWG, OXZEO, red mud, okara, regional co-feed, FEED, presentation brief</cp:keywords>
  <dc:description>Prepared as a condensed presentation aid from the cited final report.</dc:description>
  <cp:lastModifiedBy/>
  <cp:revision>1</cp:revision>
  <dcterms:created xsi:type="dcterms:W3CDTF">2013-12-23T23:15:00Z</dcterms:created>
  <dcterms:modified xsi:type="dcterms:W3CDTF">2013-12-23T23:15:00Z</dcterms:modified>
  <cp:category/>
</cp:coreProperties>
</file>