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left"/>
      </w:pPr>
      <w:r>
        <w:rPr>
          <w:rFonts w:ascii="Calibri" w:hAnsi="Calibri" w:eastAsia="Calibri"/>
          <w:b/>
          <w:i w:val="0"/>
          <w:color w:val="1C7C78"/>
          <w:sz w:val="26"/>
        </w:rPr>
        <w:t>TOWNGAS</w:t>
      </w:r>
    </w:p>
    <w:p>
      <w:pPr>
        <w:spacing w:before="240" w:after="140"/>
      </w:pPr>
      <w:r>
        <w:rPr>
          <w:rFonts w:ascii="Calibri" w:hAnsi="Calibri" w:eastAsia="Calibri"/>
          <w:b/>
          <w:i w:val="0"/>
          <w:color w:val="17365D"/>
          <w:sz w:val="56"/>
        </w:rPr>
        <w:t>Supercritical-Water Gasification</w:t>
        <w:br/>
        <w:t>and OXZEO Light-Olefin Synthesis</w:t>
      </w:r>
    </w:p>
    <w:p>
      <w:pPr>
        <w:spacing w:after="440"/>
      </w:pPr>
      <w:r>
        <w:rPr>
          <w:rFonts w:ascii="Calibri" w:hAnsi="Calibri" w:eastAsia="Calibri"/>
          <w:b w:val="0"/>
          <w:i w:val="0"/>
          <w:color w:val="2F5597"/>
          <w:sz w:val="30"/>
        </w:rPr>
        <w:t>Integrated wet-organic-waste and bauxite-residue process design</w:t>
      </w:r>
    </w:p>
    <w:tbl>
      <w:tblPr>
        <w:tblW w:type="auto" w:w="0"/>
        <w:jc w:val="center"/>
        <w:tblLook w:firstColumn="1" w:firstRow="1" w:lastColumn="0" w:lastRow="0" w:noHBand="0" w:noVBand="1" w:val="04A0"/>
      </w:tblPr>
      <w:tblGrid>
        <w:gridCol w:w="9878"/>
      </w:tblGrid>
      <w:tr>
        <w:tc>
          <w:tcPr>
            <w:tcW w:type="dxa" w:w="9878"/>
            <w:shd w:fill="EAF3EC"/>
            <w:tcMar>
              <w:top w:w="130" w:type="dxa"/>
              <w:start w:w="150" w:type="dxa"/>
              <w:bottom w:w="130" w:type="dxa"/>
              <w:end w:w="150" w:type="dxa"/>
            </w:tcMar>
          </w:tcPr>
          <w:p>
            <w:pPr>
              <w:spacing w:line="259" w:lineRule="auto" w:after="0"/>
            </w:pPr>
            <w:r>
              <w:rPr>
                <w:rFonts w:ascii="Calibri" w:hAnsi="Calibri" w:eastAsia="Calibri"/>
                <w:b/>
                <w:i w:val="0"/>
                <w:color w:val="2F6B45"/>
                <w:sz w:val="20"/>
              </w:rPr>
              <w:t xml:space="preserve">SEVENTH EDITION — CONFIDENTIAL INDUSTRIAL DATA INTEGRATION: </w:t>
            </w:r>
            <w:r>
              <w:rPr>
                <w:rFonts w:ascii="Calibri" w:hAnsi="Calibri" w:eastAsia="Calibri"/>
                <w:b w:val="0"/>
                <w:i w:val="0"/>
                <w:color w:val="24282C"/>
                <w:sz w:val="20"/>
              </w:rPr>
              <w:t>Ten 300 t/d hydrothermal trains; douzha-led regional feed portfolio; purposeful salt separation; one-pass residue qualification; shared Rectisol, bi-reforming and OXZEO; 20-year China economics in RMB.</w:t>
            </w:r>
          </w:p>
        </w:tc>
      </w:tr>
    </w:tbl>
    <w:p>
      <w:pPr>
        <w:spacing w:after="20"/>
      </w:pPr>
    </w:p>
    <w:p>
      <w:pPr>
        <w:spacing w:after="320"/>
      </w:pP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8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8"/>
              </w:rPr>
              <w:t>Document basis</w:t>
            </w:r>
          </w:p>
        </w:tc>
        <w:tc>
          <w:tcPr>
            <w:tcW w:type="dxa" w:w="691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8"/>
              </w:rPr>
              <w:t>Value</w:t>
            </w:r>
          </w:p>
        </w:tc>
      </w:tr>
      <w:tr>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8"/>
              </w:rPr>
              <w:t>Commercial throughput</w:t>
            </w:r>
          </w:p>
        </w:tc>
        <w:tc>
          <w:tcPr>
            <w:tcW w:type="dxa" w:w="69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8"/>
              </w:rPr>
              <w:t>3,000 t/d gross slurry; 999,000 t/y at 333 d/y</w:t>
            </w:r>
          </w:p>
        </w:tc>
      </w:tr>
      <w:tr>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8"/>
              </w:rPr>
              <w:t>Hydrothermal configuration</w:t>
            </w:r>
          </w:p>
        </w:tc>
        <w:tc>
          <w:tcPr>
            <w:tcW w:type="dxa" w:w="69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8"/>
              </w:rPr>
              <w:t>10 independently isolatable trains × 300 t/d</w:t>
            </w:r>
          </w:p>
        </w:tc>
      </w:tr>
      <w:tr>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8"/>
              </w:rPr>
              <w:t>Shared downstream</w:t>
            </w:r>
          </w:p>
        </w:tc>
        <w:tc>
          <w:tcPr>
            <w:tcW w:type="dxa" w:w="69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8"/>
              </w:rPr>
              <w:t>B5 acid-gas cleanup, B6 bi-reforming, B7 OXZEO and product recovery</w:t>
            </w:r>
          </w:p>
        </w:tc>
      </w:tr>
      <w:tr>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8"/>
              </w:rPr>
              <w:t>Operating life</w:t>
            </w:r>
          </w:p>
        </w:tc>
        <w:tc>
          <w:tcPr>
            <w:tcW w:type="dxa" w:w="69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8"/>
              </w:rPr>
              <w:t>20 years</w:t>
            </w:r>
          </w:p>
        </w:tc>
      </w:tr>
      <w:tr>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8"/>
              </w:rPr>
              <w:t>Currency / cost year</w:t>
            </w:r>
          </w:p>
        </w:tc>
        <w:tc>
          <w:tcPr>
            <w:tcW w:type="dxa" w:w="69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8"/>
              </w:rPr>
              <w:t>RMB, 2026 screening basis</w:t>
            </w:r>
          </w:p>
        </w:tc>
      </w:tr>
      <w:tr>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8"/>
              </w:rPr>
              <w:t>Estimate class</w:t>
            </w:r>
          </w:p>
        </w:tc>
        <w:tc>
          <w:tcPr>
            <w:tcW w:type="dxa" w:w="69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8"/>
              </w:rPr>
              <w:t>Class 4 screening / pre-FEED; not a vendor guarantee</w:t>
            </w:r>
          </w:p>
        </w:tc>
      </w:tr>
      <w:tr>
        <w:tc>
          <w:tcPr>
            <w:tcW w:type="dxa" w:w="4939"/>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6"/>
              </w:rPr>
              <w:t>Confidentiality</w:t>
            </w:r>
          </w:p>
        </w:tc>
        <w:tc>
          <w:tcPr>
            <w:tcW w:type="dxa" w:w="4939"/>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6"/>
              </w:rPr>
              <w:t>Restricted master; exact source data not approved for public website</w:t>
            </w:r>
          </w:p>
        </w:tc>
      </w:tr>
    </w:tbl>
    <w:p>
      <w:pPr>
        <w:spacing w:after="20"/>
      </w:pPr>
    </w:p>
    <w:p>
      <w:pPr>
        <w:spacing w:before="300"/>
      </w:pPr>
      <w:r>
        <w:rPr>
          <w:rFonts w:ascii="Calibri" w:hAnsi="Calibri" w:eastAsia="Calibri"/>
          <w:b w:val="0"/>
          <w:i/>
          <w:color w:val="65717C"/>
          <w:sz w:val="22"/>
        </w:rPr>
        <w:t>Prepared as the confidential project master; website publication requires sanitisation</w:t>
        <w:br/>
        <w:t>August 2026</w:t>
      </w:r>
    </w:p>
    <w:p>
      <w:pPr>
        <w:pStyle w:val="Heading1"/>
        <w:keepNext/>
        <w:pageBreakBefore/>
        <w:spacing w:after="200"/>
      </w:pPr>
      <w:r>
        <w:rPr>
          <w:rFonts w:ascii="Calibri" w:hAnsi="Calibri" w:eastAsia="Calibri"/>
          <w:b/>
          <w:i w:val="0"/>
          <w:color w:val="17365D"/>
          <w:sz w:val="34"/>
        </w:rPr>
        <w:t>Contents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849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6"/>
              </w:rPr>
              <w:t>Section</w:t>
            </w:r>
          </w:p>
        </w:tc>
        <w:tc>
          <w:tcPr>
            <w:tcW w:type="dxa" w:w="115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6"/>
              </w:rPr>
              <w:t>Page</w:t>
            </w:r>
          </w:p>
        </w:tc>
      </w:tr>
      <w:tr>
        <w:tc>
          <w:tcPr>
            <w:tcW w:type="dxa" w:w="84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Abstract</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w:t>
            </w:r>
          </w:p>
        </w:tc>
      </w:tr>
      <w:tr>
        <w:tc>
          <w:tcPr>
            <w:tcW w:type="dxa" w:w="84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Nomenclature and accounting conventions</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w:t>
            </w:r>
          </w:p>
        </w:tc>
      </w:tr>
      <w:tr>
        <w:tc>
          <w:tcPr>
            <w:tcW w:type="dxa" w:w="84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 Introduction and design basis</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6</w:t>
            </w:r>
          </w:p>
        </w:tc>
      </w:tr>
      <w:tr>
        <w:tc>
          <w:tcPr>
            <w:tcW w:type="dxa" w:w="84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 xml:space="preserve">  1.1 The project begins with the wastes</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6</w:t>
            </w:r>
          </w:p>
        </w:tc>
      </w:tr>
      <w:tr>
        <w:tc>
          <w:tcPr>
            <w:tcW w:type="dxa" w:w="84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 xml:space="preserve">  1.2 Why bauxite residue requires an outlet</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6</w:t>
            </w:r>
          </w:p>
        </w:tc>
      </w:tr>
      <w:tr>
        <w:tc>
          <w:tcPr>
            <w:tcW w:type="dxa" w:w="84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 xml:space="preserve">  1.4 The central integration issue</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7</w:t>
            </w:r>
          </w:p>
        </w:tc>
      </w:tr>
      <w:tr>
        <w:tc>
          <w:tcPr>
            <w:tcW w:type="dxa" w:w="84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2. Waste products and how they are used together</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9</w:t>
            </w:r>
          </w:p>
        </w:tc>
      </w:tr>
      <w:tr>
        <w:tc>
          <w:tcPr>
            <w:tcW w:type="dxa" w:w="84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 xml:space="preserve">  2.4 Feed recipes and calculated properties</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10</w:t>
            </w:r>
          </w:p>
        </w:tc>
      </w:tr>
      <w:tr>
        <w:tc>
          <w:tcPr>
            <w:tcW w:type="dxa" w:w="84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 xml:space="preserve">  2.7 Nitrogen from douzha protein</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12</w:t>
            </w:r>
          </w:p>
        </w:tc>
      </w:tr>
      <w:tr>
        <w:tc>
          <w:tcPr>
            <w:tcW w:type="dxa" w:w="84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 xml:space="preserve">  2.8 Chloride control</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12</w:t>
            </w:r>
          </w:p>
        </w:tc>
      </w:tr>
      <w:tr>
        <w:tc>
          <w:tcPr>
            <w:tcW w:type="dxa" w:w="84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3. Regional sourcing and plant location</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13</w:t>
            </w:r>
          </w:p>
        </w:tc>
      </w:tr>
      <w:tr>
        <w:tc>
          <w:tcPr>
            <w:tcW w:type="dxa" w:w="84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4. Overall process architecture</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15</w:t>
            </w:r>
          </w:p>
        </w:tc>
      </w:tr>
      <w:tr>
        <w:tc>
          <w:tcPr>
            <w:tcW w:type="dxa" w:w="84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5. Detailed process chemistry and engineering</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17</w:t>
            </w:r>
          </w:p>
        </w:tc>
      </w:tr>
      <w:tr>
        <w:tc>
          <w:tcPr>
            <w:tcW w:type="dxa" w:w="84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 xml:space="preserve">  5.2 Supercritical-water gasification</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18</w:t>
            </w:r>
          </w:p>
        </w:tc>
      </w:tr>
      <w:tr>
        <w:tc>
          <w:tcPr>
            <w:tcW w:type="dxa" w:w="84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 xml:space="preserve">  5.3 Purposeful salt precipitation</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19</w:t>
            </w:r>
          </w:p>
        </w:tc>
      </w:tr>
      <w:tr>
        <w:tc>
          <w:tcPr>
            <w:tcW w:type="dxa" w:w="84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 xml:space="preserve">  5.6 Endothermic bi-reforming</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21</w:t>
            </w:r>
          </w:p>
        </w:tc>
      </w:tr>
      <w:tr>
        <w:tc>
          <w:tcPr>
            <w:tcW w:type="dxa" w:w="84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 xml:space="preserve">  5.7 Simplified OXZEO synthesis</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21</w:t>
            </w:r>
          </w:p>
        </w:tc>
      </w:tr>
      <w:tr>
        <w:tc>
          <w:tcPr>
            <w:tcW w:type="dxa" w:w="84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6. Closed mass, carbon and production balances</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25</w:t>
            </w:r>
          </w:p>
        </w:tc>
      </w:tr>
      <w:tr>
        <w:tc>
          <w:tcPr>
            <w:tcW w:type="dxa" w:w="84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7. Energy balance and heat recovery</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30</w:t>
            </w:r>
          </w:p>
        </w:tc>
      </w:tr>
      <w:tr>
        <w:tc>
          <w:tcPr>
            <w:tcW w:type="dxa" w:w="84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8. Equipment, materials, chloride control and safety</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34</w:t>
            </w:r>
          </w:p>
        </w:tc>
      </w:tr>
      <w:tr>
        <w:tc>
          <w:tcPr>
            <w:tcW w:type="dxa" w:w="84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9. Certification and EU market positioning</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37</w:t>
            </w:r>
          </w:p>
        </w:tc>
      </w:tr>
      <w:tr>
        <w:tc>
          <w:tcPr>
            <w:tcW w:type="dxa" w:w="84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10. China CAPEX, OPEX and 20-year economics</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40</w:t>
            </w:r>
          </w:p>
        </w:tc>
      </w:tr>
      <w:tr>
        <w:tc>
          <w:tcPr>
            <w:tcW w:type="dxa" w:w="84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11. Discussion and conclusions</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47</w:t>
            </w:r>
          </w:p>
        </w:tc>
      </w:tr>
      <w:tr>
        <w:tc>
          <w:tcPr>
            <w:tcW w:type="dxa" w:w="84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References</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49</w:t>
            </w:r>
          </w:p>
        </w:tc>
      </w:tr>
    </w:tbl>
    <w:p>
      <w:pPr>
        <w:spacing w:after="20"/>
      </w:pPr>
    </w:p>
    <w:p>
      <w:pPr>
        <w:pStyle w:val="Heading2"/>
        <w:keepNext/>
        <w:spacing w:before="240" w:after="100"/>
      </w:pPr>
      <w:r>
        <w:rPr>
          <w:rFonts w:ascii="Calibri" w:hAnsi="Calibri" w:eastAsia="Calibri"/>
          <w:b/>
          <w:i w:val="0"/>
          <w:color w:val="2F5597"/>
          <w:sz w:val="26"/>
        </w:rPr>
        <w:t>List of figures</w:t>
      </w:r>
    </w:p>
    <w:p>
      <w:pPr>
        <w:widowControl/>
        <w:spacing w:line="269" w:lineRule="auto" w:after="120"/>
      </w:pPr>
      <w:r>
        <w:rPr>
          <w:rFonts w:ascii="Calibri" w:hAnsi="Calibri" w:eastAsia="Calibri"/>
          <w:b w:val="0"/>
          <w:i w:val="0"/>
          <w:color w:val="24282C"/>
          <w:sz w:val="20"/>
        </w:rPr>
        <w:t>Figure 3.1  Curtis Lee interactive siting screen for the Qinzhou–Beihai–Fangchenggang corridor</w:t>
      </w:r>
    </w:p>
    <w:p>
      <w:pPr>
        <w:widowControl/>
        <w:spacing w:line="269" w:lineRule="auto" w:after="120"/>
      </w:pPr>
      <w:r>
        <w:rPr>
          <w:rFonts w:ascii="Calibri" w:hAnsi="Calibri" w:eastAsia="Calibri"/>
          <w:b w:val="0"/>
          <w:i w:val="0"/>
          <w:color w:val="24282C"/>
          <w:sz w:val="20"/>
        </w:rPr>
        <w:t>Figure 4.1  Full horizontal B1–B8 process flowchart and numbered streams</w:t>
      </w:r>
    </w:p>
    <w:p>
      <w:pPr>
        <w:widowControl/>
        <w:spacing w:line="269" w:lineRule="auto" w:after="120"/>
      </w:pPr>
      <w:r>
        <w:rPr>
          <w:rFonts w:ascii="Calibri" w:hAnsi="Calibri" w:eastAsia="Calibri"/>
          <w:b w:val="0"/>
          <w:i w:val="0"/>
          <w:color w:val="24282C"/>
          <w:sz w:val="20"/>
        </w:rPr>
        <w:t>Figure 6.1  One-train mass-balance closure</w:t>
      </w:r>
    </w:p>
    <w:p>
      <w:pPr>
        <w:widowControl/>
        <w:spacing w:line="269" w:lineRule="auto" w:after="120"/>
      </w:pPr>
      <w:r>
        <w:rPr>
          <w:rFonts w:ascii="Calibri" w:hAnsi="Calibri" w:eastAsia="Calibri"/>
          <w:b w:val="0"/>
          <w:i w:val="0"/>
          <w:color w:val="24282C"/>
          <w:sz w:val="20"/>
        </w:rPr>
        <w:t>Figure 7.1  Heat-integration cascade</w:t>
      </w:r>
    </w:p>
    <w:p>
      <w:pPr>
        <w:widowControl/>
        <w:spacing w:line="269" w:lineRule="auto" w:after="120"/>
      </w:pPr>
      <w:r>
        <w:rPr>
          <w:rFonts w:ascii="Calibri" w:hAnsi="Calibri" w:eastAsia="Calibri"/>
          <w:b w:val="0"/>
          <w:i w:val="0"/>
          <w:color w:val="24282C"/>
          <w:sz w:val="20"/>
        </w:rPr>
        <w:t>Figure 10.1 Twenty-year NPV scenarios</w:t>
      </w:r>
    </w:p>
    <w:p>
      <w:pPr>
        <w:pStyle w:val="Heading2"/>
        <w:keepNext/>
        <w:spacing w:before="240" w:after="100"/>
      </w:pPr>
      <w:r>
        <w:rPr>
          <w:rFonts w:ascii="Calibri" w:hAnsi="Calibri" w:eastAsia="Calibri"/>
          <w:b/>
          <w:i w:val="0"/>
          <w:color w:val="2F5597"/>
          <w:sz w:val="26"/>
        </w:rPr>
        <w:t>List of principal tables</w:t>
      </w:r>
    </w:p>
    <w:p>
      <w:pPr>
        <w:widowControl/>
        <w:spacing w:line="269" w:lineRule="auto" w:after="120"/>
      </w:pPr>
      <w:r>
        <w:rPr>
          <w:rFonts w:ascii="Calibri" w:hAnsi="Calibri" w:eastAsia="Calibri"/>
          <w:b w:val="0"/>
          <w:i w:val="0"/>
          <w:color w:val="24282C"/>
          <w:sz w:val="20"/>
        </w:rPr>
        <w:t>Table 1.1 Design basis and commercial boundary</w:t>
      </w:r>
    </w:p>
    <w:p>
      <w:pPr>
        <w:widowControl/>
        <w:spacing w:line="269" w:lineRule="auto" w:after="120"/>
      </w:pPr>
      <w:r>
        <w:rPr>
          <w:rFonts w:ascii="Calibri" w:hAnsi="Calibri" w:eastAsia="Calibri"/>
          <w:b w:val="0"/>
          <w:i w:val="0"/>
          <w:color w:val="24282C"/>
          <w:sz w:val="20"/>
        </w:rPr>
        <w:t>Table 2.1 Waste-stream selection and incorporation logic</w:t>
      </w:r>
    </w:p>
    <w:p>
      <w:pPr>
        <w:widowControl/>
        <w:spacing w:line="269" w:lineRule="auto" w:after="120"/>
      </w:pPr>
      <w:r>
        <w:rPr>
          <w:rFonts w:ascii="Calibri" w:hAnsi="Calibri" w:eastAsia="Calibri"/>
          <w:b w:val="0"/>
          <w:i w:val="0"/>
          <w:color w:val="24282C"/>
          <w:sz w:val="20"/>
        </w:rPr>
        <w:t>Table 2.4 Feed recipes and calculated properties</w:t>
      </w:r>
    </w:p>
    <w:p>
      <w:pPr>
        <w:widowControl/>
        <w:spacing w:line="269" w:lineRule="auto" w:after="120"/>
      </w:pPr>
      <w:r>
        <w:rPr>
          <w:rFonts w:ascii="Calibri" w:hAnsi="Calibri" w:eastAsia="Calibri"/>
          <w:b w:val="0"/>
          <w:i w:val="0"/>
          <w:color w:val="24282C"/>
          <w:sz w:val="20"/>
        </w:rPr>
        <w:t>Table 5.1 B1–B8 process design summary</w:t>
      </w:r>
    </w:p>
    <w:p>
      <w:pPr>
        <w:widowControl/>
        <w:spacing w:line="269" w:lineRule="auto" w:after="120"/>
      </w:pPr>
      <w:r>
        <w:rPr>
          <w:rFonts w:ascii="Calibri" w:hAnsi="Calibri" w:eastAsia="Calibri"/>
          <w:b w:val="0"/>
          <w:i w:val="0"/>
          <w:color w:val="24282C"/>
          <w:sz w:val="20"/>
        </w:rPr>
        <w:t>Table 6.4 Carbon destination and olefin production</w:t>
      </w:r>
    </w:p>
    <w:p>
      <w:pPr>
        <w:widowControl/>
        <w:spacing w:line="269" w:lineRule="auto" w:after="120"/>
      </w:pPr>
      <w:r>
        <w:rPr>
          <w:rFonts w:ascii="Calibri" w:hAnsi="Calibri" w:eastAsia="Calibri"/>
          <w:b w:val="0"/>
          <w:i w:val="0"/>
          <w:color w:val="24282C"/>
          <w:sz w:val="20"/>
        </w:rPr>
        <w:t>Table 7.2 Energy duties and recovery</w:t>
      </w:r>
    </w:p>
    <w:p>
      <w:pPr>
        <w:widowControl/>
        <w:spacing w:line="269" w:lineRule="auto" w:after="120"/>
      </w:pPr>
      <w:r>
        <w:rPr>
          <w:rFonts w:ascii="Calibri" w:hAnsi="Calibri" w:eastAsia="Calibri"/>
          <w:b w:val="0"/>
          <w:i w:val="0"/>
          <w:color w:val="24282C"/>
          <w:sz w:val="20"/>
        </w:rPr>
        <w:t>Table 10.2 CAPEX and Table 10.3 OPEX</w:t>
      </w:r>
    </w:p>
    <w:p>
      <w:pPr>
        <w:widowControl/>
        <w:spacing w:line="269" w:lineRule="auto" w:after="120"/>
      </w:pPr>
      <w:r>
        <w:rPr>
          <w:rFonts w:ascii="Calibri" w:hAnsi="Calibri" w:eastAsia="Calibri"/>
          <w:b w:val="0"/>
          <w:i w:val="0"/>
          <w:color w:val="24282C"/>
          <w:sz w:val="20"/>
        </w:rPr>
        <w:t>Tables 10.5–10.6 and 10.11–10.12 Twenty-year scenarios, results and source reconciliation</w:t>
      </w:r>
    </w:p>
    <w:p>
      <w:pPr>
        <w:pStyle w:val="Heading1"/>
        <w:keepNext/>
        <w:pageBreakBefore/>
        <w:spacing w:after="200"/>
      </w:pPr>
      <w:r>
        <w:rPr>
          <w:rFonts w:ascii="Calibri" w:hAnsi="Calibri" w:eastAsia="Calibri"/>
          <w:b/>
          <w:i w:val="0"/>
          <w:color w:val="17365D"/>
          <w:sz w:val="34"/>
        </w:rPr>
        <w:t>Abstract</w:t>
      </w:r>
    </w:p>
    <w:p>
      <w:pPr>
        <w:widowControl/>
        <w:spacing w:line="269" w:lineRule="auto" w:after="120"/>
      </w:pPr>
      <w:r>
        <w:rPr>
          <w:rFonts w:ascii="Calibri" w:hAnsi="Calibri" w:eastAsia="Calibri"/>
          <w:b w:val="0"/>
          <w:i w:val="0"/>
          <w:color w:val="24282C"/>
          <w:sz w:val="20"/>
        </w:rPr>
        <w:t>This report develops a ten-train process that treats two difficult waste classes together: wet organic residues led by douzha, and alkaline bauxite residue. The organic fraction supplies renewable carbon and water for supercritical-water gasification (SCWG); the mineral fraction supplies iron- and alkali-bearing surfaces while undergoing controlled washing and dealkalization. Douzha remains the anchor because it arrives wet and finely divided. Cassava cake, fruit and vegetable pulp, soluble food-processing liquor and limited milled straw are optional regional co-feeds that raise carbon density without changing the core reactor. Manure is treated as a separately qualified gate-fee feed because its nitrogen, phosphorus, ash and chloride can consume the benefit of its carbon.</w:t>
      </w:r>
    </w:p>
    <w:p>
      <w:pPr>
        <w:widowControl/>
        <w:spacing w:line="269" w:lineRule="auto" w:after="120"/>
      </w:pPr>
      <w:r>
        <w:rPr>
          <w:rFonts w:ascii="Calibri" w:hAnsi="Calibri" w:eastAsia="Calibri"/>
          <w:b w:val="0"/>
          <w:i w:val="0"/>
          <w:color w:val="24282C"/>
          <w:sz w:val="20"/>
        </w:rPr>
        <w:t>The commercial basis is 10 independently isolatable 300 t/d hydrothermal trains, or 3,000 t/d and 999,000 t/y gross slurry. Gases merge after B4 into shared Rectisol and ZnO purification, strongly endothermic steam/CO2 bi-reforming and OXZEO light-olefin synthesis. Solids enter a common B8 finishing system. The revised base case does not depend on indefinite bauxite-residue recycle or claim complete one-pass dealkalization: soluble alkali is intentionally withdrawn at B3/B4, a one-pass residue is sold only if it meets a destination specification, and off-specification solids receive a second wash or retreatment.</w:t>
      </w:r>
    </w:p>
    <w:p>
      <w:pPr>
        <w:widowControl/>
        <w:spacing w:line="269" w:lineRule="auto" w:after="120"/>
      </w:pPr>
      <w:r>
        <w:rPr>
          <w:rFonts w:ascii="Calibri" w:hAnsi="Calibri" w:eastAsia="Calibri"/>
          <w:b w:val="0"/>
          <w:i w:val="0"/>
          <w:color w:val="24282C"/>
          <w:sz w:val="20"/>
        </w:rPr>
        <w:t>The balanced regional blend contains 62.40 t/d solids and 25.947 t/d carbon per train at 20.80 wt% total solids. At 42% overall carbon-to-olefin efficiency it produces 42.35 kt/y light olefins; an improved 55% case produces 55.45 kt/y. The source-integrated utility basis uses the supplied RMB 0.37/kWh electricity tariff and RMB 600/t biomass-pellet price, with pellet heating value and furnace efficiency stated separately as project assumptions. Central total capital remains RMB 2.814 billion pending vendor quotations. Revised central cash OPEX is approximately RMB 215.5 million/y before EU export/compliance. Current conversion with commodity pricing remains uneconomic, while stronger service contracts and a certified premium become marginally positive; improved conversion produces a substantially stronger result. These results remain pre-tax and unlevered and are presented with a two-year ramp sensitivity.</w:t>
      </w:r>
    </w:p>
    <w:p>
      <w:pPr>
        <w:pStyle w:val="Heading1"/>
        <w:keepNext/>
        <w:pageBreakBefore/>
        <w:spacing w:after="200"/>
      </w:pPr>
      <w:r>
        <w:rPr>
          <w:rFonts w:ascii="Calibri" w:hAnsi="Calibri" w:eastAsia="Calibri"/>
          <w:b/>
          <w:i w:val="0"/>
          <w:color w:val="17365D"/>
          <w:sz w:val="34"/>
        </w:rPr>
        <w:t>Nomenclature and accounting conventions</w:t>
      </w:r>
    </w:p>
    <w:p>
      <w:pPr>
        <w:keepNext/>
        <w:spacing w:before="60" w:after="60"/>
      </w:pPr>
      <w:r>
        <w:rPr>
          <w:rFonts w:ascii="Calibri" w:hAnsi="Calibri" w:eastAsia="Calibri"/>
          <w:b w:val="0"/>
          <w:i/>
          <w:color w:val="65717C"/>
          <w:sz w:val="17"/>
        </w:rPr>
        <w:t>Accounting convention. Internal water, CO2 and gas recycles cancel at the plant battery limit but remain in equipment sizing.</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16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7"/>
              </w:rPr>
              <w:t>Term</w:t>
            </w:r>
          </w:p>
        </w:tc>
        <w:tc>
          <w:tcPr>
            <w:tcW w:type="dxa" w:w="76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7"/>
              </w:rPr>
              <w:t>Meaning in this report</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B1–B4</w:t>
            </w:r>
          </w:p>
        </w:tc>
        <w:tc>
          <w:tcPr>
            <w:tcW w:type="dxa" w:w="76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Feed preparation, SCWG, hot salt separation, and heat recovery/phase separation; repeated ten times</w:t>
            </w:r>
          </w:p>
        </w:tc>
      </w:tr>
      <w:tr>
        <w:tc>
          <w:tcPr>
            <w:tcW w:type="dxa" w:w="21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B5–B7</w:t>
            </w:r>
          </w:p>
        </w:tc>
        <w:tc>
          <w:tcPr>
            <w:tcW w:type="dxa" w:w="76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Shared acid-gas cleanup, bi-reforming and OXZEO/product-recovery island</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B8</w:t>
            </w:r>
          </w:p>
        </w:tc>
        <w:tc>
          <w:tcPr>
            <w:tcW w:type="dxa" w:w="76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Shared bauxite-residue washing, qualification and off-specification retreatment</w:t>
            </w:r>
          </w:p>
        </w:tc>
      </w:tr>
      <w:tr>
        <w:tc>
          <w:tcPr>
            <w:tcW w:type="dxa" w:w="21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SCWG</w:t>
            </w:r>
          </w:p>
        </w:tc>
        <w:tc>
          <w:tcPr>
            <w:tcW w:type="dxa" w:w="76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Supercritical-water gasification above water's critical point</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OXZEO</w:t>
            </w:r>
          </w:p>
        </w:tc>
        <w:tc>
          <w:tcPr>
            <w:tcW w:type="dxa" w:w="76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Bifunctional oxide–zeolite conversion of CO/H2 synthesis gas to light olefins</w:t>
            </w:r>
          </w:p>
        </w:tc>
      </w:tr>
      <w:tr>
        <w:tc>
          <w:tcPr>
            <w:tcW w:type="dxa" w:w="21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Carbon efficiency</w:t>
            </w:r>
          </w:p>
        </w:tc>
        <w:tc>
          <w:tcPr>
            <w:tcW w:type="dxa" w:w="76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Feed carbon appearing in saleable C2–C4 olefins at the plant battery limit</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TCI</w:t>
            </w:r>
          </w:p>
        </w:tc>
        <w:tc>
          <w:tcPr>
            <w:tcW w:type="dxa" w:w="76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Total capital investment, excluding financing during construction and recoverable VAT</w:t>
            </w:r>
          </w:p>
        </w:tc>
      </w:tr>
      <w:tr>
        <w:tc>
          <w:tcPr>
            <w:tcW w:type="dxa" w:w="21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NPV / IRR</w:t>
            </w:r>
          </w:p>
        </w:tc>
        <w:tc>
          <w:tcPr>
            <w:tcW w:type="dxa" w:w="76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Pre-tax unlevered project metrics over 20 operating years</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Gate fee</w:t>
            </w:r>
          </w:p>
        </w:tc>
        <w:tc>
          <w:tcPr>
            <w:tcW w:type="dxa" w:w="76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Net contractual payment for accepting waste, after any supplier-specific logistics allowance</w:t>
            </w:r>
          </w:p>
        </w:tc>
      </w:tr>
    </w:tbl>
    <w:p>
      <w:pPr>
        <w:spacing w:after="20"/>
      </w:pPr>
    </w:p>
    <w:p>
      <w:pPr>
        <w:pStyle w:val="Heading1"/>
        <w:keepNext/>
        <w:pageBreakBefore/>
        <w:spacing w:after="200"/>
      </w:pPr>
      <w:r>
        <w:rPr>
          <w:rFonts w:ascii="Calibri" w:hAnsi="Calibri" w:eastAsia="Calibri"/>
          <w:b/>
          <w:i w:val="0"/>
          <w:color w:val="17365D"/>
          <w:sz w:val="34"/>
        </w:rPr>
        <w:t>1. Introduction and design basis</w:t>
      </w:r>
    </w:p>
    <w:p>
      <w:pPr>
        <w:pStyle w:val="Heading2"/>
        <w:keepNext/>
        <w:spacing w:before="240" w:after="100"/>
      </w:pPr>
      <w:r>
        <w:rPr>
          <w:rFonts w:ascii="Calibri" w:hAnsi="Calibri" w:eastAsia="Calibri"/>
          <w:b/>
          <w:i w:val="0"/>
          <w:color w:val="2F5597"/>
          <w:sz w:val="26"/>
        </w:rPr>
        <w:t>1.1 The project begins with the wastes, not the reactor</w:t>
      </w:r>
    </w:p>
    <w:p>
      <w:pPr>
        <w:widowControl/>
        <w:spacing w:line="269" w:lineRule="auto" w:after="120"/>
      </w:pPr>
      <w:r>
        <w:rPr>
          <w:rFonts w:ascii="Calibri" w:hAnsi="Calibri" w:eastAsia="Calibri"/>
          <w:b w:val="0"/>
          <w:i w:val="0"/>
          <w:color w:val="24282C"/>
          <w:sz w:val="20"/>
        </w:rPr>
        <w:t>The starting question is not which catalyst should be purchased. It is which regional materials are costly to store, dilute enough to be awkward for conventional thermal treatment, chemically compatible with hydrothermal conversion, and available close enough to one another to support continuous operation. That ordering matters. A process built around a single ideal laboratory feed can fail as soon as supplier moisture changes; a process built around a controlled waste portfolio can absorb seasonal variation while keeping the reactor inside a defined carbon, solids, nitrogen, ash and chloride envelope.</w:t>
      </w:r>
    </w:p>
    <w:p>
      <w:pPr>
        <w:widowControl/>
        <w:spacing w:line="269" w:lineRule="auto" w:after="120"/>
      </w:pPr>
      <w:r>
        <w:rPr>
          <w:rFonts w:ascii="Calibri" w:hAnsi="Calibri" w:eastAsia="Calibri"/>
          <w:b w:val="0"/>
          <w:i w:val="0"/>
          <w:color w:val="24282C"/>
          <w:sz w:val="20"/>
        </w:rPr>
        <w:t>Douzha is the organic anchor. It is already wet, finely divided and rich in carbohydrate, protein and lipid, so the process avoids the drying duty that weakens conventional gasification. Bauxite residue is the mineral anchor. It is alkaline, voluminous and difficult to reuse at the rate at which alumina refineries generate it. The conceptual connection is therefore direct: use water that is already present in douzha as the reaction medium, convert its renewable carbon into gas, and use the same high-temperature circuit to transfer soluble alkali and salts out of the residue. The plant is both a carbon-conversion facility and a residue-conditioning facility.</w:t>
      </w:r>
    </w:p>
    <w:p>
      <w:pPr>
        <w:widowControl/>
        <w:spacing w:line="269" w:lineRule="auto" w:after="120"/>
      </w:pPr>
      <w:r>
        <w:rPr>
          <w:rFonts w:ascii="Calibri" w:hAnsi="Calibri" w:eastAsia="Calibri"/>
          <w:b w:val="0"/>
          <w:i w:val="0"/>
          <w:color w:val="24282C"/>
          <w:sz w:val="20"/>
        </w:rPr>
        <w:t>The next question is whether douzha alone supplies enough carbon per tonne of high-pressure slurry. It can operate the process, and it is not replaced in this design. However, its protein raises aqueous nitrogen and its water dilutes the product basis. Regional carbohydrate residues can therefore be metered beside it when they improve delivered carbon, C/N ratio or gate-fee value. This changes the recipe, not the core flowsheet. The plant should be presented as a broad wet-organic-waste platform, provided each candidate stream is pumpable after preparation, characterizable, legally acceptable and compatible with the destinations designed for its contaminants.</w:t>
      </w:r>
    </w:p>
    <w:tbl>
      <w:tblPr>
        <w:tblW w:type="auto" w:w="0"/>
        <w:jc w:val="center"/>
        <w:tblLook w:firstColumn="1" w:firstRow="1" w:lastColumn="0" w:lastRow="0" w:noHBand="0" w:noVBand="1" w:val="04A0"/>
      </w:tblPr>
      <w:tblGrid>
        <w:gridCol w:w="9878"/>
      </w:tblGrid>
      <w:tr>
        <w:tc>
          <w:tcPr>
            <w:tcW w:type="dxa" w:w="9878"/>
            <w:shd w:fill="EAF3EC"/>
            <w:tcMar>
              <w:top w:w="130" w:type="dxa"/>
              <w:start w:w="150" w:type="dxa"/>
              <w:bottom w:w="130" w:type="dxa"/>
              <w:end w:w="150" w:type="dxa"/>
            </w:tcMar>
          </w:tcPr>
          <w:p>
            <w:pPr>
              <w:spacing w:line="259" w:lineRule="auto" w:after="0"/>
            </w:pPr>
            <w:r>
              <w:rPr>
                <w:rFonts w:ascii="Calibri" w:hAnsi="Calibri" w:eastAsia="Calibri"/>
                <w:b/>
                <w:i w:val="0"/>
                <w:color w:val="2F6B45"/>
                <w:sz w:val="20"/>
              </w:rPr>
              <w:t xml:space="preserve">DESIGN THOUGHT PROCESS: </w:t>
            </w:r>
            <w:r>
              <w:rPr>
                <w:rFonts w:ascii="Calibri" w:hAnsi="Calibri" w:eastAsia="Calibri"/>
                <w:b w:val="0"/>
                <w:i w:val="0"/>
                <w:color w:val="24282C"/>
                <w:sz w:val="20"/>
              </w:rPr>
              <w:t>Identify difficult regional wastes → screen them for SCWG chemistry and pumpability → build a douzha-led blend → place the plant where short-haul wet feed and denser mineral feed intersect → size ten isolatable hydrothermal trains → merge only clean gas into the common conversion island.</w:t>
            </w:r>
          </w:p>
        </w:tc>
      </w:tr>
    </w:tbl>
    <w:p>
      <w:pPr>
        <w:spacing w:after="20"/>
      </w:pPr>
    </w:p>
    <w:p>
      <w:pPr>
        <w:pStyle w:val="Heading2"/>
        <w:keepNext/>
        <w:spacing w:before="240" w:after="100"/>
      </w:pPr>
      <w:r>
        <w:rPr>
          <w:rFonts w:ascii="Calibri" w:hAnsi="Calibri" w:eastAsia="Calibri"/>
          <w:b/>
          <w:i w:val="0"/>
          <w:color w:val="2F5597"/>
          <w:sz w:val="26"/>
        </w:rPr>
        <w:t>1.2 Why bauxite residue requires an engineered outlet</w:t>
      </w:r>
    </w:p>
    <w:p>
      <w:pPr>
        <w:widowControl/>
        <w:spacing w:line="269" w:lineRule="auto" w:after="120"/>
      </w:pPr>
      <w:r>
        <w:rPr>
          <w:rFonts w:ascii="Calibri" w:hAnsi="Calibri" w:eastAsia="Calibri"/>
          <w:b w:val="0"/>
          <w:i w:val="0"/>
          <w:color w:val="24282C"/>
          <w:sz w:val="20"/>
        </w:rPr>
        <w:t>Bauxite residue is the iron-rich alkaline solid left after alumina extraction. Global production is on the order of hundreds of millions of tonnes per year and the cumulative stored inventory is measured in billions of tonnes. Its environmental difficulty is not captured by the word 'mud': high pH and soluble sodium make drainage management important; fine particles create dust and containment risks when dry; iron, aluminium, titanium and silica phases make the material dense and abrasive; and trace elements can restrict reuse. Storage areas therefore carry long-duration water-balance, dam-integrity, land and liability obligations even when routine operation is well controlled.</w:t>
      </w:r>
      <w:r>
        <w:rPr>
          <w:rFonts w:ascii="Calibri" w:hAnsi="Calibri" w:eastAsia="Calibri"/>
          <w:b w:val="0"/>
          <w:i w:val="0"/>
          <w:color w:val="2F5597"/>
          <w:sz w:val="15"/>
          <w:vertAlign w:val="superscript"/>
        </w:rPr>
        <w:t xml:space="preserve"> 1,2,3</w:t>
      </w:r>
    </w:p>
    <w:p>
      <w:pPr>
        <w:widowControl/>
        <w:spacing w:line="269" w:lineRule="auto" w:after="120"/>
      </w:pPr>
      <w:r>
        <w:rPr>
          <w:rFonts w:ascii="Calibri" w:hAnsi="Calibri" w:eastAsia="Calibri"/>
          <w:b w:val="0"/>
          <w:i w:val="0"/>
          <w:color w:val="24282C"/>
          <w:sz w:val="20"/>
        </w:rPr>
        <w:t>The project does not treat bauxite residue merely as a cheap catalyst. That framing would tolerate a small make-up rate while leaving the main residue problem untouched. Instead, the feed rate, B3 salt withdrawal, B4 washing and B8 product qualification are designed to create a measurable treated-residue stream. Iron-bearing phases may still promote gasification and water–gas shift chemistry, but catalytic value is secondary to controlled dealkalization and a safe destination. Any use in cement, sorbents, iron-rich products or metals recovery requires product-specific leaching, mineralogical and performance evidence; colour and total iron alone are not qualification.</w:t>
      </w:r>
    </w:p>
    <w:p>
      <w:pPr>
        <w:widowControl/>
        <w:spacing w:line="269" w:lineRule="auto" w:after="120"/>
      </w:pPr>
      <w:r>
        <w:rPr>
          <w:rFonts w:ascii="Calibri" w:hAnsi="Calibri" w:eastAsia="Calibri"/>
          <w:b w:val="0"/>
          <w:i w:val="0"/>
          <w:color w:val="24282C"/>
          <w:sz w:val="20"/>
        </w:rPr>
        <w:t>One pass should not be promised to remove every form of sodium. Washing readily removes free caustic, carbonate and other soluble ions, whereas sodium locked in sodalite, cancrinite, hydrogarnet or related aluminosilicate phases can remain. Hydrothermal treatment may open or transform part of that structure, but performance depends on source mineralogy, temperature, liquid-to-solid ratio and residence time. The revised design therefore has a one-pass product target rather than a universal 'fully dealkalized' claim: material meeting pH, soluble sodium, chloride and leachability limits leaves the plant; material that fails receives a second counter-current wash or a defined retreatment campaign.</w:t>
      </w:r>
      <w:r>
        <w:rPr>
          <w:rFonts w:ascii="Calibri" w:hAnsi="Calibri" w:eastAsia="Calibri"/>
          <w:b w:val="0"/>
          <w:i w:val="0"/>
          <w:color w:val="2F5597"/>
          <w:sz w:val="15"/>
          <w:vertAlign w:val="superscript"/>
        </w:rPr>
        <w:t xml:space="preserve"> 4,5</w:t>
      </w:r>
    </w:p>
    <w:p>
      <w:pPr>
        <w:pStyle w:val="Heading2"/>
        <w:keepNext/>
        <w:spacing w:before="240" w:after="100"/>
      </w:pPr>
      <w:r>
        <w:rPr>
          <w:rFonts w:ascii="Calibri" w:hAnsi="Calibri" w:eastAsia="Calibri"/>
          <w:b/>
          <w:i w:val="0"/>
          <w:color w:val="2F5597"/>
          <w:sz w:val="26"/>
        </w:rPr>
        <w:t>1.3 Why supercritical water is selected</w:t>
      </w:r>
    </w:p>
    <w:p>
      <w:pPr>
        <w:widowControl/>
        <w:spacing w:line="269" w:lineRule="auto" w:after="120"/>
      </w:pPr>
      <w:r>
        <w:rPr>
          <w:rFonts w:ascii="Calibri" w:hAnsi="Calibri" w:eastAsia="Calibri"/>
          <w:b w:val="0"/>
          <w:i w:val="0"/>
          <w:color w:val="24282C"/>
          <w:sz w:val="20"/>
        </w:rPr>
        <w:t>Water above 374 °C and 22.1 MPa has low dielectric character, high diffusivity and complete miscibility with many organic intermediates and gases. Wet biomass can therefore be hydrolysed, fragmented and reformed without evaporating all feed water before reaction. Carbohydrates pass through sugars, aldehydes, ketones and organic acids; proteins hydrolyse to amino acids and deaminate; lipids hydrolyse to glycerol and fatty acids. Subsequent reforming, cracking, water–gas shift and methanation distribute carbon among CO2, CH4, CO, dissolved organics and solid carbon. Alkali and iron-bearing minerals can accelerate several of these steps, although the same inorganic inventory creates the salt-separation problem that dominates availability.</w:t>
      </w:r>
    </w:p>
    <w:p>
      <w:pPr>
        <w:keepLines/>
        <w:spacing w:before="80" w:after="140"/>
        <w:jc w:val="center"/>
      </w:pPr>
      <w:r>
        <w:rPr>
          <w:rFonts w:ascii="Cambria" w:hAnsi="Cambria" w:eastAsia="Cambria"/>
          <w:b w:val="0"/>
          <w:i/>
          <w:color w:val="17365D"/>
          <w:sz w:val="22"/>
        </w:rPr>
        <w:t>(C₆H₁₀O₅)ₙ + nH₂O → nC₆H₁₂O₆ → CO₂ + CH₄ + CO + H₂ + aqueous intermediates</w:t>
      </w:r>
    </w:p>
    <w:p>
      <w:pPr>
        <w:widowControl/>
        <w:spacing w:line="269" w:lineRule="auto" w:after="120"/>
      </w:pPr>
      <w:r>
        <w:rPr>
          <w:rFonts w:ascii="Calibri" w:hAnsi="Calibri" w:eastAsia="Calibri"/>
          <w:b w:val="0"/>
          <w:i w:val="0"/>
          <w:color w:val="24282C"/>
          <w:sz w:val="20"/>
        </w:rPr>
        <w:t>SCWG is selected because the feed is intrinsically wet, not because pressure is inexpensive. The high-pressure island requires specialised pumps, thick-wall or tubular reactors, salt-tolerant heat exchange, controlled letdown and corrosion-resistant wetted surfaces. The decision is justified only when avoided drying, waste-service value and multiple products compensate for those systems. The economic model consequently reports cost per tonne of wet waste and cost per tonne of olefin side by side.</w:t>
      </w:r>
    </w:p>
    <w:p>
      <w:pPr>
        <w:pStyle w:val="Heading2"/>
        <w:keepNext/>
        <w:spacing w:before="240" w:after="100"/>
      </w:pPr>
      <w:r>
        <w:rPr>
          <w:rFonts w:ascii="Calibri" w:hAnsi="Calibri" w:eastAsia="Calibri"/>
          <w:b/>
          <w:i w:val="0"/>
          <w:color w:val="2F5597"/>
          <w:sz w:val="26"/>
        </w:rPr>
        <w:t>1.4 The central integration issue</w:t>
      </w:r>
    </w:p>
    <w:p>
      <w:pPr>
        <w:widowControl/>
        <w:spacing w:line="269" w:lineRule="auto" w:after="120"/>
      </w:pPr>
      <w:r>
        <w:rPr>
          <w:rFonts w:ascii="Calibri" w:hAnsi="Calibri" w:eastAsia="Calibri"/>
          <w:b w:val="0"/>
          <w:i w:val="0"/>
          <w:color w:val="24282C"/>
          <w:sz w:val="20"/>
        </w:rPr>
        <w:t>Hydrothermal equilibrium at high water activity favours water–gas shift and, at the selected temperature and catalytic environment, substantial methane formation. OXZEO does not consume a methane-rich gas directly; it requires a controlled mixture of CO and H2. This is the central chemistry-to-process mismatch. Raising SCWG temperature and shortening residence time may reduce methane, but water–gas shift can still remove CO as CO2 and the higher-severity operating point may worsen char, salt deposition or materials duty. The revised design therefore retains B6 bi-reforming and treats methane suppression as an optimisation, not as evidence that B6 can be deleted.</w:t>
      </w:r>
    </w:p>
    <w:p>
      <w:pPr>
        <w:widowControl/>
        <w:spacing w:line="269" w:lineRule="auto" w:after="120"/>
      </w:pPr>
      <w:r>
        <w:rPr>
          <w:rFonts w:ascii="Calibri" w:hAnsi="Calibri" w:eastAsia="Calibri"/>
          <w:b w:val="0"/>
          <w:i w:val="0"/>
          <w:color w:val="24282C"/>
          <w:sz w:val="20"/>
        </w:rPr>
        <w:t>The salt behaviour is not described as a design mistake. Precipitation is deliberately exploited to remove sodium, potassium, phosphate, sulfate and related species from the two-waste system. The engineering problem is where precipitation occurs. Crystals formed in a controlled B3 separator can become a managed concentrate; crystals formed on the B2 wall or in H-101 can stop a train. The process objective is purposeful precipitation with controlled nucleation, continuous underflow, redundant separation and rapid recovery after a flush.</w:t>
      </w:r>
    </w:p>
    <w:p>
      <w:pPr>
        <w:pStyle w:val="Heading2"/>
        <w:keepNext/>
        <w:spacing w:before="240" w:after="100"/>
      </w:pPr>
      <w:r>
        <w:rPr>
          <w:rFonts w:ascii="Calibri" w:hAnsi="Calibri" w:eastAsia="Calibri"/>
          <w:b/>
          <w:i w:val="0"/>
          <w:color w:val="2F5597"/>
          <w:sz w:val="26"/>
        </w:rPr>
        <w:t>1.5 Commercial design basis</w:t>
      </w:r>
    </w:p>
    <w:p>
      <w:pPr>
        <w:keepNext/>
        <w:spacing w:before="60" w:after="60"/>
      </w:pPr>
      <w:r>
        <w:rPr>
          <w:rFonts w:ascii="Calibri" w:hAnsi="Calibri" w:eastAsia="Calibri"/>
          <w:b w:val="0"/>
          <w:i/>
          <w:color w:val="65717C"/>
          <w:sz w:val="17"/>
        </w:rPr>
        <w:t>Table 1.1 — Commercial boundary and design basis.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Parameter</w:t>
            </w:r>
          </w:p>
        </w:tc>
        <w:tc>
          <w:tcPr>
            <w:tcW w:type="dxa" w:w="324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Selected basis</w:t>
            </w:r>
          </w:p>
        </w:tc>
        <w:tc>
          <w:tcPr>
            <w:tcW w:type="dxa" w:w="432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Engineering interpretation</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Hydrothermal trains</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10 × 300 t/d</w:t>
            </w:r>
          </w:p>
        </w:tc>
        <w:tc>
          <w:tcPr>
            <w:tcW w:type="dxa" w:w="43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Scale-out isolates plugging and permits one train to wash while common units remain online</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Gross feed</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3,000 t/d; 999,000 t/y</w:t>
            </w:r>
          </w:p>
        </w:tc>
        <w:tc>
          <w:tcPr>
            <w:tcW w:type="dxa" w:w="43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Includes feed water, wet wastes, dry fibre, mineral and recycle/makeup water</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Operating schedule</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333 d/y</w:t>
            </w:r>
          </w:p>
        </w:tc>
        <w:tc>
          <w:tcPr>
            <w:tcW w:type="dxa" w:w="43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Approximately 8,000 h/y for the shared back end; hydrothermal modules rotate through short outages</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Operating life</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20 years</w:t>
            </w:r>
          </w:p>
        </w:tc>
        <w:tc>
          <w:tcPr>
            <w:tcW w:type="dxa" w:w="43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Economic horizon requested by the owner</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B2 condition</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625 °C; 25 MPa; 30–90 s screen</w:t>
            </w:r>
          </w:p>
        </w:tc>
        <w:tc>
          <w:tcPr>
            <w:tcW w:type="dxa" w:w="43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Final residence time and wall heat flux require continuous pilot data</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B6 condition</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~850 °C; ~2.8 MPa</w:t>
            </w:r>
          </w:p>
        </w:tc>
        <w:tc>
          <w:tcPr>
            <w:tcW w:type="dxa" w:w="43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External heat required; steam/CO2 ratio follows measured clean-gas composition</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B7 condition</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~400 °C; 2–3 MPa</w:t>
            </w:r>
          </w:p>
        </w:tc>
        <w:tc>
          <w:tcPr>
            <w:tcW w:type="dxa" w:w="43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Multiple cooled beds or licensed equivalent; recycle and purge included</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Central feed</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B1 balanced regional design</w:t>
            </w:r>
          </w:p>
        </w:tc>
        <w:tc>
          <w:tcPr>
            <w:tcW w:type="dxa" w:w="43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Douzha remains largest component; optional co-feeds raise carbon density</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Central product target</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55.45 kt/y at 55% feed-C efficiency</w:t>
            </w:r>
          </w:p>
        </w:tc>
        <w:tc>
          <w:tcPr>
            <w:tcW w:type="dxa" w:w="43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Financeability target, not a guaranteed yield</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Currency / cost year</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2026 RMB</w:t>
            </w:r>
          </w:p>
        </w:tc>
        <w:tc>
          <w:tcPr>
            <w:tcW w:type="dxa" w:w="43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China labour, utility and commodity context; imported packages quoted separately</w:t>
            </w:r>
          </w:p>
        </w:tc>
      </w:tr>
    </w:tbl>
    <w:p>
      <w:pPr>
        <w:spacing w:after="20"/>
      </w:pPr>
    </w:p>
    <w:p>
      <w:pPr>
        <w:pStyle w:val="Heading2"/>
        <w:keepNext/>
        <w:spacing w:before="240" w:after="100"/>
      </w:pPr>
      <w:r>
        <w:rPr>
          <w:rFonts w:ascii="Calibri" w:hAnsi="Calibri" w:eastAsia="Calibri"/>
          <w:b/>
          <w:i w:val="0"/>
          <w:color w:val="2F5597"/>
          <w:sz w:val="26"/>
        </w:rPr>
        <w:t>1.6 What the design can and cannot claim</w:t>
      </w:r>
    </w:p>
    <w:p>
      <w:pPr>
        <w:widowControl/>
        <w:spacing w:line="269" w:lineRule="auto" w:after="120"/>
      </w:pPr>
      <w:r>
        <w:rPr>
          <w:rFonts w:ascii="Calibri" w:hAnsi="Calibri" w:eastAsia="Calibri"/>
          <w:b w:val="0"/>
          <w:i w:val="0"/>
          <w:color w:val="24282C"/>
          <w:sz w:val="20"/>
        </w:rPr>
        <w:t>The report is a calculated screening/pre-FEED design. Total mass and carbon are closed on stated pseudo-components, equipment duties are internally consistent, and economics use one RMB basis. It is not a substitute for a licensed OXZEO package, a salt-equilibrium model, a corrosion campaign or binding supplier and offtake contracts. Values described as targets must be verified before they are used as guarantees.</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The platform can accept diverse wet organic residues, but only inside a feed-acceptance envelope; packaged food waste, grit, plastics, PFAS-bearing materials, high-halogen wastes and unknown industrial sludges are not automatically acceptable.</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Bauxite residue can be materially dealkalized and washed, but complete one-pass removal of structural sodium is not assumed.</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The B3 concentrate and ammonium sulfate are potential products only after impurity, legal and destination qualification.</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ISCC PLUS and ISO 14067 support traceability and carbon claims; they do not create a guaranteed premium or make light olefins subject to EU CBAM.</w:t>
      </w:r>
    </w:p>
    <w:p>
      <w:pPr>
        <w:pStyle w:val="Heading1"/>
        <w:keepNext/>
        <w:pageBreakBefore/>
        <w:spacing w:after="200"/>
      </w:pPr>
      <w:r>
        <w:rPr>
          <w:rFonts w:ascii="Calibri" w:hAnsi="Calibri" w:eastAsia="Calibri"/>
          <w:b/>
          <w:i w:val="0"/>
          <w:color w:val="17365D"/>
          <w:sz w:val="34"/>
        </w:rPr>
        <w:t>2. Waste products and how they are used together</w:t>
      </w:r>
    </w:p>
    <w:p>
      <w:pPr>
        <w:pStyle w:val="Heading2"/>
        <w:keepNext/>
        <w:spacing w:before="240" w:after="100"/>
      </w:pPr>
      <w:r>
        <w:rPr>
          <w:rFonts w:ascii="Calibri" w:hAnsi="Calibri" w:eastAsia="Calibri"/>
          <w:b/>
          <w:i w:val="0"/>
          <w:color w:val="2F5597"/>
          <w:sz w:val="26"/>
        </w:rPr>
        <w:t>2.1 Douzha as the anchor wet feed</w:t>
      </w:r>
    </w:p>
    <w:p>
      <w:pPr>
        <w:widowControl/>
        <w:spacing w:line="269" w:lineRule="auto" w:after="120"/>
      </w:pPr>
      <w:r>
        <w:rPr>
          <w:rFonts w:ascii="Calibri" w:hAnsi="Calibri" w:eastAsia="Calibri"/>
          <w:b w:val="0"/>
          <w:i w:val="0"/>
          <w:color w:val="24282C"/>
          <w:sz w:val="20"/>
        </w:rPr>
        <w:t>Douzha remains the largest single feed in the balanced design: 150 t/d per train, or 499,500 t/y across ten trains. Its water is process medium rather than inert ballast, and its fine particle size helps suspend smaller quantities of milled fibre and mineral solids. Carbohydrate and lipid contribute gasifiable carbon, while protein supplies additional carbon and hydrogen but also transfers nitrogen to the aqueous phase. Supplier-to-supplier variation in moisture and protein is therefore important: a wet-tonne contract without dry-solids, carbon and nitrogen adjustment would transfer process risk to the plant.</w:t>
      </w:r>
    </w:p>
    <w:p>
      <w:pPr>
        <w:widowControl/>
        <w:spacing w:line="269" w:lineRule="auto" w:after="120"/>
      </w:pPr>
      <w:r>
        <w:rPr>
          <w:rFonts w:ascii="Calibri" w:hAnsi="Calibri" w:eastAsia="Calibri"/>
          <w:b w:val="0"/>
          <w:i w:val="0"/>
          <w:color w:val="24282C"/>
          <w:sz w:val="20"/>
        </w:rPr>
        <w:t>Other organic streams are not required to 'replace' douzha. They are control variables. When douzha arrives wetter than normal or protein loading approaches the ammonia-recovery limit, starch-rich cassava cake or a clean carbohydrate pulp can increase carbon without proportionally increasing nitrogen. When the feed is too viscous, the system reduces dry fibre and adds qualified recycle water. The anchor feed remains recognisable through these corrections, which simplifies supplier traceability and start-up.</w:t>
      </w:r>
    </w:p>
    <w:p>
      <w:pPr>
        <w:pStyle w:val="Heading2"/>
        <w:keepNext/>
        <w:spacing w:before="240" w:after="100"/>
      </w:pPr>
      <w:r>
        <w:rPr>
          <w:rFonts w:ascii="Calibri" w:hAnsi="Calibri" w:eastAsia="Calibri"/>
          <w:b/>
          <w:i w:val="0"/>
          <w:color w:val="2F5597"/>
          <w:sz w:val="26"/>
        </w:rPr>
        <w:t>2.2 Bauxite residue as a treatment feed and process aid</w:t>
      </w:r>
    </w:p>
    <w:p>
      <w:pPr>
        <w:widowControl/>
        <w:spacing w:line="269" w:lineRule="auto" w:after="120"/>
      </w:pPr>
      <w:r>
        <w:rPr>
          <w:rFonts w:ascii="Calibri" w:hAnsi="Calibri" w:eastAsia="Calibri"/>
          <w:b w:val="0"/>
          <w:i w:val="0"/>
          <w:color w:val="24282C"/>
          <w:sz w:val="20"/>
        </w:rPr>
        <w:t>Seven tonnes per day of dry bauxite residue are metered to each train. The rate is large enough to create a meaningful 23,310 t/y treatment stream across the complex while remaining small relative to organic dry matter. The material is stored and slurried separately because sodium, chloride, particle size and moisture must be measured independently. Its iron oxides may contribute redox and gasification activity; soluble alkali can promote water–gas shift and char conversion; aluminosilicate and titanium phases largely report to washed solids. These functions do not remove the need for a commercial catalyst if pilot data show insufficient activity or unacceptable variability.</w:t>
      </w:r>
    </w:p>
    <w:p>
      <w:pPr>
        <w:widowControl/>
        <w:spacing w:line="269" w:lineRule="auto" w:after="120"/>
      </w:pPr>
      <w:r>
        <w:rPr>
          <w:rFonts w:ascii="Calibri" w:hAnsi="Calibri" w:eastAsia="Calibri"/>
          <w:b w:val="0"/>
          <w:i w:val="0"/>
          <w:color w:val="24282C"/>
          <w:sz w:val="20"/>
        </w:rPr>
        <w:t>The residue is purposefully exposed to the hydrothermal and washing circuit. Dissolved sodium and associated salts leave through B3/B4; the washed mineral fraction leaves through B8. The base design does not send all B8 solids back to B1. Eliminating the large routine recycle avoids accumulation of chloride, silica, titanium and trace metals and makes the treated-residue output visible. A small off-specification retreatment loop is retained, but it is a quality-control operation rather than an indefinite catalyst inventory.</w:t>
      </w:r>
    </w:p>
    <w:p>
      <w:pPr>
        <w:pStyle w:val="Heading2"/>
        <w:keepNext/>
        <w:spacing w:before="240" w:after="100"/>
      </w:pPr>
      <w:r>
        <w:rPr>
          <w:rFonts w:ascii="Calibri" w:hAnsi="Calibri" w:eastAsia="Calibri"/>
          <w:b/>
          <w:i w:val="0"/>
          <w:color w:val="2F5597"/>
          <w:sz w:val="26"/>
        </w:rPr>
        <w:t>2.3 Compatible regional organic co-feeds</w:t>
      </w:r>
    </w:p>
    <w:p>
      <w:pPr>
        <w:keepNext/>
        <w:spacing w:before="60" w:after="60"/>
      </w:pPr>
      <w:r>
        <w:rPr>
          <w:rFonts w:ascii="Calibri" w:hAnsi="Calibri" w:eastAsia="Calibri"/>
          <w:b w:val="0"/>
          <w:i/>
          <w:color w:val="65717C"/>
          <w:sz w:val="17"/>
        </w:rPr>
        <w:t>Table 2.1 — Compatible streams are selected by reaction chemistry and contaminant destination, not by the generic word 'biomass'.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72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Waste stream</w:t>
            </w:r>
          </w:p>
        </w:tc>
        <w:tc>
          <w:tcPr>
            <w:tcW w:type="dxa" w:w="259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Why it fits SCWG</w:t>
            </w:r>
          </w:p>
        </w:tc>
        <w:tc>
          <w:tcPr>
            <w:tcW w:type="dxa" w:w="22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Dose / role in this design</w:t>
            </w:r>
          </w:p>
        </w:tc>
        <w:tc>
          <w:tcPr>
            <w:tcW w:type="dxa" w:w="324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Limiting chemistry or handling</w:t>
            </w:r>
          </w:p>
        </w:tc>
      </w:tr>
      <w:tr>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Douzha</w:t>
            </w:r>
          </w:p>
        </w:tc>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Wet, fine, pumpable after homogenisation; mixed carbohydrate/protein/lipid</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Anchor: 150 t/d per train in B1</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Protein nitrogen, spoilage, variable moisture</w:t>
            </w:r>
          </w:p>
        </w:tc>
      </w:tr>
      <w:tr>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Cassava cake</w:t>
            </w:r>
          </w:p>
        </w:tc>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Wet starch and fibre hydrolyse readily; relatively low N</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60 t/d B1; carbon-density control</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Cyanogenic residues, sand, seasonal moisture, starch gelation</w:t>
            </w:r>
          </w:p>
        </w:tc>
      </w:tr>
      <w:tr>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Fruit and vegetable pulp</w:t>
            </w:r>
          </w:p>
        </w:tc>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Sugars, pectin and cellulose enter the same hydrolysis/reforming network</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20 t/d B1; flexible regional feed</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Packaging, grit, chloride from washing, rapid acidification</w:t>
            </w:r>
          </w:p>
        </w:tc>
      </w:tr>
      <w:tr>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Soluble organic liquor</w:t>
            </w:r>
          </w:p>
        </w:tc>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Dissolved COD replaces part of dilution water and avoids milling</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10 t/d B1; liquid carbon trim</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Cleaning chemicals, conductivity, sulfur, refractory COD</w:t>
            </w:r>
          </w:p>
        </w:tc>
      </w:tr>
      <w:tr>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Soybean straw</w:t>
            </w:r>
          </w:p>
        </w:tc>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High dry carbon raises C/N and slurry carbon</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12 t/d B1; milled below the pumpable PSD limit</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Yield stress, bridging, lignin/char, erosion</w:t>
            </w:r>
          </w:p>
        </w:tc>
      </w:tr>
      <w:tr>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Bagasse or cane trash</w:t>
            </w:r>
          </w:p>
        </w:tc>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Regionally abundant lignocellulosic carbon</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Alternate dry-fibre lane after milling</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Silica, seasonal storage, fibrous rheology</w:t>
            </w:r>
          </w:p>
        </w:tc>
      </w:tr>
      <w:tr>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Brewery/distillery residues</w:t>
            </w:r>
          </w:p>
        </w:tc>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Wet carbohydrate and soluble organics</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Alternate liquor or wet-pulp lane</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Sulfate, cleaning chemicals, variable alcohol/acid</w:t>
            </w:r>
          </w:p>
        </w:tc>
      </w:tr>
      <w:tr>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Dewatered manure</w:t>
            </w:r>
          </w:p>
        </w:tc>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Biodegradable carbon plus potential gate fee</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Separate B3 qualification campaign; capped initially</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High N/P/ash/Cl, grit, pathogens before B2, antibiotic/metal screening</w:t>
            </w:r>
          </w:p>
        </w:tc>
      </w:tr>
    </w:tbl>
    <w:p>
      <w:pPr>
        <w:spacing w:after="20"/>
      </w:pPr>
    </w:p>
    <w:p>
      <w:pPr>
        <w:widowControl/>
        <w:spacing w:line="269" w:lineRule="auto" w:after="120"/>
      </w:pPr>
      <w:r>
        <w:rPr>
          <w:rFonts w:ascii="Calibri" w:hAnsi="Calibri" w:eastAsia="Calibri"/>
          <w:b w:val="0"/>
          <w:i w:val="0"/>
          <w:color w:val="24282C"/>
          <w:sz w:val="20"/>
        </w:rPr>
        <w:t>Carbohydrate-rich streams are the easiest substitutions because their first chemical step is shared. Hydrolysis converts starch and cellulose into sugars; dehydration and retro-aldol reactions produce smaller oxygenates; reforming and water–gas shift then produce gas. Lipid-rich wastes can also be converted, but fatty acids may change heat-transfer films, phase behaviour and coking. Protein-rich wastes increase ammonia and heterocyclic nitrogen products. The reactor can accept all three biochemical families, yet the downstream system must be sized for the consequences of the chosen mixture.</w:t>
      </w:r>
    </w:p>
    <w:p>
      <w:pPr>
        <w:pStyle w:val="Heading2"/>
        <w:keepNext/>
        <w:spacing w:before="240" w:after="100"/>
      </w:pPr>
      <w:r>
        <w:rPr>
          <w:rFonts w:ascii="Calibri" w:hAnsi="Calibri" w:eastAsia="Calibri"/>
          <w:b/>
          <w:i w:val="0"/>
          <w:color w:val="2F5597"/>
          <w:sz w:val="26"/>
        </w:rPr>
        <w:t>2.4 Feed recipes and calculated properties</w:t>
      </w:r>
    </w:p>
    <w:p>
      <w:pPr>
        <w:keepNext/>
        <w:spacing w:before="60" w:after="60"/>
      </w:pPr>
      <w:r>
        <w:rPr>
          <w:rFonts w:ascii="Calibri" w:hAnsi="Calibri" w:eastAsia="Calibri"/>
          <w:b w:val="0"/>
          <w:i/>
          <w:color w:val="65717C"/>
          <w:sz w:val="17"/>
        </w:rPr>
        <w:t>Table 2.2 — One-train feed-envelope calculations. All recipes total 300 t/d gross slurry.</w:t>
      </w:r>
    </w:p>
    <w:tbl>
      <w:tblPr>
        <w:tblW w:type="auto" w:w="0"/>
        <w:jc w:val="center"/>
        <w:tblLayout w:type="fixed"/>
        <w:tblLook w:firstColumn="1" w:firstRow="1" w:lastColumn="0" w:lastRow="0" w:noHBand="0" w:noVBand="1" w:val="04A0"/>
      </w:tblPr>
      <w:tblGrid>
        <w:gridCol w:w="1235"/>
        <w:gridCol w:w="1235"/>
        <w:gridCol w:w="1235"/>
        <w:gridCol w:w="1235"/>
        <w:gridCol w:w="1235"/>
        <w:gridCol w:w="1235"/>
        <w:gridCol w:w="1235"/>
        <w:gridCol w:w="1235"/>
      </w:tblGrid>
      <w:tr>
        <w:trPr>
          <w:tblHeader w:val="true"/>
        </w:trPr>
        <w:tc>
          <w:tcPr>
            <w:tcW w:type="dxa" w:w="237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Case</w:t>
            </w:r>
          </w:p>
        </w:tc>
        <w:tc>
          <w:tcPr>
            <w:tcW w:type="dxa" w:w="835"/>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Wet t/d</w:t>
            </w:r>
          </w:p>
        </w:tc>
        <w:tc>
          <w:tcPr>
            <w:tcW w:type="dxa" w:w="893"/>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Dry t/d</w:t>
            </w:r>
          </w:p>
        </w:tc>
        <w:tc>
          <w:tcPr>
            <w:tcW w:type="dxa" w:w="893"/>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Solids</w:t>
            </w:r>
          </w:p>
        </w:tc>
        <w:tc>
          <w:tcPr>
            <w:tcW w:type="dxa" w:w="893"/>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C t/d</w:t>
            </w:r>
          </w:p>
        </w:tc>
        <w:tc>
          <w:tcPr>
            <w:tcW w:type="dxa" w:w="1037"/>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C in slurry</w:t>
            </w:r>
          </w:p>
        </w:tc>
        <w:tc>
          <w:tcPr>
            <w:tcW w:type="dxa" w:w="136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Ash/mineral t/d</w:t>
            </w:r>
          </w:p>
        </w:tc>
        <w:tc>
          <w:tcPr>
            <w:tcW w:type="dxa" w:w="79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C/N</w:t>
            </w:r>
          </w:p>
        </w:tc>
      </w:tr>
      <w:tr>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B0 douzha-rich control</w:t>
            </w:r>
          </w:p>
        </w:tc>
        <w:tc>
          <w:tcPr>
            <w:tcW w:type="dxa" w:w="835"/>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300</w:t>
            </w:r>
          </w:p>
        </w:tc>
        <w:tc>
          <w:tcPr>
            <w:tcW w:type="dxa" w:w="893"/>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57.20</w:t>
            </w:r>
          </w:p>
        </w:tc>
        <w:tc>
          <w:tcPr>
            <w:tcW w:type="dxa" w:w="893"/>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19.07%</w:t>
            </w:r>
          </w:p>
        </w:tc>
        <w:tc>
          <w:tcPr>
            <w:tcW w:type="dxa" w:w="893"/>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23.688</w:t>
            </w:r>
          </w:p>
        </w:tc>
        <w:tc>
          <w:tcPr>
            <w:tcW w:type="dxa" w:w="1037"/>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7.896%</w:t>
            </w:r>
          </w:p>
        </w:tc>
        <w:tc>
          <w:tcPr>
            <w:tcW w:type="dxa" w:w="13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8.652</w:t>
            </w:r>
          </w:p>
        </w:tc>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6.82</w:t>
            </w:r>
          </w:p>
        </w:tc>
      </w:tr>
      <w:tr>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B1 balanced regional design</w:t>
            </w:r>
          </w:p>
        </w:tc>
        <w:tc>
          <w:tcPr>
            <w:tcW w:type="dxa" w:w="835"/>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300</w:t>
            </w:r>
          </w:p>
        </w:tc>
        <w:tc>
          <w:tcPr>
            <w:tcW w:type="dxa" w:w="893"/>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62.40</w:t>
            </w:r>
          </w:p>
        </w:tc>
        <w:tc>
          <w:tcPr>
            <w:tcW w:type="dxa" w:w="893"/>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20.80%</w:t>
            </w:r>
          </w:p>
        </w:tc>
        <w:tc>
          <w:tcPr>
            <w:tcW w:type="dxa" w:w="893"/>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25.947</w:t>
            </w:r>
          </w:p>
        </w:tc>
        <w:tc>
          <w:tcPr>
            <w:tcW w:type="dxa" w:w="1037"/>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8.649%</w:t>
            </w:r>
          </w:p>
        </w:tc>
        <w:tc>
          <w:tcPr>
            <w:tcW w:type="dxa" w:w="13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9.147</w:t>
            </w:r>
          </w:p>
        </w:tc>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10.97</w:t>
            </w:r>
          </w:p>
        </w:tc>
      </w:tr>
      <w:tr>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B2 higher-carbon operating envelope</w:t>
            </w:r>
          </w:p>
        </w:tc>
        <w:tc>
          <w:tcPr>
            <w:tcW w:type="dxa" w:w="835"/>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300</w:t>
            </w:r>
          </w:p>
        </w:tc>
        <w:tc>
          <w:tcPr>
            <w:tcW w:type="dxa" w:w="893"/>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66.16</w:t>
            </w:r>
          </w:p>
        </w:tc>
        <w:tc>
          <w:tcPr>
            <w:tcW w:type="dxa" w:w="893"/>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22.05%</w:t>
            </w:r>
          </w:p>
        </w:tc>
        <w:tc>
          <w:tcPr>
            <w:tcW w:type="dxa" w:w="893"/>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27.864</w:t>
            </w:r>
          </w:p>
        </w:tc>
        <w:tc>
          <w:tcPr>
            <w:tcW w:type="dxa" w:w="1037"/>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9.288%</w:t>
            </w:r>
          </w:p>
        </w:tc>
        <w:tc>
          <w:tcPr>
            <w:tcW w:type="dxa" w:w="13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9.498</w:t>
            </w:r>
          </w:p>
        </w:tc>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17.74</w:t>
            </w:r>
          </w:p>
        </w:tc>
      </w:tr>
      <w:tr>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B3 manure qualification campaign</w:t>
            </w:r>
          </w:p>
        </w:tc>
        <w:tc>
          <w:tcPr>
            <w:tcW w:type="dxa" w:w="835"/>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300</w:t>
            </w:r>
          </w:p>
        </w:tc>
        <w:tc>
          <w:tcPr>
            <w:tcW w:type="dxa" w:w="893"/>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65.66</w:t>
            </w:r>
          </w:p>
        </w:tc>
        <w:tc>
          <w:tcPr>
            <w:tcW w:type="dxa" w:w="893"/>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21.89%</w:t>
            </w:r>
          </w:p>
        </w:tc>
        <w:tc>
          <w:tcPr>
            <w:tcW w:type="dxa" w:w="893"/>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26.848</w:t>
            </w:r>
          </w:p>
        </w:tc>
        <w:tc>
          <w:tcPr>
            <w:tcW w:type="dxa" w:w="1037"/>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8.949%</w:t>
            </w:r>
          </w:p>
        </w:tc>
        <w:tc>
          <w:tcPr>
            <w:tcW w:type="dxa" w:w="13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11.771</w:t>
            </w:r>
          </w:p>
        </w:tc>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13.90</w:t>
            </w:r>
          </w:p>
        </w:tc>
      </w:tr>
    </w:tbl>
    <w:p>
      <w:pPr>
        <w:spacing w:after="20"/>
      </w:pPr>
    </w:p>
    <w:p>
      <w:pPr>
        <w:keepNext/>
        <w:spacing w:before="60" w:after="60"/>
      </w:pPr>
      <w:r>
        <w:rPr>
          <w:rFonts w:ascii="Calibri" w:hAnsi="Calibri" w:eastAsia="Calibri"/>
          <w:b w:val="0"/>
          <w:i/>
          <w:color w:val="65717C"/>
          <w:sz w:val="17"/>
        </w:rPr>
        <w:t>Table 2.3 — Selected B1 balanced regional design per 300 t/d train.</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22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Component</w:t>
            </w:r>
          </w:p>
        </w:tc>
        <w:tc>
          <w:tcPr>
            <w:tcW w:type="dxa" w:w="10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B1 t/d</w:t>
            </w:r>
          </w:p>
        </w:tc>
        <w:tc>
          <w:tcPr>
            <w:tcW w:type="dxa" w:w="144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Dry solids t/d</w:t>
            </w:r>
          </w:p>
        </w:tc>
        <w:tc>
          <w:tcPr>
            <w:tcW w:type="dxa" w:w="129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Carbon t/d</w:t>
            </w:r>
          </w:p>
        </w:tc>
        <w:tc>
          <w:tcPr>
            <w:tcW w:type="dxa" w:w="374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Function</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Douzha</w:t>
            </w:r>
          </w:p>
        </w:tc>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150.0</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25.80</w:t>
            </w:r>
          </w:p>
        </w:tc>
        <w:tc>
          <w:tcPr>
            <w:tcW w:type="dxa" w:w="12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11.894</w:t>
            </w:r>
          </w:p>
        </w:tc>
        <w:tc>
          <w:tcPr>
            <w:tcW w:type="dxa" w:w="37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Anchor wet matrix and renewable carbon</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Cassava cake</w:t>
            </w:r>
          </w:p>
        </w:tc>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60.0</w:t>
            </w:r>
          </w:p>
        </w:tc>
        <w:tc>
          <w:tcPr>
            <w:tcW w:type="dxa" w:w="14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15.00</w:t>
            </w:r>
          </w:p>
        </w:tc>
        <w:tc>
          <w:tcPr>
            <w:tcW w:type="dxa" w:w="12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6.600</w:t>
            </w:r>
          </w:p>
        </w:tc>
        <w:tc>
          <w:tcPr>
            <w:tcW w:type="dxa" w:w="37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Starch-rich carbon with modest nitrogen</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Fruit and vegetable pulp</w:t>
            </w:r>
          </w:p>
        </w:tc>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20.0</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3.00</w:t>
            </w:r>
          </w:p>
        </w:tc>
        <w:tc>
          <w:tcPr>
            <w:tcW w:type="dxa" w:w="12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1.320</w:t>
            </w:r>
          </w:p>
        </w:tc>
        <w:tc>
          <w:tcPr>
            <w:tcW w:type="dxa" w:w="37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Flexible sugar/pectin/cellulose residue</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Soluble organic liquor</w:t>
            </w:r>
          </w:p>
        </w:tc>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10.0</w:t>
            </w:r>
          </w:p>
        </w:tc>
        <w:tc>
          <w:tcPr>
            <w:tcW w:type="dxa" w:w="14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0.80</w:t>
            </w:r>
          </w:p>
        </w:tc>
        <w:tc>
          <w:tcPr>
            <w:tcW w:type="dxa" w:w="12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0.336</w:t>
            </w:r>
          </w:p>
        </w:tc>
        <w:tc>
          <w:tcPr>
            <w:tcW w:type="dxa" w:w="37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Replaces water with dissolved organic carbon</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Soybean straw</w:t>
            </w:r>
          </w:p>
        </w:tc>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12.0</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10.80</w:t>
            </w:r>
          </w:p>
        </w:tc>
        <w:tc>
          <w:tcPr>
            <w:tcW w:type="dxa" w:w="12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5.797</w:t>
            </w:r>
          </w:p>
        </w:tc>
        <w:tc>
          <w:tcPr>
            <w:tcW w:type="dxa" w:w="37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Dry-carbon and C/N adjustment</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Bauxite residue</w:t>
            </w:r>
          </w:p>
        </w:tc>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7.0</w:t>
            </w:r>
          </w:p>
        </w:tc>
        <w:tc>
          <w:tcPr>
            <w:tcW w:type="dxa" w:w="14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7.00</w:t>
            </w:r>
          </w:p>
        </w:tc>
        <w:tc>
          <w:tcPr>
            <w:tcW w:type="dxa" w:w="12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0.000</w:t>
            </w:r>
          </w:p>
        </w:tc>
        <w:tc>
          <w:tcPr>
            <w:tcW w:type="dxa" w:w="37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Residue treatment feed; mineral/catalytic contribution</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Recycle or makeup water</w:t>
            </w:r>
          </w:p>
        </w:tc>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41.0</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0.00</w:t>
            </w:r>
          </w:p>
        </w:tc>
        <w:tc>
          <w:tcPr>
            <w:tcW w:type="dxa" w:w="12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0.000</w:t>
            </w:r>
          </w:p>
        </w:tc>
        <w:tc>
          <w:tcPr>
            <w:tcW w:type="dxa" w:w="37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Sets solids, viscosity and flush inventory</w:t>
            </w:r>
          </w:p>
        </w:tc>
      </w:tr>
    </w:tbl>
    <w:p>
      <w:pPr>
        <w:spacing w:after="20"/>
      </w:pPr>
    </w:p>
    <w:p>
      <w:pPr>
        <w:widowControl/>
        <w:spacing w:line="269" w:lineRule="auto" w:after="120"/>
      </w:pPr>
      <w:r>
        <w:rPr>
          <w:rFonts w:ascii="Calibri" w:hAnsi="Calibri" w:eastAsia="Calibri"/>
          <w:b w:val="0"/>
          <w:i w:val="0"/>
          <w:color w:val="24282C"/>
          <w:sz w:val="20"/>
        </w:rPr>
        <w:t>B1 contains 20.80 wt% total solids and 8.649 wt% carbon. It retains more than one percentage point below the 22 wt% high-carbon envelope, leaving room for lot-to-lot moisture error. Its C/N mass indicator of 10.97 is materially higher than the douzha-rich control because cassava and straw add carbon with less nitrogen. The recipe is a calculation basis, not a fixed ratio imposed on every batch: the control system recalculates water and co-feed addition from measured total solids, elemental analysis, ash and rheology.</w:t>
      </w:r>
    </w:p>
    <w:p>
      <w:pPr>
        <w:pStyle w:val="Heading2"/>
        <w:keepNext/>
        <w:spacing w:before="240" w:after="100"/>
      </w:pPr>
      <w:r>
        <w:rPr>
          <w:rFonts w:ascii="Calibri" w:hAnsi="Calibri" w:eastAsia="Calibri"/>
          <w:b/>
          <w:i w:val="0"/>
          <w:color w:val="2F5597"/>
          <w:sz w:val="26"/>
        </w:rPr>
        <w:t>2.5 Broad wet-organic-waste platform: the feed acceptance envelope</w:t>
      </w:r>
    </w:p>
    <w:p>
      <w:pPr>
        <w:widowControl/>
        <w:spacing w:line="269" w:lineRule="auto" w:after="120"/>
      </w:pPr>
      <w:r>
        <w:rPr>
          <w:rFonts w:ascii="Calibri" w:hAnsi="Calibri" w:eastAsia="Calibri"/>
          <w:b w:val="0"/>
          <w:i w:val="0"/>
          <w:color w:val="24282C"/>
          <w:sz w:val="20"/>
        </w:rPr>
        <w:t>The chemistry is broad but the engineering window is finite. A candidate waste is incorporated easily only when it can enter one of four controlled lanes: pumpable wet food residues, soluble organic liquors, prepared dry fibres, or separately quarantined high-ash/high-nitrogen residues. Each lane has its own screen, storage, metering and cleaning system before the final high-shear blend tank. One undifferentiated waste pit would make chloride, ash and certification failures impossible to trace.</w:t>
      </w:r>
    </w:p>
    <w:p>
      <w:pPr>
        <w:keepNext/>
        <w:spacing w:before="60" w:after="60"/>
      </w:pPr>
      <w:r>
        <w:rPr>
          <w:rFonts w:ascii="Calibri" w:hAnsi="Calibri" w:eastAsia="Calibri"/>
          <w:b w:val="0"/>
          <w:i/>
          <w:color w:val="65717C"/>
          <w:sz w:val="17"/>
        </w:rPr>
        <w:t>Table 2.4 — Feed flexibility is governed by a release envelope, not an unrestricted waste claim.</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1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Acceptance variable</w:t>
            </w:r>
          </w:p>
        </w:tc>
        <w:tc>
          <w:tcPr>
            <w:tcW w:type="dxa" w:w="309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Normal design target</w:t>
            </w:r>
          </w:p>
        </w:tc>
        <w:tc>
          <w:tcPr>
            <w:tcW w:type="dxa" w:w="46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Automatic response outside target</w:t>
            </w:r>
          </w:p>
        </w:tc>
      </w:tr>
      <w:tr>
        <w:tc>
          <w:tcPr>
            <w:tcW w:type="dxa" w:w="20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Total solids</w:t>
            </w:r>
          </w:p>
        </w:tc>
        <w:tc>
          <w:tcPr>
            <w:tcW w:type="dxa" w:w="30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18–22 wt% final slurry</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Recalculate water and dry-fibre dose; hold batch if rheology remains outside curve</w:t>
            </w:r>
          </w:p>
        </w:tc>
      </w:tr>
      <w:tr>
        <w:tc>
          <w:tcPr>
            <w:tcW w:type="dxa" w:w="20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Particle size</w:t>
            </w:r>
          </w:p>
        </w:tc>
        <w:tc>
          <w:tcPr>
            <w:tcW w:type="dxa" w:w="30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D90 &lt;0.5 mm for fibre; no hard grit &gt;1 mm</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Remill, screen or reject; do not rely on the HP pump to comminute</w:t>
            </w:r>
          </w:p>
        </w:tc>
      </w:tr>
      <w:tr>
        <w:tc>
          <w:tcPr>
            <w:tcW w:type="dxa" w:w="20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Yield stress / restart</w:t>
            </w:r>
          </w:p>
        </w:tc>
        <w:tc>
          <w:tcPr>
            <w:tcW w:type="dxa" w:w="30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Within qualified pump-loop envelope after 12 h hold</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Reduce fibre/starch; increase water; repeat restart test</w:t>
            </w:r>
          </w:p>
        </w:tc>
      </w:tr>
      <w:tr>
        <w:tc>
          <w:tcPr>
            <w:tcW w:type="dxa" w:w="20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Feed carbon</w:t>
            </w:r>
          </w:p>
        </w:tc>
        <w:tc>
          <w:tcPr>
            <w:tcW w:type="dxa" w:w="30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8.5–9.5 wt% gross slurry for B1/B2 operation</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Add qualified cassava/fibre/liquor or reduce dilution</w:t>
            </w:r>
          </w:p>
        </w:tc>
      </w:tr>
      <w:tr>
        <w:tc>
          <w:tcPr>
            <w:tcW w:type="dxa" w:w="20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Nitrogen</w:t>
            </w:r>
          </w:p>
        </w:tc>
        <w:tc>
          <w:tcPr>
            <w:tcW w:type="dxa" w:w="30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Inside B4 ammonia-recovery capacity</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Reduce protein/manure fraction or segregate campaign</w:t>
            </w:r>
          </w:p>
        </w:tc>
      </w:tr>
      <w:tr>
        <w:tc>
          <w:tcPr>
            <w:tcW w:type="dxa" w:w="20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Ash and soluble salts</w:t>
            </w:r>
          </w:p>
        </w:tc>
        <w:tc>
          <w:tcPr>
            <w:tcW w:type="dxa" w:w="30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Inside B3 continuous-withdrawal capacity</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Lower high-ash feed; switch separator; increase purge within water balance</w:t>
            </w:r>
          </w:p>
        </w:tc>
      </w:tr>
      <w:tr>
        <w:tc>
          <w:tcPr>
            <w:tcW w:type="dxa" w:w="20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Chloride</w:t>
            </w:r>
          </w:p>
        </w:tc>
        <w:tc>
          <w:tcPr>
            <w:tcW w:type="dxa" w:w="30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Supplier- and alloy-specific limit; final set by corrosion loop</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Segregate, prewash, purge water or reject lot</w:t>
            </w:r>
          </w:p>
        </w:tc>
      </w:tr>
      <w:tr>
        <w:tc>
          <w:tcPr>
            <w:tcW w:type="dxa" w:w="20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Sulfur</w:t>
            </w:r>
          </w:p>
        </w:tc>
        <w:tc>
          <w:tcPr>
            <w:tcW w:type="dxa" w:w="30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Inside Rectisol/ZnO and sulfur-recovery load</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Reduce feed dose; verify COS hydrolysis and guard-bed life</w:t>
            </w:r>
          </w:p>
        </w:tc>
      </w:tr>
      <w:tr>
        <w:tc>
          <w:tcPr>
            <w:tcW w:type="dxa" w:w="20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Excluded contamination</w:t>
            </w:r>
          </w:p>
        </w:tc>
        <w:tc>
          <w:tcPr>
            <w:tcW w:type="dxa" w:w="30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No uncontrolled plastics, PFAS, solvents, halogenated organics or unknown toxic sludge</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Quarantine and reject unless a separate permitted campaign is designed</w:t>
            </w:r>
          </w:p>
        </w:tc>
      </w:tr>
    </w:tbl>
    <w:p>
      <w:pPr>
        <w:spacing w:after="20"/>
      </w:pPr>
    </w:p>
    <w:p>
      <w:pPr>
        <w:pStyle w:val="Heading2"/>
        <w:keepNext/>
        <w:spacing w:before="240" w:after="100"/>
      </w:pPr>
      <w:r>
        <w:rPr>
          <w:rFonts w:ascii="Calibri" w:hAnsi="Calibri" w:eastAsia="Calibri"/>
          <w:b/>
          <w:i w:val="0"/>
          <w:color w:val="2F5597"/>
          <w:sz w:val="26"/>
        </w:rPr>
        <w:t>2.6 Slurry preparation and why the wastes mix successfully</w:t>
      </w:r>
    </w:p>
    <w:p>
      <w:pPr>
        <w:widowControl/>
        <w:spacing w:line="269" w:lineRule="auto" w:after="120"/>
      </w:pPr>
      <w:r>
        <w:rPr>
          <w:rFonts w:ascii="Calibri" w:hAnsi="Calibri" w:eastAsia="Calibri"/>
          <w:b w:val="0"/>
          <w:i w:val="0"/>
          <w:color w:val="24282C"/>
          <w:sz w:val="20"/>
        </w:rPr>
        <w:t>Douzha and wet pulps enter enclosed agitated equalisation tanks. Cassava cake is macerated before it can form concentrated starch lenses. Dry straw is magnetically cleaned, milled and loss-in-weight fed into a high-velocity recirculation loop. Bauxite residue is made into a separate measured slurry or fed as conditioned dry powder into a dust-controlled eductor. Combining all materials only in the final blend tank keeps mineral inventory and chloride corrections independent from the organic feed.</w:t>
      </w:r>
    </w:p>
    <w:p>
      <w:pPr>
        <w:widowControl/>
        <w:spacing w:line="269" w:lineRule="auto" w:after="120"/>
      </w:pPr>
      <w:r>
        <w:rPr>
          <w:rFonts w:ascii="Calibri" w:hAnsi="Calibri" w:eastAsia="Calibri"/>
          <w:b w:val="0"/>
          <w:i w:val="0"/>
          <w:color w:val="24282C"/>
          <w:sz w:val="20"/>
        </w:rPr>
        <w:t>A nominal solids percentage does not prove pumpability. Fibres create a yield stress, starch can gelatinise during heat-up, fine mineral particles can settle after a shutdown, and fats can coat heat-transfer surfaces. Release therefore requires a rheogram, particle-size distribution, density, conductivity and a stop/restart test. Two 100% positive-displacement pumps per train provide duty/standby operation, and the suction system is designed for flooded inlet conditions. High-pressure water can displace organic slurry before maintenance without forcing an uncontrolled mixture into the common gas header.</w:t>
      </w:r>
    </w:p>
    <w:p>
      <w:pPr>
        <w:widowControl/>
        <w:spacing w:line="269" w:lineRule="auto" w:after="120"/>
      </w:pPr>
      <w:r>
        <w:rPr>
          <w:rFonts w:ascii="Calibri" w:hAnsi="Calibri" w:eastAsia="Calibri"/>
          <w:b w:val="0"/>
          <w:i w:val="0"/>
          <w:color w:val="24282C"/>
          <w:sz w:val="20"/>
        </w:rPr>
        <w:t>The blend works chemically because all organic fractions converge on a limited set of hydrothermal intermediates. It works mechanically only because each fraction is dosed below a measured rheological limit. Carbon and slurry formation are therefore the two central feed controls: carbon determines product potential; viscosity, settling and particle size determine whether that carbon can reach the reactor continuously.</w:t>
      </w:r>
    </w:p>
    <w:p>
      <w:pPr>
        <w:pStyle w:val="Heading2"/>
        <w:keepNext/>
        <w:spacing w:before="240" w:after="100"/>
      </w:pPr>
      <w:r>
        <w:rPr>
          <w:rFonts w:ascii="Calibri" w:hAnsi="Calibri" w:eastAsia="Calibri"/>
          <w:b/>
          <w:i w:val="0"/>
          <w:color w:val="2F5597"/>
          <w:sz w:val="26"/>
        </w:rPr>
        <w:t>2.7 Nitrogen from douzha protein</w:t>
      </w:r>
    </w:p>
    <w:p>
      <w:pPr>
        <w:widowControl/>
        <w:spacing w:line="269" w:lineRule="auto" w:after="120"/>
      </w:pPr>
      <w:r>
        <w:rPr>
          <w:rFonts w:ascii="Calibri" w:hAnsi="Calibri" w:eastAsia="Calibri"/>
          <w:b w:val="0"/>
          <w:i w:val="0"/>
          <w:color w:val="24282C"/>
          <w:sz w:val="20"/>
        </w:rPr>
        <w:t>Protein is not simply a contaminant. Hydrolysis produces amino acids, and deamination transfers much of their nitrogen to dissolved ammonia/ammonium. Leaving that nitrogen in mixed recycle water increases corrosion, oxygen demand and the risk of an unqualified salt concentrate. The preferred B4 route is solids removal followed by pH- and temperature-assisted ammonia stripping or a gas-permeable membrane, with sulfuric-acid absorption to make an ammonium-sulfate solution. Recent hydrothermal-liquor studies report high ammonia removal and recovery when the contacting and pH conditions are controlled, demonstrating that nitrogen can become a separate product rather than a wastewater load.</w:t>
      </w:r>
      <w:r>
        <w:rPr>
          <w:rFonts w:ascii="Calibri" w:hAnsi="Calibri" w:eastAsia="Calibri"/>
          <w:b w:val="0"/>
          <w:i w:val="0"/>
          <w:color w:val="2F5597"/>
          <w:sz w:val="15"/>
          <w:vertAlign w:val="superscript"/>
        </w:rPr>
        <w:t xml:space="preserve"> 18,19,20</w:t>
      </w:r>
    </w:p>
    <w:p>
      <w:pPr>
        <w:widowControl/>
        <w:spacing w:line="269" w:lineRule="auto" w:after="120"/>
      </w:pPr>
      <w:r>
        <w:rPr>
          <w:rFonts w:ascii="Calibri" w:hAnsi="Calibri" w:eastAsia="Calibri"/>
          <w:b w:val="0"/>
          <w:i w:val="0"/>
          <w:color w:val="24282C"/>
          <w:sz w:val="20"/>
        </w:rPr>
        <w:t>The B1 calculation contains approximately 2.365 t N/d per train. At 75% recovery, ten trains would recover about 17.74 t N/d, equivalent to roughly 83.6 t/d ammonium sulfate or 27.9 kt/y. At 900–1,200 RMB/t this is a gross upside of approximately RMB 25–33 million/y before acid, steam, polishing and product-registration cost. It is not booked in base revenue until metals, chloride, organics and fertilizer rules are satisfied.</w:t>
      </w:r>
    </w:p>
    <w:p>
      <w:pPr>
        <w:pStyle w:val="Heading2"/>
        <w:keepNext/>
        <w:spacing w:before="240" w:after="100"/>
      </w:pPr>
      <w:r>
        <w:rPr>
          <w:rFonts w:ascii="Calibri" w:hAnsi="Calibri" w:eastAsia="Calibri"/>
          <w:b/>
          <w:i w:val="0"/>
          <w:color w:val="2F5597"/>
          <w:sz w:val="26"/>
        </w:rPr>
        <w:t>2.8 Chloride control</w:t>
      </w:r>
    </w:p>
    <w:p>
      <w:pPr>
        <w:widowControl/>
        <w:spacing w:line="269" w:lineRule="auto" w:after="120"/>
      </w:pPr>
      <w:r>
        <w:rPr>
          <w:rFonts w:ascii="Calibri" w:hAnsi="Calibri" w:eastAsia="Calibri"/>
          <w:b w:val="0"/>
          <w:i w:val="0"/>
          <w:color w:val="24282C"/>
          <w:sz w:val="20"/>
        </w:rPr>
        <w:t>Chloride is not assumed to be an inherent constant in every bauxite-residue source; it is measured. It may enter through refinery water, coastal handling, food-processing brines, cleaning chemicals or manure. Once inside a closed water loop it can concentrate, increasing the risk of pitting and stress-corrosion cracking in hot high-pressure equipment. A single plant-wide chloride number is therefore inadequate: limits are set separately for B1 feed, B3 underflow, B4 recycle water, B8 wash water and each metallurgy transition.</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Segregate suppliers and reject or separately campaign high-chloride lots before blending.</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Use counter-current prewashing for bauxite residue when soluble chloride and sodium justify the water duty.</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Withdraw precipitated chloride-bearing material at B3 where its phase behaviour permits; do not assume all chloride precipitates under the same conditions as sulfate or carbonate.</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Wash B8 solids and control B4 recycle by chloride mass balance rather than a fixed recycle percentage.</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Treat the controlled aqueous purge by membrane concentration, electrodialysis, evaporation/crystallisation or a permitted external facility selected from actual composition.</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Use corrosion coupons and alloy-specific testing to set the final feed limit; a design corrosion allowance does not replace chemistry control.</w:t>
      </w:r>
    </w:p>
    <w:p>
      <w:pPr>
        <w:pStyle w:val="Heading1"/>
        <w:keepNext/>
        <w:pageBreakBefore/>
        <w:spacing w:after="200"/>
      </w:pPr>
      <w:r>
        <w:rPr>
          <w:rFonts w:ascii="Calibri" w:hAnsi="Calibri" w:eastAsia="Calibri"/>
          <w:b/>
          <w:i w:val="0"/>
          <w:color w:val="17365D"/>
          <w:sz w:val="34"/>
        </w:rPr>
        <w:t>3. Regional sourcing and plant location</w:t>
      </w:r>
    </w:p>
    <w:p>
      <w:pPr>
        <w:pStyle w:val="Heading2"/>
        <w:keepNext/>
        <w:spacing w:before="240" w:after="100"/>
      </w:pPr>
      <w:r>
        <w:rPr>
          <w:rFonts w:ascii="Calibri" w:hAnsi="Calibri" w:eastAsia="Calibri"/>
          <w:b/>
          <w:i w:val="0"/>
          <w:color w:val="2F5597"/>
          <w:sz w:val="26"/>
        </w:rPr>
        <w:t>3.1 The location opportunity</w:t>
      </w:r>
    </w:p>
    <w:p>
      <w:pPr>
        <w:widowControl/>
        <w:spacing w:line="269" w:lineRule="auto" w:after="120"/>
      </w:pPr>
      <w:r>
        <w:rPr>
          <w:rFonts w:ascii="Calibri" w:hAnsi="Calibri" w:eastAsia="Calibri"/>
          <w:b w:val="0"/>
          <w:i w:val="0"/>
          <w:color w:val="24282C"/>
          <w:sz w:val="20"/>
        </w:rPr>
        <w:t>The interactive siting screen from curtis-lee.com does not prove that feedstocks are too dispersed. It identifies a useful regional pattern: wet organic residues are concentrated in the Guangdong manufacturing and food-processing belt and in Guangxi cassava, sugar and food-processing districts, while major bauxite and alumina activity lies farther west in Guangxi. A coastal Beibu Gulf integration hub can sit between those source classes, with port and industrial infrastructure, rather than forcing all material toward an inland single-feed location. Official regional planning documents confirm material cassava, sugarcane, grain/oil/soy, fruit and vegetable, brewing and livestock-processing activity across the two provinces.</w:t>
      </w:r>
      <w:r>
        <w:rPr>
          <w:rFonts w:ascii="Calibri" w:hAnsi="Calibri" w:eastAsia="Calibri"/>
          <w:b w:val="0"/>
          <w:i w:val="0"/>
          <w:color w:val="2F5597"/>
          <w:sz w:val="15"/>
          <w:vertAlign w:val="superscript"/>
        </w:rPr>
        <w:t xml:space="preserve"> 21,22,23,24</w:t>
      </w:r>
    </w:p>
    <w:p>
      <w:pPr>
        <w:keepNext/>
        <w:spacing w:before="60" w:after="40"/>
        <w:jc w:val="center"/>
      </w:pPr>
      <w:r>
        <w:drawing>
          <wp:inline xmlns:a="http://schemas.openxmlformats.org/drawingml/2006/main" xmlns:pic="http://schemas.openxmlformats.org/drawingml/2006/picture">
            <wp:extent cx="6172200" cy="3597323"/>
            <wp:docPr id="1" name="Picture 1"/>
            <wp:cNvGraphicFramePr>
              <a:graphicFrameLocks noChangeAspect="1"/>
            </wp:cNvGraphicFramePr>
            <a:graphic>
              <a:graphicData uri="http://schemas.openxmlformats.org/drawingml/2006/picture">
                <pic:pic>
                  <pic:nvPicPr>
                    <pic:cNvPr id="0" name="location_map_curtis_lee.png"/>
                    <pic:cNvPicPr/>
                  </pic:nvPicPr>
                  <pic:blipFill>
                    <a:blip r:embed="rId11"/>
                    <a:stretch>
                      <a:fillRect/>
                    </a:stretch>
                  </pic:blipFill>
                  <pic:spPr>
                    <a:xfrm>
                      <a:off x="0" y="0"/>
                      <a:ext cx="6172200" cy="3597323"/>
                    </a:xfrm>
                    <a:prstGeom prst="rect"/>
                  </pic:spPr>
                </pic:pic>
              </a:graphicData>
            </a:graphic>
          </wp:inline>
        </w:drawing>
      </w:r>
    </w:p>
    <w:p>
      <w:pPr>
        <w:keepLines/>
        <w:spacing w:after="120"/>
        <w:jc w:val="center"/>
      </w:pPr>
      <w:r>
        <w:rPr>
          <w:rFonts w:ascii="Calibri" w:hAnsi="Calibri" w:eastAsia="Calibri"/>
          <w:b w:val="0"/>
          <w:i/>
          <w:color w:val="65717C"/>
          <w:sz w:val="17"/>
        </w:rPr>
        <w:t>Figure 3.1 — Interactive siting screen for the Qinzhou–Beihai–Fangchenggang corridor, reproduced from the Towngas project page on curtis-lee.com. The displayed supplier points are screening evidence; coordinates, capacities and delivered-cost assumptions still require verification.</w:t>
      </w:r>
    </w:p>
    <w:p>
      <w:pPr>
        <w:pStyle w:val="Heading2"/>
        <w:keepNext/>
        <w:spacing w:before="240" w:after="100"/>
      </w:pPr>
      <w:r>
        <w:rPr>
          <w:rFonts w:ascii="Calibri" w:hAnsi="Calibri" w:eastAsia="Calibri"/>
          <w:b/>
          <w:i w:val="0"/>
          <w:color w:val="2F5597"/>
          <w:sz w:val="26"/>
        </w:rPr>
        <w:t>3.2 Why wet feed governs siting</w:t>
      </w:r>
    </w:p>
    <w:p>
      <w:pPr>
        <w:widowControl/>
        <w:spacing w:line="269" w:lineRule="auto" w:after="120"/>
      </w:pPr>
      <w:r>
        <w:rPr>
          <w:rFonts w:ascii="Calibri" w:hAnsi="Calibri" w:eastAsia="Calibri"/>
          <w:b w:val="0"/>
          <w:i w:val="0"/>
          <w:color w:val="24282C"/>
          <w:sz w:val="20"/>
        </w:rPr>
        <w:t>A tonne of low-solids douzha or fruit pulp is mostly water. Hauling it long distances consumes truck capacity without adding proportional carbon, and warm storage increases odour and biological deterioration. Dense dry bauxite residue and baled straw can travel farther or use rail/port backhaul. The plant should therefore be close to the largest stable wet-organic cluster, with mineral feed treated as the longer transport leg. A provisional planning rule is less than roughly 75 km for dilute wet residues and up to 150 km or more for dry, dewatered or backhauled solids, but the final decision is made in RMB per delivered tonne of dry carbon and in tonnes of contaminants delivered with it.</w:t>
      </w:r>
    </w:p>
    <w:p>
      <w:pPr>
        <w:widowControl/>
        <w:spacing w:line="269" w:lineRule="auto" w:after="120"/>
      </w:pPr>
      <w:r>
        <w:rPr>
          <w:rFonts w:ascii="Calibri" w:hAnsi="Calibri" w:eastAsia="Calibri"/>
          <w:b w:val="0"/>
          <w:i w:val="0"/>
          <w:color w:val="24282C"/>
          <w:sz w:val="20"/>
        </w:rPr>
        <w:t>The ten-train configuration supports distributed sourcing. Each train can receive a common B1 recipe, while segregated day tanks allow one supplier class to be isolated without shutting the whole complex. The back end sees composition-controlled clean gas rather than supplier identity. This is more robust than locating ten small complete plants beside ten suppliers because Rectisol, bi-reforming, OXZEO and deep product separation benefit from shared scale.</w:t>
      </w:r>
    </w:p>
    <w:p>
      <w:pPr>
        <w:pStyle w:val="Heading2"/>
        <w:keepNext/>
        <w:spacing w:before="240" w:after="100"/>
      </w:pPr>
      <w:r>
        <w:rPr>
          <w:rFonts w:ascii="Calibri" w:hAnsi="Calibri" w:eastAsia="Calibri"/>
          <w:b/>
          <w:i w:val="0"/>
          <w:color w:val="2F5597"/>
          <w:sz w:val="26"/>
        </w:rPr>
        <w:t>3.3 Candidate-hub screening</w:t>
      </w:r>
    </w:p>
    <w:p>
      <w:pPr>
        <w:keepNext/>
        <w:spacing w:before="60" w:after="60"/>
      </w:pPr>
      <w:r>
        <w:rPr>
          <w:rFonts w:ascii="Calibri" w:hAnsi="Calibri" w:eastAsia="Calibri"/>
          <w:b w:val="0"/>
          <w:i/>
          <w:color w:val="65717C"/>
          <w:sz w:val="17"/>
        </w:rPr>
        <w:t>Table 3.1 — Positive regional fit does not remove the need for supplier-level diligence.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Criterion</w:t>
            </w:r>
          </w:p>
        </w:tc>
        <w:tc>
          <w:tcPr>
            <w:tcW w:type="dxa" w:w="324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Why it matters</w:t>
            </w:r>
          </w:p>
        </w:tc>
        <w:tc>
          <w:tcPr>
            <w:tcW w:type="dxa" w:w="511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Preferred evidence before land selection</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Wet-feed radius</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Controls water haul, spoilage and gate-fee margin</w:t>
            </w:r>
          </w:p>
        </w:tc>
        <w:tc>
          <w:tcPr>
            <w:tcW w:type="dxa" w:w="51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Geocoded supplier list; 12 monthly volumes; moisture and dry-carbon distributions</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Bauxite-residue route</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Creates the second waste-service proposition</w:t>
            </w:r>
          </w:p>
        </w:tc>
        <w:tc>
          <w:tcPr>
            <w:tcW w:type="dxa" w:w="51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Refinery source, mineralogy, soluble/structural Na, chloride, current disposal cost</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Port / rail / highway</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Enables dense solids, product export and maintenance access</w:t>
            </w:r>
          </w:p>
        </w:tc>
        <w:tc>
          <w:tcPr>
            <w:tcW w:type="dxa" w:w="51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Delivered-cost quotations and hazardous/waste transport permissions</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Industrial utilities</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Reforming, refrigeration, compression and water treatment are material loads</w:t>
            </w:r>
          </w:p>
        </w:tc>
        <w:tc>
          <w:tcPr>
            <w:tcW w:type="dxa" w:w="51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Firm power, gas/steam, cooling, water, wastewater and emergency capacity</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Olefins offtake</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Mixed C2–C4 product cannot be stored or exported casually</w:t>
            </w:r>
          </w:p>
        </w:tc>
        <w:tc>
          <w:tcPr>
            <w:tcW w:type="dxa" w:w="51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Pipeline/terminal/fractionation route and buyer specification</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Certification boundary</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EU premium depends on auditable feed and product chain</w:t>
            </w:r>
          </w:p>
        </w:tc>
        <w:tc>
          <w:tcPr>
            <w:tcW w:type="dxa" w:w="51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ISCC-ready supplier declarations, mass-balance system and customs route</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Permitting and community</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High-pressure syngas, methanol solvent and residue handling need industrial zoning</w:t>
            </w:r>
          </w:p>
        </w:tc>
        <w:tc>
          <w:tcPr>
            <w:tcW w:type="dxa" w:w="51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Pre-application regulator review, safety distances and emergency-response access</w:t>
            </w:r>
          </w:p>
        </w:tc>
      </w:tr>
    </w:tbl>
    <w:p>
      <w:pPr>
        <w:spacing w:after="20"/>
      </w:pPr>
    </w:p>
    <w:p>
      <w:pPr>
        <w:pStyle w:val="Heading2"/>
        <w:keepNext/>
        <w:spacing w:before="240" w:after="100"/>
      </w:pPr>
      <w:r>
        <w:rPr>
          <w:rFonts w:ascii="Calibri" w:hAnsi="Calibri" w:eastAsia="Calibri"/>
          <w:b/>
          <w:i w:val="0"/>
          <w:color w:val="2F5597"/>
          <w:sz w:val="26"/>
        </w:rPr>
        <w:t>3.4 Recommended location logic</w:t>
      </w:r>
    </w:p>
    <w:p>
      <w:pPr>
        <w:widowControl/>
        <w:spacing w:line="269" w:lineRule="auto" w:after="120"/>
      </w:pPr>
      <w:r>
        <w:rPr>
          <w:rFonts w:ascii="Calibri" w:hAnsi="Calibri" w:eastAsia="Calibri"/>
          <w:b w:val="0"/>
          <w:i w:val="0"/>
          <w:color w:val="24282C"/>
          <w:sz w:val="20"/>
        </w:rPr>
        <w:t>A Qinzhou–Beihai–Fangchenggang industrial corridor is a credible first screening region because it can connect Guangxi mineral and carbohydrate resources with western Guangdong food-processing and port logistics. The recommendation is not a final site nomination. It is a better hypothesis than treating the province boundary as a feedstock barrier. The final short list should compare at least three industrial parks using delivered dry carbon, bauxite-residue treatment value, power/gas cost, product export route, shared wastewater capacity and permit schedule.</w:t>
      </w:r>
    </w:p>
    <w:tbl>
      <w:tblPr>
        <w:tblW w:type="auto" w:w="0"/>
        <w:jc w:val="center"/>
        <w:tblLook w:firstColumn="1" w:firstRow="1" w:lastColumn="0" w:lastRow="0" w:noHBand="0" w:noVBand="1" w:val="04A0"/>
      </w:tblPr>
      <w:tblGrid>
        <w:gridCol w:w="9878"/>
      </w:tblGrid>
      <w:tr>
        <w:tc>
          <w:tcPr>
            <w:tcW w:type="dxa" w:w="9878"/>
            <w:shd w:fill="FFF4D8"/>
            <w:tcMar>
              <w:top w:w="130" w:type="dxa"/>
              <w:start w:w="150" w:type="dxa"/>
              <w:bottom w:w="130" w:type="dxa"/>
              <w:end w:w="150" w:type="dxa"/>
            </w:tcMar>
          </w:tcPr>
          <w:p>
            <w:pPr>
              <w:spacing w:line="259" w:lineRule="auto" w:after="0"/>
            </w:pPr>
            <w:r>
              <w:rPr>
                <w:rFonts w:ascii="Calibri" w:hAnsi="Calibri" w:eastAsia="Calibri"/>
                <w:b/>
                <w:i w:val="0"/>
                <w:color w:val="B1842F"/>
                <w:sz w:val="20"/>
              </w:rPr>
              <w:t xml:space="preserve">SITING DECISION RULE: </w:t>
            </w:r>
            <w:r>
              <w:rPr>
                <w:rFonts w:ascii="Calibri" w:hAnsi="Calibri" w:eastAsia="Calibri"/>
                <w:b w:val="0"/>
                <w:i w:val="0"/>
                <w:color w:val="24282C"/>
                <w:sz w:val="20"/>
              </w:rPr>
              <w:t>Choose the location that minimises the combined annual cost of wet-feed water haul, dry-carbon procurement, mineral transport, utilities and product logistics—not the point that appears visually central on a map.</w:t>
            </w:r>
          </w:p>
        </w:tc>
      </w:tr>
    </w:tbl>
    <w:p>
      <w:pPr>
        <w:spacing w:after="20"/>
      </w:pPr>
    </w:p>
    <w:p>
      <w:pPr>
        <w:pStyle w:val="Heading1"/>
        <w:keepNext/>
        <w:pageBreakBefore/>
        <w:spacing w:after="200"/>
      </w:pPr>
      <w:r>
        <w:rPr>
          <w:rFonts w:ascii="Calibri" w:hAnsi="Calibri" w:eastAsia="Calibri"/>
          <w:b/>
          <w:i w:val="0"/>
          <w:color w:val="17365D"/>
          <w:sz w:val="34"/>
        </w:rPr>
        <w:t>4. Overall process architecture</w:t>
      </w:r>
    </w:p>
    <w:p>
      <w:pPr>
        <w:pStyle w:val="Heading2"/>
        <w:keepNext/>
        <w:spacing w:before="240" w:after="100"/>
      </w:pPr>
      <w:r>
        <w:rPr>
          <w:rFonts w:ascii="Calibri" w:hAnsi="Calibri" w:eastAsia="Calibri"/>
          <w:b/>
          <w:i w:val="0"/>
          <w:color w:val="2F5597"/>
          <w:sz w:val="26"/>
        </w:rPr>
        <w:t>4.1 Ten hydrothermal trains and one shared conversion island</w:t>
      </w:r>
    </w:p>
    <w:p>
      <w:pPr>
        <w:widowControl/>
        <w:spacing w:line="269" w:lineRule="auto" w:after="120"/>
      </w:pPr>
      <w:r>
        <w:rPr>
          <w:rFonts w:ascii="Calibri" w:hAnsi="Calibri" w:eastAsia="Calibri"/>
          <w:b w:val="0"/>
          <w:i w:val="0"/>
          <w:color w:val="24282C"/>
          <w:sz w:val="20"/>
        </w:rPr>
        <w:t>The commercial plant uses ten complete B1–B4 trains. Each train has independent feed tanks, high-pressure pumps, final heating, SCWG reactor, twin hot-salt separators, heat recovery, depressurization and primary phase separation. A dirty or off-specification train is isolated before the common gas header. Only after water, entrained solids, pressure, sulfur and gas composition are inside the acceptance window does its gas enter shared B5 purification.</w:t>
      </w:r>
    </w:p>
    <w:p>
      <w:pPr>
        <w:widowControl/>
        <w:spacing w:line="269" w:lineRule="auto" w:after="120"/>
      </w:pPr>
      <w:r>
        <w:rPr>
          <w:rFonts w:ascii="Calibri" w:hAnsi="Calibri" w:eastAsia="Calibri"/>
          <w:b w:val="0"/>
          <w:i w:val="0"/>
          <w:color w:val="24282C"/>
          <w:sz w:val="20"/>
        </w:rPr>
        <w:t>Sharing begins downstream of B4 because Rectisol refrigeration, sulfur recovery, bi-reforming, synthesis-gas compression, OXZEO recycle and product fractionation have strong economies of scale. Solids and aqueous streams remain identified by source train until their analytical release, then enter shared B8 washing or central water/nitrogen treatment. This arrangement balances modular hydrothermal risk against conventional downstream scale.</w:t>
      </w:r>
    </w:p>
    <w:p>
      <w:pPr>
        <w:keepNext/>
        <w:spacing w:before="60" w:after="40"/>
        <w:jc w:val="center"/>
      </w:pPr>
      <w:r>
        <w:drawing>
          <wp:inline xmlns:a="http://schemas.openxmlformats.org/drawingml/2006/main" xmlns:pic="http://schemas.openxmlformats.org/drawingml/2006/picture">
            <wp:extent cx="6172200" cy="3560885"/>
            <wp:docPr id="2" name="Picture 2"/>
            <wp:cNvGraphicFramePr>
              <a:graphicFrameLocks noChangeAspect="1"/>
            </wp:cNvGraphicFramePr>
            <a:graphic>
              <a:graphicData uri="http://schemas.openxmlformats.org/drawingml/2006/picture">
                <pic:pic>
                  <pic:nvPicPr>
                    <pic:cNvPr id="0" name="pfd_10train_v6.png"/>
                    <pic:cNvPicPr/>
                  </pic:nvPicPr>
                  <pic:blipFill>
                    <a:blip r:embed="rId12"/>
                    <a:stretch>
                      <a:fillRect/>
                    </a:stretch>
                  </pic:blipFill>
                  <pic:spPr>
                    <a:xfrm>
                      <a:off x="0" y="0"/>
                      <a:ext cx="6172200" cy="3560885"/>
                    </a:xfrm>
                    <a:prstGeom prst="rect"/>
                  </pic:spPr>
                </pic:pic>
              </a:graphicData>
            </a:graphic>
          </wp:inline>
        </w:drawing>
      </w:r>
    </w:p>
    <w:p>
      <w:pPr>
        <w:keepLines/>
        <w:spacing w:after="120"/>
        <w:jc w:val="center"/>
      </w:pPr>
      <w:r>
        <w:rPr>
          <w:rFonts w:ascii="Calibri" w:hAnsi="Calibri" w:eastAsia="Calibri"/>
          <w:b w:val="0"/>
          <w:i/>
          <w:color w:val="65717C"/>
          <w:sz w:val="17"/>
        </w:rPr>
        <w:t>Figure 4.1 — Full horizontal reconstruction of the Curtis Lee project-page process drawing. Arrows show material direction and diamonds retain streams 1–21; ten complete B1–B4 trains merge only after B4 into shared B5–B7 facilities, while B3 concentrate, aqueous treatment, recovered sulfur, B8 residue and controlled retreatment remain explicit outlets.</w:t>
      </w:r>
    </w:p>
    <w:p>
      <w:pPr>
        <w:pStyle w:val="Heading2"/>
        <w:keepNext/>
        <w:spacing w:before="240" w:after="100"/>
      </w:pPr>
      <w:r>
        <w:rPr>
          <w:rFonts w:ascii="Calibri" w:hAnsi="Calibri" w:eastAsia="Calibri"/>
          <w:b/>
          <w:i w:val="0"/>
          <w:color w:val="2F5597"/>
          <w:sz w:val="26"/>
        </w:rPr>
        <w:t>4.2 Stream routing</w:t>
      </w:r>
    </w:p>
    <w:p>
      <w:pPr>
        <w:keepNext/>
        <w:spacing w:before="60" w:after="60"/>
      </w:pPr>
      <w:r>
        <w:rPr>
          <w:rFonts w:ascii="Calibri" w:hAnsi="Calibri" w:eastAsia="Calibri"/>
          <w:b w:val="0"/>
          <w:i/>
          <w:color w:val="65717C"/>
          <w:sz w:val="17"/>
        </w:rPr>
        <w:t>Table 4.1 — Principal stream routing and the conditions that protect shared equipment.</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0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Stream</w:t>
            </w:r>
          </w:p>
        </w:tc>
        <w:tc>
          <w:tcPr>
            <w:tcW w:type="dxa" w:w="237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Origin → destination</w:t>
            </w:r>
          </w:p>
        </w:tc>
        <w:tc>
          <w:tcPr>
            <w:tcW w:type="dxa" w:w="338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Normal contents</w:t>
            </w:r>
          </w:p>
        </w:tc>
        <w:tc>
          <w:tcPr>
            <w:tcW w:type="dxa" w:w="338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Release condition</w:t>
            </w:r>
          </w:p>
        </w:tc>
      </w:tr>
      <w:tr>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S-101</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Feed receipt → B1 final blend</w:t>
            </w:r>
          </w:p>
        </w:tc>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Douzha, approved co-feeds, fibre, bauxite residue, water</w:t>
            </w:r>
          </w:p>
        </w:tc>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Batch solids, carbon proxy, rheology, PSD, N/S/Cl and traceability accepted</w:t>
            </w:r>
          </w:p>
        </w:tc>
      </w:tr>
      <w:tr>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S-201</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B2 → B3</w:t>
            </w:r>
          </w:p>
        </w:tc>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Supercritical water, product gas, salts and mineral solids</w:t>
            </w:r>
          </w:p>
        </w:tc>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Temperature/pressure stable; reactor wall and DP within envelope</w:t>
            </w:r>
          </w:p>
        </w:tc>
      </w:tr>
      <w:tr>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S-301</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B3 underflow → concentrate cooling</w:t>
            </w:r>
          </w:p>
        </w:tc>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Dense brine/crystal slurry</w:t>
            </w:r>
          </w:p>
        </w:tc>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Controlled mass withdrawal; no pressure-boundary accumulation</w:t>
            </w:r>
          </w:p>
        </w:tc>
      </w:tr>
      <w:tr>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S-401G</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B4 separator → clean-gas header</w:t>
            </w:r>
          </w:p>
        </w:tc>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H2, CH4, CO2, CO, acid-gas traces</w:t>
            </w:r>
          </w:p>
        </w:tc>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No liquid carryover; sulfur, water and pressure inside header specification</w:t>
            </w:r>
          </w:p>
        </w:tc>
      </w:tr>
      <w:tr>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S-401W</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B4 → water/nitrogen recovery</w:t>
            </w:r>
          </w:p>
        </w:tc>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Water, NH3/NH4+, dissolved organics and ions</w:t>
            </w:r>
          </w:p>
        </w:tc>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Filtered; allocated to ammonia recovery, polishing, recycle or purge</w:t>
            </w:r>
          </w:p>
        </w:tc>
      </w:tr>
      <w:tr>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S-401S</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B4 → B8</w:t>
            </w:r>
          </w:p>
        </w:tc>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Washed mineral and residual solid carbon</w:t>
            </w:r>
          </w:p>
        </w:tc>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Train identity retained until product qualification</w:t>
            </w:r>
          </w:p>
        </w:tc>
      </w:tr>
      <w:tr>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S-501</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B5 → B6</w:t>
            </w:r>
          </w:p>
        </w:tc>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Sulfur-free methane/H2/CO/controlled CO2</w:t>
            </w:r>
          </w:p>
        </w:tc>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Total sulfur below OXZEO/reformer contract; water and methanol controlled</w:t>
            </w:r>
          </w:p>
        </w:tc>
      </w:tr>
      <w:tr>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S-601</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B6 → B7</w:t>
            </w:r>
          </w:p>
        </w:tc>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CO/H2 synthesis gas with controlled ratio</w:t>
            </w:r>
          </w:p>
        </w:tc>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CH4 slip, steam, CO2 and H2/CO inside OXZEO envelope</w:t>
            </w:r>
          </w:p>
        </w:tc>
      </w:tr>
      <w:tr>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S-701</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B7 recovery → offtake</w:t>
            </w:r>
          </w:p>
        </w:tc>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Ethylene, propylene and C4 cut</w:t>
            </w:r>
          </w:p>
        </w:tc>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Buyer purity and certification documents released</w:t>
            </w:r>
          </w:p>
        </w:tc>
      </w:tr>
      <w:tr>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S-801</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B8 → customer / retreatment</w:t>
            </w:r>
          </w:p>
        </w:tc>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Conditioned iron-rich residue</w:t>
            </w:r>
          </w:p>
        </w:tc>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Destination pH, soluble Na, Cl, metals, leaching and performance passed</w:t>
            </w:r>
          </w:p>
        </w:tc>
      </w:tr>
    </w:tbl>
    <w:p>
      <w:pPr>
        <w:spacing w:after="20"/>
      </w:pPr>
    </w:p>
    <w:p>
      <w:pPr>
        <w:pStyle w:val="Heading2"/>
        <w:keepNext/>
        <w:spacing w:before="240" w:after="100"/>
      </w:pPr>
      <w:r>
        <w:rPr>
          <w:rFonts w:ascii="Calibri" w:hAnsi="Calibri" w:eastAsia="Calibri"/>
          <w:b/>
          <w:i w:val="0"/>
          <w:color w:val="2F5597"/>
          <w:sz w:val="26"/>
        </w:rPr>
        <w:t>4.3 Train isolation and common-mode protection</w:t>
      </w:r>
    </w:p>
    <w:p>
      <w:pPr>
        <w:widowControl/>
        <w:spacing w:line="269" w:lineRule="auto" w:after="120"/>
      </w:pPr>
      <w:r>
        <w:rPr>
          <w:rFonts w:ascii="Calibri" w:hAnsi="Calibri" w:eastAsia="Calibri"/>
          <w:b w:val="0"/>
          <w:i w:val="0"/>
          <w:color w:val="24282C"/>
          <w:sz w:val="20"/>
        </w:rPr>
        <w:t>A check valve is not sufficient protection between a salt-bearing train and a shared synthesis plant. Each gas connection uses two isolation valves with a bleed, independent pressure and water analysers, and a permissive logic that requires stable composition before opening. A high-high B4 liquid level, gas-header reverse flow, sulfur excursion or unstable letdown closes the train and diverts its gas to a closed fuel or disposal system. The other nine trains remain in service.</w:t>
      </w:r>
    </w:p>
    <w:p>
      <w:pPr>
        <w:widowControl/>
        <w:spacing w:line="269" w:lineRule="auto" w:after="120"/>
      </w:pPr>
      <w:r>
        <w:rPr>
          <w:rFonts w:ascii="Calibri" w:hAnsi="Calibri" w:eastAsia="Calibri"/>
          <w:b w:val="0"/>
          <w:i w:val="0"/>
          <w:color w:val="24282C"/>
          <w:sz w:val="20"/>
        </w:rPr>
        <w:t>Common utilities are N+1 where failure would stop all gas conversion: reformer combustion air, synthesis recycle compression, Rectisol circulation and refrigeration, instrument air, cooling-water pumps and control power. Product recovery may operate at turndown when one or two trains are offline. The hydrothermal modules do not rely on the common back end for emergency depressurization; each has a local quench/blowdown receiver sized for its inventory.</w:t>
      </w:r>
    </w:p>
    <w:p>
      <w:pPr>
        <w:pStyle w:val="Heading2"/>
        <w:keepNext/>
        <w:spacing w:before="240" w:after="100"/>
      </w:pPr>
      <w:r>
        <w:rPr>
          <w:rFonts w:ascii="Calibri" w:hAnsi="Calibri" w:eastAsia="Calibri"/>
          <w:b/>
          <w:i w:val="0"/>
          <w:color w:val="2F5597"/>
          <w:sz w:val="26"/>
        </w:rPr>
        <w:t>4.4 Process design summary</w:t>
      </w:r>
    </w:p>
    <w:p>
      <w:pPr>
        <w:keepNext/>
        <w:spacing w:before="60" w:after="60"/>
      </w:pPr>
      <w:r>
        <w:rPr>
          <w:rFonts w:ascii="Calibri" w:hAnsi="Calibri" w:eastAsia="Calibri"/>
          <w:b w:val="0"/>
          <w:i/>
          <w:color w:val="65717C"/>
          <w:sz w:val="17"/>
        </w:rPr>
        <w:t>Table 4.2 — B1–B8 process definition without a routine bauxite-residue recycle dependency.</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79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Block</w:t>
            </w:r>
          </w:p>
        </w:tc>
        <w:tc>
          <w:tcPr>
            <w:tcW w:type="dxa" w:w="22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Purpose</w:t>
            </w:r>
          </w:p>
        </w:tc>
        <w:tc>
          <w:tcPr>
            <w:tcW w:type="dxa" w:w="381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Selected operating concept</w:t>
            </w:r>
          </w:p>
        </w:tc>
        <w:tc>
          <w:tcPr>
            <w:tcW w:type="dxa" w:w="338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Dominant design question</w:t>
            </w:r>
          </w:p>
        </w:tc>
      </w:tr>
      <w:tr>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B1</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Make a stable carbon-controlled slurry</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Segregated receipt, fine milling, high-shear blending, two 100% HP pumps/train</w:t>
            </w:r>
          </w:p>
        </w:tc>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Can every approved batch restart after settling without bridging?</w:t>
            </w:r>
          </w:p>
        </w:tc>
      </w:tr>
      <w:tr>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B2</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Convert wet organics and expose residue</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625 °C, 25 MPa, rapid near-critical heat-up, 30–90 s screen</w:t>
            </w:r>
          </w:p>
        </w:tc>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Can conversion be sustained without char and wall deposition?</w:t>
            </w:r>
          </w:p>
        </w:tc>
      </w:tr>
      <w:tr>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B3</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Purposefully withdraw precipitated salts</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Twin lead/lag hot separators with continuous underflow and flush</w:t>
            </w:r>
          </w:p>
        </w:tc>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Can crystals be made to leave through the bottom rather than attach to the wall?</w:t>
            </w:r>
          </w:p>
        </w:tc>
      </w:tr>
      <w:tr>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B4</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Recover heat; depressurize; split gas/water/solids</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H-101 before staged letdown; primary and secondary separation</w:t>
            </w:r>
          </w:p>
        </w:tc>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Can clean gas be produced without eroding valves or recycling Cl/TOC indefinitely?</w:t>
            </w:r>
          </w:p>
        </w:tc>
      </w:tr>
      <w:tr>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B5</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Protect reformer and OXZEO</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Shared Rectisol, COS management, lead/lag ZnO, sulfur recovery</w:t>
            </w:r>
          </w:p>
        </w:tc>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Can total sulfur remain below the licensor limit during transients?</w:t>
            </w:r>
          </w:p>
        </w:tc>
      </w:tr>
      <w:tr>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B6</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Convert CH4/CO2/H2O to CO/H2</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Fired tubular bi-reformer with composition-controlled steam and CO2</w:t>
            </w:r>
          </w:p>
        </w:tc>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Can the endothermic methane round-trip be reduced without coking?</w:t>
            </w:r>
          </w:p>
        </w:tc>
      </w:tr>
      <w:tr>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B7</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Convert syngas to C2–C4 olefins</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Cooled OXZEO beds, recycle, purge and product separation</w:t>
            </w:r>
          </w:p>
        </w:tc>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Can activity, selectivity and catalyst life reach plant targets on real gas?</w:t>
            </w:r>
          </w:p>
        </w:tc>
      </w:tr>
      <w:tr>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B8</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Create controlled mineral outlet</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Counter-current wash, conditioning, product release, off-spec second wash</w:t>
            </w:r>
          </w:p>
        </w:tc>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Which destinations accept the measured mineral and leaching properties?</w:t>
            </w:r>
          </w:p>
        </w:tc>
      </w:tr>
    </w:tbl>
    <w:p>
      <w:pPr>
        <w:spacing w:after="20"/>
      </w:pPr>
    </w:p>
    <w:p>
      <w:pPr>
        <w:pStyle w:val="Heading1"/>
        <w:keepNext/>
        <w:pageBreakBefore/>
        <w:spacing w:after="200"/>
      </w:pPr>
      <w:r>
        <w:rPr>
          <w:rFonts w:ascii="Calibri" w:hAnsi="Calibri" w:eastAsia="Calibri"/>
          <w:b/>
          <w:i w:val="0"/>
          <w:color w:val="17365D"/>
          <w:sz w:val="34"/>
        </w:rPr>
        <w:t>5. Detailed process chemistry and engineering</w:t>
      </w:r>
    </w:p>
    <w:p>
      <w:pPr>
        <w:pStyle w:val="Heading2"/>
        <w:keepNext/>
        <w:spacing w:before="240" w:after="100"/>
      </w:pPr>
      <w:r>
        <w:rPr>
          <w:rFonts w:ascii="Calibri" w:hAnsi="Calibri" w:eastAsia="Calibri"/>
          <w:b/>
          <w:i w:val="0"/>
          <w:color w:val="2F5597"/>
          <w:sz w:val="26"/>
        </w:rPr>
        <w:t>5.1 B1 — receiving, feed preparation and high-pressure pumping</w:t>
      </w:r>
    </w:p>
    <w:p>
      <w:pPr>
        <w:pStyle w:val="Heading3"/>
        <w:keepNext/>
        <w:spacing w:before="160" w:after="80"/>
      </w:pPr>
      <w:r>
        <w:rPr>
          <w:rFonts w:ascii="Calibri" w:hAnsi="Calibri" w:eastAsia="Calibri"/>
          <w:b/>
          <w:i w:val="0"/>
          <w:color w:val="40566C"/>
          <w:sz w:val="22"/>
        </w:rPr>
        <w:t>5.1.1 Receiving and quality segregation</w:t>
      </w:r>
    </w:p>
    <w:p>
      <w:pPr>
        <w:widowControl/>
        <w:spacing w:line="269" w:lineRule="auto" w:after="120"/>
      </w:pPr>
      <w:r>
        <w:rPr>
          <w:rFonts w:ascii="Calibri" w:hAnsi="Calibri" w:eastAsia="Calibri"/>
          <w:b w:val="0"/>
          <w:i w:val="0"/>
          <w:color w:val="24282C"/>
          <w:sz w:val="20"/>
        </w:rPr>
        <w:t>Douzha, cassava cake and fruit pulp arrive through enclosed tipping or tanker bays into independent equalisation tanks. Storage is deliberately short: the process does not pay to chill material that can be consumed immediately, but temperature, pH and tank vapour are monitored because acidification changes rheology and odour. Soluble liquor receives a conductivity and pH screen before unloading so a cleaning-chemical excursion cannot enter the common water inventory. Retained samples and supplier mass records support invoice adjustment, environmental compliance and ISCC chain of custody.</w:t>
      </w:r>
    </w:p>
    <w:p>
      <w:pPr>
        <w:widowControl/>
        <w:spacing w:line="269" w:lineRule="auto" w:after="120"/>
      </w:pPr>
      <w:r>
        <w:rPr>
          <w:rFonts w:ascii="Calibri" w:hAnsi="Calibri" w:eastAsia="Calibri"/>
          <w:b w:val="0"/>
          <w:i w:val="0"/>
          <w:color w:val="24282C"/>
          <w:sz w:val="20"/>
        </w:rPr>
        <w:t>Straw and alternate dry fibre use a covered store, magnet, shredder and hammer mill. Bauxite residue uses a dedicated silo or agitated slurry tank with abrasion-resistant transfer. Manure, if admitted, remains physically and administratively segregated until pathogen, grit, metals, antibiotic-screen and composition results are released. SCWG destroys pathogens in the reactor, but it cannot prevent worker exposure, odour or cross-contamination in reception.</w:t>
      </w:r>
    </w:p>
    <w:p>
      <w:pPr>
        <w:pStyle w:val="Heading3"/>
        <w:keepNext/>
        <w:spacing w:before="160" w:after="80"/>
      </w:pPr>
      <w:r>
        <w:rPr>
          <w:rFonts w:ascii="Calibri" w:hAnsi="Calibri" w:eastAsia="Calibri"/>
          <w:b/>
          <w:i w:val="0"/>
          <w:color w:val="40566C"/>
          <w:sz w:val="22"/>
        </w:rPr>
        <w:t>5.1.2 Blend calculation and rheology control</w:t>
      </w:r>
    </w:p>
    <w:p>
      <w:pPr>
        <w:widowControl/>
        <w:spacing w:line="269" w:lineRule="auto" w:after="120"/>
      </w:pPr>
      <w:r>
        <w:rPr>
          <w:rFonts w:ascii="Calibri" w:hAnsi="Calibri" w:eastAsia="Calibri"/>
          <w:b w:val="0"/>
          <w:i w:val="0"/>
          <w:color w:val="24282C"/>
          <w:sz w:val="20"/>
        </w:rPr>
        <w:t>The batch controller solves three linked constraints: total flow must equal 300 t/d, measured solids must remain within the qualified pump curve, and carbon must remain high enough to justify pressure equipment. Nitrogen, ash and chloride are inequality constraints set by B3, B4 and metallurgy capacity. No operator is asked to infer these relationships from a wet-tonne recipe; the laboratory total-solids and elemental results update the batch mass calculation automatically.</w:t>
      </w:r>
    </w:p>
    <w:p>
      <w:pPr>
        <w:keepLines/>
        <w:spacing w:before="80" w:after="140"/>
        <w:jc w:val="center"/>
      </w:pPr>
      <w:r>
        <w:rPr>
          <w:rFonts w:ascii="Cambria" w:hAnsi="Cambria" w:eastAsia="Cambria"/>
          <w:b w:val="0"/>
          <w:i/>
          <w:color w:val="17365D"/>
          <w:sz w:val="22"/>
        </w:rPr>
        <w:t>mwater,trim = 300 − Σ mwet,i     and     xC,slurry = Σ(mwet,i · TSi · xC,i) / 300</w:t>
      </w:r>
    </w:p>
    <w:p>
      <w:pPr>
        <w:widowControl/>
        <w:spacing w:line="269" w:lineRule="auto" w:after="120"/>
      </w:pPr>
      <w:r>
        <w:rPr>
          <w:rFonts w:ascii="Calibri" w:hAnsi="Calibri" w:eastAsia="Calibri"/>
          <w:b w:val="0"/>
          <w:i w:val="0"/>
          <w:color w:val="24282C"/>
          <w:sz w:val="20"/>
        </w:rPr>
        <w:t>The final tank uses high-shear recirculation to wet mineral fines and distribute fibre without aeration. Density and torque are online proxies; an actual rheogram and particle-size test release each operating campaign. Feed hold-up is minimised, but the pump suction and recirculation loop are sized so a controlled 12-hour hold and restart can be demonstrated.</w:t>
      </w:r>
    </w:p>
    <w:p>
      <w:pPr>
        <w:pStyle w:val="Heading3"/>
        <w:keepNext/>
        <w:spacing w:before="160" w:after="80"/>
      </w:pPr>
      <w:r>
        <w:rPr>
          <w:rFonts w:ascii="Calibri" w:hAnsi="Calibri" w:eastAsia="Calibri"/>
          <w:b/>
          <w:i w:val="0"/>
          <w:color w:val="40566C"/>
          <w:sz w:val="22"/>
        </w:rPr>
        <w:t>5.1.3 High-pressure feed</w:t>
      </w:r>
    </w:p>
    <w:p>
      <w:pPr>
        <w:widowControl/>
        <w:spacing w:line="269" w:lineRule="auto" w:after="120"/>
      </w:pPr>
      <w:r>
        <w:rPr>
          <w:rFonts w:ascii="Calibri" w:hAnsi="Calibri" w:eastAsia="Calibri"/>
          <w:b w:val="0"/>
          <w:i w:val="0"/>
          <w:color w:val="24282C"/>
          <w:sz w:val="20"/>
        </w:rPr>
        <w:t>Two 100% positive-displacement pumps per train raise approximately 12.5 t/h to 25 MPa. Pulsation dampers, flooded suction, abrasion-tolerant check valves and a full-flow clean-water line are mandatory. A pump can be switched only after the standby unit has been pressure-tested against a recirculation path. Loss of suction pressure, rising pulsation, falling flow at constant speed or increasing preheater differential pressure stops organic and mineral feed while clean water continues to sweep the hot circuit.</w:t>
      </w:r>
    </w:p>
    <w:p>
      <w:pPr>
        <w:keepNext/>
        <w:spacing w:before="60" w:after="60"/>
      </w:pPr>
      <w:r>
        <w:rPr>
          <w:rFonts w:ascii="Calibri" w:hAnsi="Calibri" w:eastAsia="Calibri"/>
          <w:b w:val="0"/>
          <w:i/>
          <w:color w:val="65717C"/>
          <w:sz w:val="17"/>
        </w:rPr>
        <w:t>Table 5.1 — B1 design controls.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B1 parameter</w:t>
            </w:r>
          </w:p>
        </w:tc>
        <w:tc>
          <w:tcPr>
            <w:tcW w:type="dxa" w:w="252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Screening value</w:t>
            </w:r>
          </w:p>
        </w:tc>
        <w:tc>
          <w:tcPr>
            <w:tcW w:type="dxa" w:w="482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Verification / protection</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Final slurry</w:t>
            </w:r>
          </w:p>
        </w:tc>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18–22 wt% total solids</w:t>
            </w:r>
          </w:p>
        </w:tc>
        <w:tc>
          <w:tcPr>
            <w:tcW w:type="dxa" w:w="48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Supplier-specific pump loop and hot restart</w:t>
            </w:r>
          </w:p>
        </w:tc>
      </w:tr>
      <w:tr>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Nominal train flow</w:t>
            </w:r>
          </w:p>
        </w:tc>
        <w:tc>
          <w:tcPr>
            <w:tcW w:type="dxa" w:w="25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12.5 t/h</w:t>
            </w:r>
          </w:p>
        </w:tc>
        <w:tc>
          <w:tcPr>
            <w:tcW w:type="dxa" w:w="48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Coriolis/density cross-check; tank mass reconciliation</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Discharge pressure</w:t>
            </w:r>
          </w:p>
        </w:tc>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25 MPa plus line loss</w:t>
            </w:r>
          </w:p>
        </w:tc>
        <w:tc>
          <w:tcPr>
            <w:tcW w:type="dxa" w:w="48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Relief to closed receiver; two-block isolation</w:t>
            </w:r>
          </w:p>
        </w:tc>
      </w:tr>
      <w:tr>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Fibre size</w:t>
            </w:r>
          </w:p>
        </w:tc>
        <w:tc>
          <w:tcPr>
            <w:tcW w:type="dxa" w:w="25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D90 &lt;0.5 mm screen</w:t>
            </w:r>
          </w:p>
        </w:tc>
        <w:tc>
          <w:tcPr>
            <w:tcW w:type="dxa" w:w="48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No hard grit &gt;1 mm; removable spool inspection</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Pump arrangement</w:t>
            </w:r>
          </w:p>
        </w:tc>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 × 100% per train</w:t>
            </w:r>
          </w:p>
        </w:tc>
        <w:tc>
          <w:tcPr>
            <w:tcW w:type="dxa" w:w="48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Weekly hot standby test and automatic water displacement</w:t>
            </w:r>
          </w:p>
        </w:tc>
      </w:tr>
      <w:tr>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Release data</w:t>
            </w:r>
          </w:p>
        </w:tc>
        <w:tc>
          <w:tcPr>
            <w:tcW w:type="dxa" w:w="25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TS, density, rheology, PSD, C/H/N/S, ash, Na/K/Cl/P</w:t>
            </w:r>
          </w:p>
        </w:tc>
        <w:tc>
          <w:tcPr>
            <w:tcW w:type="dxa" w:w="48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Electronic batch certificate before feed valve opens</w:t>
            </w:r>
          </w:p>
        </w:tc>
      </w:tr>
    </w:tbl>
    <w:p>
      <w:pPr>
        <w:spacing w:after="20"/>
      </w:pPr>
    </w:p>
    <w:p>
      <w:pPr>
        <w:pStyle w:val="Heading2"/>
        <w:keepNext/>
        <w:spacing w:before="240" w:after="100"/>
      </w:pPr>
      <w:r>
        <w:rPr>
          <w:rFonts w:ascii="Calibri" w:hAnsi="Calibri" w:eastAsia="Calibri"/>
          <w:b/>
          <w:i w:val="0"/>
          <w:color w:val="2F5597"/>
          <w:sz w:val="26"/>
        </w:rPr>
        <w:t>5.2 B2 — supercritical-water gasification</w:t>
      </w:r>
    </w:p>
    <w:p>
      <w:pPr>
        <w:pStyle w:val="Heading3"/>
        <w:keepNext/>
        <w:spacing w:before="160" w:after="80"/>
      </w:pPr>
      <w:r>
        <w:rPr>
          <w:rFonts w:ascii="Calibri" w:hAnsi="Calibri" w:eastAsia="Calibri"/>
          <w:b/>
          <w:i w:val="0"/>
          <w:color w:val="40566C"/>
          <w:sz w:val="22"/>
        </w:rPr>
        <w:t>5.2.1 Reaction sequence</w:t>
      </w:r>
    </w:p>
    <w:p>
      <w:pPr>
        <w:widowControl/>
        <w:spacing w:line="269" w:lineRule="auto" w:after="120"/>
      </w:pPr>
      <w:r>
        <w:rPr>
          <w:rFonts w:ascii="Calibri" w:hAnsi="Calibri" w:eastAsia="Calibri"/>
          <w:b w:val="0"/>
          <w:i w:val="0"/>
          <w:color w:val="24282C"/>
          <w:sz w:val="20"/>
        </w:rPr>
        <w:t>Heating first accelerates hydrolysis and ionic reactions. Starch, cellulose and protein fragments become soluble oligomers, sugars, amino acids and acids. Near the critical region, solvent properties change rapidly; poorly managed residence in the 200–400 °C range encourages Maillard products, polymerisation and wall films. The feed heater is therefore designed to cross this region quickly, using salt-depleted effluent in H-101 and a short final trim heater.</w:t>
      </w:r>
    </w:p>
    <w:p>
      <w:pPr>
        <w:widowControl/>
        <w:spacing w:line="269" w:lineRule="auto" w:after="120"/>
      </w:pPr>
      <w:r>
        <w:rPr>
          <w:rFonts w:ascii="Calibri" w:hAnsi="Calibri" w:eastAsia="Calibri"/>
          <w:b w:val="0"/>
          <w:i w:val="0"/>
          <w:color w:val="24282C"/>
          <w:sz w:val="20"/>
        </w:rPr>
        <w:t>At the selected outlet temperature, fragmentation and reforming produce H2, CO, CO2 and CH4. Water–gas shift consumes CO and produces H2; methanation consumes CO or CO2 with hydrogen; steam reforming and dry reforming oppose methane formation at high temperature. Alkali can accelerate shift and gasification, while iron-bearing phases can provide catalytic surfaces. The measured product is an equilibrium-constrained, kinetically modified mixture rather than the output of one overall reaction.</w:t>
      </w:r>
    </w:p>
    <w:p>
      <w:pPr>
        <w:keepLines/>
        <w:spacing w:before="80" w:after="140"/>
        <w:jc w:val="center"/>
      </w:pPr>
      <w:r>
        <w:rPr>
          <w:rFonts w:ascii="Cambria" w:hAnsi="Cambria" w:eastAsia="Cambria"/>
          <w:b w:val="0"/>
          <w:i/>
          <w:color w:val="17365D"/>
          <w:sz w:val="22"/>
        </w:rPr>
        <w:t>CO + H₂O ⇌ CO₂ + H₂        ΔH°₂₉₈ ≈ −41 kJ/mol</w:t>
      </w:r>
    </w:p>
    <w:p>
      <w:pPr>
        <w:keepLines/>
        <w:spacing w:before="80" w:after="140"/>
        <w:jc w:val="center"/>
      </w:pPr>
      <w:r>
        <w:rPr>
          <w:rFonts w:ascii="Cambria" w:hAnsi="Cambria" w:eastAsia="Cambria"/>
          <w:b w:val="0"/>
          <w:i/>
          <w:color w:val="17365D"/>
          <w:sz w:val="22"/>
        </w:rPr>
        <w:t>CO + 3H₂ ⇌ CH₄ + H₂O       ΔH°₂₉₈ ≈ −206 kJ/mol</w:t>
      </w:r>
    </w:p>
    <w:p>
      <w:pPr>
        <w:keepLines/>
        <w:spacing w:before="80" w:after="140"/>
        <w:jc w:val="center"/>
      </w:pPr>
      <w:r>
        <w:rPr>
          <w:rFonts w:ascii="Cambria" w:hAnsi="Cambria" w:eastAsia="Cambria"/>
          <w:b w:val="0"/>
          <w:i/>
          <w:color w:val="17365D"/>
          <w:sz w:val="22"/>
        </w:rPr>
        <w:t>CO₂ + 4H₂ ⇌ CH₄ + 2H₂O     ΔH°₂₉₈ ≈ −165 kJ/mol</w:t>
      </w:r>
    </w:p>
    <w:p>
      <w:pPr>
        <w:widowControl/>
        <w:spacing w:line="269" w:lineRule="auto" w:after="120"/>
      </w:pPr>
      <w:r>
        <w:rPr>
          <w:rFonts w:ascii="Calibri" w:hAnsi="Calibri" w:eastAsia="Calibri"/>
          <w:b w:val="0"/>
          <w:i w:val="0"/>
          <w:color w:val="24282C"/>
          <w:sz w:val="20"/>
        </w:rPr>
        <w:t>These exothermic methanation reactions are favoured by lower temperature, high pressure and abundant hydrogen, while high temperature favours the reverse reforming direction. The process therefore uses 625 °C as a screening compromise: hot enough to reduce refractory liquid products and discourage methane relative to milder SCWG, but below a blanket assumption that 700 °C automatically solves conversion. The correct temperature is the one that maximises plant carbon efficiency and online time, not the gas H2 yield in an isolated batch test.</w:t>
      </w:r>
    </w:p>
    <w:p>
      <w:pPr>
        <w:pStyle w:val="Heading3"/>
        <w:keepNext/>
        <w:spacing w:before="160" w:after="80"/>
      </w:pPr>
      <w:r>
        <w:rPr>
          <w:rFonts w:ascii="Calibri" w:hAnsi="Calibri" w:eastAsia="Calibri"/>
          <w:b/>
          <w:i w:val="0"/>
          <w:color w:val="40566C"/>
          <w:sz w:val="22"/>
        </w:rPr>
        <w:t>5.2.2 Reactor and heat-transfer concept</w:t>
      </w:r>
    </w:p>
    <w:p>
      <w:pPr>
        <w:widowControl/>
        <w:spacing w:line="269" w:lineRule="auto" w:after="120"/>
      </w:pPr>
      <w:r>
        <w:rPr>
          <w:rFonts w:ascii="Calibri" w:hAnsi="Calibri" w:eastAsia="Calibri"/>
          <w:b w:val="0"/>
          <w:i w:val="0"/>
          <w:color w:val="24282C"/>
          <w:sz w:val="20"/>
        </w:rPr>
        <w:t>A vertical externally heated vessel with replaceable nickel-alloy wetted internals is used for screening, although parallel tubular or bayonet designs may prove more inspectable. At an assumed hot-fluid density of 120 kg/m³ and 60 s nominal residence, 12.5 t/h requires approximately 1.74 m³ reacting volume. A gross volume near 2.3 m³ provides disengagement and instrumentation allowance. This is a process volume, not a mechanical drawing; wall thickness, cyclic fatigue, nozzle reinforcement and thermal gradients must be resolved under the applicable Chinese pressure-vessel code.</w:t>
      </w:r>
    </w:p>
    <w:p>
      <w:pPr>
        <w:widowControl/>
        <w:spacing w:line="269" w:lineRule="auto" w:after="120"/>
      </w:pPr>
      <w:r>
        <w:rPr>
          <w:rFonts w:ascii="Calibri" w:hAnsi="Calibri" w:eastAsia="Calibri"/>
          <w:b w:val="0"/>
          <w:i w:val="0"/>
          <w:color w:val="24282C"/>
          <w:sz w:val="20"/>
        </w:rPr>
        <w:t>The wall is protected by feed-flow permissives, multiple skin thermocouples and a maximum heat-flux constraint. A falling flow at fixed firing rate can carbonise the feed against the wall before the average outlet temperature changes. High wall temperature or B3 differential pressure therefore cuts organics and residue first, retains clean-water flow and isolates the train gas. Online GC is useful for H2/CH4/CO/CO2 response, but the performance test is a 95–105% carbon balance that includes aqueous TOC and recovered solid carbon.</w:t>
      </w:r>
    </w:p>
    <w:p>
      <w:pPr>
        <w:pStyle w:val="Heading3"/>
        <w:keepNext/>
        <w:spacing w:before="160" w:after="80"/>
      </w:pPr>
      <w:r>
        <w:rPr>
          <w:rFonts w:ascii="Calibri" w:hAnsi="Calibri" w:eastAsia="Calibri"/>
          <w:b/>
          <w:i w:val="0"/>
          <w:color w:val="40566C"/>
          <w:sz w:val="22"/>
        </w:rPr>
        <w:t>5.2.3 Methanation suppression: corrected interpretation</w:t>
      </w:r>
    </w:p>
    <w:p>
      <w:pPr>
        <w:widowControl/>
        <w:spacing w:line="269" w:lineRule="auto" w:after="120"/>
      </w:pPr>
      <w:r>
        <w:rPr>
          <w:rFonts w:ascii="Calibri" w:hAnsi="Calibri" w:eastAsia="Calibri"/>
          <w:b w:val="0"/>
          <w:i w:val="0"/>
          <w:color w:val="24282C"/>
          <w:sz w:val="20"/>
        </w:rPr>
        <w:t>Operating hotter and with shorter residence can suppress net methane formation, and that option should be tested. It does not by itself create an OXZEO-ready gas. High water activity and water–gas shift can still drive CO toward CO2, while aggressive severity can increase salt deposition, corrosion, char or heater duty. Less methane also means less carbon available for the reformer to convert into CO if the avoided methane has instead become rejected CO2 or solid carbon. The useful metric is therefore downstream olefin carbon per tonne of feed, not minimum methane at the B2 outlet.</w:t>
      </w:r>
    </w:p>
    <w:tbl>
      <w:tblPr>
        <w:tblW w:type="auto" w:w="0"/>
        <w:jc w:val="center"/>
        <w:tblLook w:firstColumn="1" w:firstRow="1" w:lastColumn="0" w:lastRow="0" w:noHBand="0" w:noVBand="1" w:val="04A0"/>
      </w:tblPr>
      <w:tblGrid>
        <w:gridCol w:w="9878"/>
      </w:tblGrid>
      <w:tr>
        <w:tc>
          <w:tcPr>
            <w:tcW w:type="dxa" w:w="9878"/>
            <w:shd w:fill="FFF4D8"/>
            <w:tcMar>
              <w:top w:w="130" w:type="dxa"/>
              <w:start w:w="150" w:type="dxa"/>
              <w:bottom w:w="130" w:type="dxa"/>
              <w:end w:w="150" w:type="dxa"/>
            </w:tcMar>
          </w:tcPr>
          <w:p>
            <w:pPr>
              <w:spacing w:line="259" w:lineRule="auto" w:after="0"/>
            </w:pPr>
            <w:r>
              <w:rPr>
                <w:rFonts w:ascii="Calibri" w:hAnsi="Calibri" w:eastAsia="Calibri"/>
                <w:b/>
                <w:i w:val="0"/>
                <w:color w:val="B1842F"/>
                <w:sz w:val="20"/>
              </w:rPr>
              <w:t xml:space="preserve">CORRECTED DESIGN POSITION: </w:t>
            </w:r>
            <w:r>
              <w:rPr>
                <w:rFonts w:ascii="Calibri" w:hAnsi="Calibri" w:eastAsia="Calibri"/>
                <w:b w:val="0"/>
                <w:i w:val="0"/>
                <w:color w:val="24282C"/>
                <w:sz w:val="20"/>
              </w:rPr>
              <w:t>B2 severity is optimised to reduce the methane round-trip only when total carbon efficiency, salt behaviour and materials performance improve together. B6 remains in the base flowsheet until a continuous gas composition proves it unnecessary.</w:t>
            </w:r>
          </w:p>
        </w:tc>
      </w:tr>
    </w:tbl>
    <w:p>
      <w:pPr>
        <w:spacing w:after="20"/>
      </w:pPr>
    </w:p>
    <w:p>
      <w:pPr>
        <w:pStyle w:val="Heading2"/>
        <w:keepNext/>
        <w:spacing w:before="240" w:after="100"/>
      </w:pPr>
      <w:r>
        <w:rPr>
          <w:rFonts w:ascii="Calibri" w:hAnsi="Calibri" w:eastAsia="Calibri"/>
          <w:b/>
          <w:i w:val="0"/>
          <w:color w:val="2F5597"/>
          <w:sz w:val="26"/>
        </w:rPr>
        <w:t>5.3 B3 — purposeful salt precipitation and continuous separation</w:t>
      </w:r>
    </w:p>
    <w:p>
      <w:pPr>
        <w:pStyle w:val="Heading3"/>
        <w:keepNext/>
        <w:spacing w:before="160" w:after="80"/>
      </w:pPr>
      <w:r>
        <w:rPr>
          <w:rFonts w:ascii="Calibri" w:hAnsi="Calibri" w:eastAsia="Calibri"/>
          <w:b/>
          <w:i w:val="0"/>
          <w:color w:val="40566C"/>
          <w:sz w:val="22"/>
        </w:rPr>
        <w:t>5.3.1 Why precipitation is desired</w:t>
      </w:r>
    </w:p>
    <w:p>
      <w:pPr>
        <w:widowControl/>
        <w:spacing w:line="269" w:lineRule="auto" w:after="120"/>
      </w:pPr>
      <w:r>
        <w:rPr>
          <w:rFonts w:ascii="Calibri" w:hAnsi="Calibri" w:eastAsia="Calibri"/>
          <w:b w:val="0"/>
          <w:i w:val="0"/>
          <w:color w:val="24282C"/>
          <w:sz w:val="20"/>
        </w:rPr>
        <w:t>Inorganic salts lose solubility as water becomes supercritical. The same phenomenon that plugs an uncontrolled SCWG plant can be used to transfer sodium and other soluble species out of bauxite residue. B3 is therefore both an availability device and a product operation. The target is not to prevent all salt formation; it is to make supersaturation and nucleation occur in a vessel that has controlled wall temperature, solids residence and continuous underflow. Salt research and hydrothermal separation studies consistently show that phase behaviour depends strongly on temperature, pressure, ion pairing and mixed-salt composition, so a single pure-salt solubility curve is insufficient.</w:t>
      </w:r>
      <w:r>
        <w:rPr>
          <w:rFonts w:ascii="Calibri" w:hAnsi="Calibri" w:eastAsia="Calibri"/>
          <w:b w:val="0"/>
          <w:i w:val="0"/>
          <w:color w:val="2F5597"/>
          <w:sz w:val="15"/>
          <w:vertAlign w:val="superscript"/>
        </w:rPr>
        <w:t xml:space="preserve"> 6,7</w:t>
      </w:r>
    </w:p>
    <w:p>
      <w:pPr>
        <w:pStyle w:val="Heading3"/>
        <w:keepNext/>
        <w:spacing w:before="160" w:after="80"/>
      </w:pPr>
      <w:r>
        <w:rPr>
          <w:rFonts w:ascii="Calibri" w:hAnsi="Calibri" w:eastAsia="Calibri"/>
          <w:b/>
          <w:i w:val="0"/>
          <w:color w:val="40566C"/>
          <w:sz w:val="22"/>
        </w:rPr>
        <w:t>5.3.2 Separator design</w:t>
      </w:r>
    </w:p>
    <w:p>
      <w:pPr>
        <w:widowControl/>
        <w:spacing w:line="269" w:lineRule="auto" w:after="120"/>
      </w:pPr>
      <w:r>
        <w:rPr>
          <w:rFonts w:ascii="Calibri" w:hAnsi="Calibri" w:eastAsia="Calibri"/>
          <w:b w:val="0"/>
          <w:i w:val="0"/>
          <w:color w:val="24282C"/>
          <w:sz w:val="20"/>
        </w:rPr>
        <w:t>Each train has two 100% hot separators in lead/lag or duty/standby service. Tangential entry creates a downward solids path; a cooled or transpiring wall can bias nucleation away from the pressure boundary; and a dense underflow leaves continuously through a short, erosion-tolerant line. A five-minute hot inventory at the assumed density is approximately 8.7 m³, giving a provisional 10 m³ gross vessel. The exact design follows pilot settling velocity, crystal habit and salt load.</w:t>
      </w:r>
    </w:p>
    <w:p>
      <w:pPr>
        <w:widowControl/>
        <w:spacing w:line="269" w:lineRule="auto" w:after="120"/>
      </w:pPr>
      <w:r>
        <w:rPr>
          <w:rFonts w:ascii="Calibri" w:hAnsi="Calibri" w:eastAsia="Calibri"/>
          <w:b w:val="0"/>
          <w:i w:val="0"/>
          <w:color w:val="24282C"/>
          <w:sz w:val="20"/>
        </w:rPr>
        <w:t>A separator is considered successful only if it sustains mass withdrawal and recovers baseline pressure drop after a controlled flush. Dry salt yield alone is not enough. Differential pressure, underflow density, wall temperature, acoustic response and flush-water recovery are trended together. One vessel can be isolated and depressurised into a cooled receiver while the other carries water circulation or production, allowing the reactor to avoid a full thermal cycle for every cleaning event.</w:t>
      </w:r>
    </w:p>
    <w:p>
      <w:pPr>
        <w:pStyle w:val="Heading3"/>
        <w:keepNext/>
        <w:spacing w:before="160" w:after="80"/>
      </w:pPr>
      <w:r>
        <w:rPr>
          <w:rFonts w:ascii="Calibri" w:hAnsi="Calibri" w:eastAsia="Calibri"/>
          <w:b/>
          <w:i w:val="0"/>
          <w:color w:val="40566C"/>
          <w:sz w:val="22"/>
        </w:rPr>
        <w:t>5.3.3 Concentrate destination</w:t>
      </w:r>
    </w:p>
    <w:p>
      <w:pPr>
        <w:widowControl/>
        <w:spacing w:line="269" w:lineRule="auto" w:after="120"/>
      </w:pPr>
      <w:r>
        <w:rPr>
          <w:rFonts w:ascii="Calibri" w:hAnsi="Calibri" w:eastAsia="Calibri"/>
          <w:b w:val="0"/>
          <w:i w:val="0"/>
          <w:color w:val="24282C"/>
          <w:sz w:val="20"/>
        </w:rPr>
        <w:t>B3 underflow is cooled under pressure, flashed in a wear-resistant pot and filtered or concentrated. It may contain sodium, potassium, phosphorus, sulfur, chloride, trace metals and residual organics. The stream is described as a nutrient- and alkali-bearing concentrate until product testing proves otherwise. Fertilizer value requires nutrient assay, chloride limits, heavy metals, pathogens, organics and applicable registration; a cement/mineral destination requires a different specification. The economic base assigns only a small combined by-product value.</w:t>
      </w:r>
    </w:p>
    <w:p>
      <w:pPr>
        <w:keepNext/>
        <w:spacing w:before="60" w:after="60"/>
      </w:pPr>
      <w:r>
        <w:rPr>
          <w:rFonts w:ascii="Calibri" w:hAnsi="Calibri" w:eastAsia="Calibri"/>
          <w:b w:val="0"/>
          <w:i/>
          <w:color w:val="65717C"/>
          <w:sz w:val="17"/>
        </w:rPr>
        <w:t>Table 5.2 — Salt precipitation is deliberate; uncontrolled deposition is not.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4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Salt-control layer</w:t>
            </w:r>
          </w:p>
        </w:tc>
        <w:tc>
          <w:tcPr>
            <w:tcW w:type="dxa" w:w="367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Function</w:t>
            </w:r>
          </w:p>
        </w:tc>
        <w:tc>
          <w:tcPr>
            <w:tcW w:type="dxa" w:w="381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Failure response</w:t>
            </w:r>
          </w:p>
        </w:tc>
      </w:tr>
      <w:tr>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Supplier ion limits</w:t>
            </w:r>
          </w:p>
        </w:tc>
        <w:tc>
          <w:tcPr>
            <w:tcW w:type="dxa" w:w="367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Prevent B3 overload before material enters B1</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Quarantine, prewash, reduce dose or reject</w:t>
            </w:r>
          </w:p>
        </w:tc>
      </w:tr>
      <w:tr>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Rapid heat-up</w:t>
            </w:r>
          </w:p>
        </w:tc>
        <w:tc>
          <w:tcPr>
            <w:tcW w:type="dxa" w:w="367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Reduce upstream precipitation and organic wall films</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Lower solids rate; switch final-heater path; water flush</w:t>
            </w:r>
          </w:p>
        </w:tc>
      </w:tr>
      <w:tr>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Twin B3 vessels</w:t>
            </w:r>
          </w:p>
        </w:tc>
        <w:tc>
          <w:tcPr>
            <w:tcW w:type="dxa" w:w="367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Maintain separation while one vessel flushes</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Isolate affected separator; hold reactor at clean-water circulation</w:t>
            </w:r>
          </w:p>
        </w:tc>
      </w:tr>
      <w:tr>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Controlled underflow</w:t>
            </w:r>
          </w:p>
        </w:tc>
        <w:tc>
          <w:tcPr>
            <w:tcW w:type="dxa" w:w="367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Keep crystals moving to a cooled product receiver</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Increase withdrawal; verify density/interface; avoid single-valve flashing</w:t>
            </w:r>
          </w:p>
        </w:tc>
      </w:tr>
      <w:tr>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Removable liners/spools</w:t>
            </w:r>
          </w:p>
        </w:tc>
        <w:tc>
          <w:tcPr>
            <w:tcW w:type="dxa" w:w="367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Concentrate erosion and deposit damage in replaceable parts</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Planned exchange based on inspection and wall-loss trend</w:t>
            </w:r>
          </w:p>
        </w:tc>
      </w:tr>
      <w:tr>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Water-only recovery</w:t>
            </w:r>
          </w:p>
        </w:tc>
        <w:tc>
          <w:tcPr>
            <w:tcW w:type="dxa" w:w="367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Remove deposits without uncontrolled decompression</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Terminate organic feed; verify DP recovery before restart</w:t>
            </w:r>
          </w:p>
        </w:tc>
      </w:tr>
    </w:tbl>
    <w:p>
      <w:pPr>
        <w:spacing w:after="20"/>
      </w:pPr>
    </w:p>
    <w:p>
      <w:pPr>
        <w:pStyle w:val="Heading2"/>
        <w:keepNext/>
        <w:spacing w:before="240" w:after="100"/>
      </w:pPr>
      <w:r>
        <w:rPr>
          <w:rFonts w:ascii="Calibri" w:hAnsi="Calibri" w:eastAsia="Calibri"/>
          <w:b/>
          <w:i w:val="0"/>
          <w:color w:val="2F5597"/>
          <w:sz w:val="26"/>
        </w:rPr>
        <w:t>5.4 B4 — heat recovery, depressurization, phase separation and aqueous polishing</w:t>
      </w:r>
    </w:p>
    <w:p>
      <w:pPr>
        <w:pStyle w:val="Heading3"/>
        <w:keepNext/>
        <w:spacing w:before="160" w:after="80"/>
      </w:pPr>
      <w:r>
        <w:rPr>
          <w:rFonts w:ascii="Calibri" w:hAnsi="Calibri" w:eastAsia="Calibri"/>
          <w:b/>
          <w:i w:val="0"/>
          <w:color w:val="40566C"/>
          <w:sz w:val="22"/>
        </w:rPr>
        <w:t>5.4.1 Heat recovery before pressure letdown</w:t>
      </w:r>
    </w:p>
    <w:p>
      <w:pPr>
        <w:widowControl/>
        <w:spacing w:line="269" w:lineRule="auto" w:after="120"/>
      </w:pPr>
      <w:r>
        <w:rPr>
          <w:rFonts w:ascii="Calibri" w:hAnsi="Calibri" w:eastAsia="Calibri"/>
          <w:b w:val="0"/>
          <w:i w:val="0"/>
          <w:color w:val="24282C"/>
          <w:sz w:val="20"/>
        </w:rPr>
        <w:t>Salt-depleted effluent first transfers heat to cold slurry in H-101. Recovering heat while both streams remain pressurised avoids a large flash before the main exchanger and preserves temperature driving force. The exchanger must tolerate residual fine solids, so printed-circuit, double-pipe, bayonet or other geometry is selected from fouling and erosion tests rather than heat-transfer coefficient alone. Parallel modules, isolation and hydroblasting access are more valuable than an optimistic minimum area.</w:t>
      </w:r>
    </w:p>
    <w:p>
      <w:pPr>
        <w:pStyle w:val="Heading3"/>
        <w:keepNext/>
        <w:spacing w:before="160" w:after="80"/>
      </w:pPr>
      <w:r>
        <w:rPr>
          <w:rFonts w:ascii="Calibri" w:hAnsi="Calibri" w:eastAsia="Calibri"/>
          <w:b/>
          <w:i w:val="0"/>
          <w:color w:val="40566C"/>
          <w:sz w:val="22"/>
        </w:rPr>
        <w:t>5.4.2 Staged pressure reduction</w:t>
      </w:r>
    </w:p>
    <w:p>
      <w:pPr>
        <w:widowControl/>
        <w:spacing w:line="269" w:lineRule="auto" w:after="120"/>
      </w:pPr>
      <w:r>
        <w:rPr>
          <w:rFonts w:ascii="Calibri" w:hAnsi="Calibri" w:eastAsia="Calibri"/>
          <w:b w:val="0"/>
          <w:i w:val="0"/>
          <w:color w:val="24282C"/>
          <w:sz w:val="20"/>
        </w:rPr>
        <w:t>The effluent is depressurised through several stages with sacrificial trim rather than one valve. A hydraulic power-recovery device can be evaluated only if solids testing proves reliable; otherwise staged letdown limits local velocity and cavitation. The first separator retains sufficient pressure to keep acid gases with the gas stream. A second flash removes dissolved gas, and a three-phase separator splits aqueous liquid, mineral solids and any immiscible organic phase. High vibration, abnormal valve position or downstream high level initiates water-only operation and routes material to the closed blowdown receiver.</w:t>
      </w:r>
    </w:p>
    <w:p>
      <w:pPr>
        <w:pStyle w:val="Heading3"/>
        <w:keepNext/>
        <w:spacing w:before="160" w:after="80"/>
      </w:pPr>
      <w:r>
        <w:rPr>
          <w:rFonts w:ascii="Calibri" w:hAnsi="Calibri" w:eastAsia="Calibri"/>
          <w:b/>
          <w:i w:val="0"/>
          <w:color w:val="40566C"/>
          <w:sz w:val="22"/>
        </w:rPr>
        <w:t>5.4.3 Aqueous polishing, nitrogen recovery and water recycle</w:t>
      </w:r>
    </w:p>
    <w:p>
      <w:pPr>
        <w:widowControl/>
        <w:spacing w:line="269" w:lineRule="auto" w:after="120"/>
      </w:pPr>
      <w:r>
        <w:rPr>
          <w:rFonts w:ascii="Calibri" w:hAnsi="Calibri" w:eastAsia="Calibri"/>
          <w:b w:val="0"/>
          <w:i w:val="0"/>
          <w:color w:val="24282C"/>
          <w:sz w:val="20"/>
        </w:rPr>
        <w:t>The aqueous train uses fine-solid removal, ammonia recovery, organic polishing and a controlled salt/chloride purge. Activated carbon, catalytic wet oxidation, membrane separation or biological polishing can be selected after real refractory-TOC analysis; no single unit is imposed on an unknown liquor. Ammonia stripping or gas-permeable transfer occurs after solids removal and before the final water recycle, producing a separate acid absorber stream.</w:t>
      </w:r>
    </w:p>
    <w:p>
      <w:pPr>
        <w:widowControl/>
        <w:spacing w:line="269" w:lineRule="auto" w:after="120"/>
      </w:pPr>
      <w:r>
        <w:rPr>
          <w:rFonts w:ascii="Calibri" w:hAnsi="Calibri" w:eastAsia="Calibri"/>
          <w:b w:val="0"/>
          <w:i w:val="0"/>
          <w:color w:val="24282C"/>
          <w:sz w:val="20"/>
        </w:rPr>
        <w:t>Water recycle is governed by chloride, sodium, refractory organic carbon, ammonia and trace-metal inventories. A nominal high recycle fraction is economically desirable but is not a fixed guarantee. The purge increases automatically when a conservative component approaches its limit; makeup water closes the final slurry. This mass-balance control prevents an apparent zero-liquid-discharge claim from hiding a growing corrosion inventory.</w:t>
      </w:r>
    </w:p>
    <w:p>
      <w:pPr>
        <w:pStyle w:val="Heading2"/>
        <w:keepNext/>
        <w:spacing w:before="240" w:after="100"/>
      </w:pPr>
      <w:r>
        <w:rPr>
          <w:rFonts w:ascii="Calibri" w:hAnsi="Calibri" w:eastAsia="Calibri"/>
          <w:b/>
          <w:i w:val="0"/>
          <w:color w:val="2F5597"/>
          <w:sz w:val="26"/>
        </w:rPr>
        <w:t>5.5 B5 — acid-gas removal and catalyst protection</w:t>
      </w:r>
    </w:p>
    <w:p>
      <w:pPr>
        <w:widowControl/>
        <w:spacing w:line="269" w:lineRule="auto" w:after="120"/>
      </w:pPr>
      <w:r>
        <w:rPr>
          <w:rFonts w:ascii="Calibri" w:hAnsi="Calibri" w:eastAsia="Calibri"/>
          <w:b w:val="0"/>
          <w:i w:val="0"/>
          <w:color w:val="24282C"/>
          <w:sz w:val="20"/>
        </w:rPr>
        <w:t>Ten-train gas is compressed or pressure-matched into a shared chilled-methanol Rectisol unit after bulk water removal. Methanol selectively absorbs H2S, COS and CO2. Flash staging and regeneration produce a sulfur-rich fraction for sulfur recovery and a CO2-rich fraction that is split between B6 ratio control and export, sequestration or controlled release according to the carbon case. The methanol system requires refrigeration, water control, closed drainage and solvent-loss monitoring.</w:t>
      </w:r>
    </w:p>
    <w:p>
      <w:pPr>
        <w:widowControl/>
        <w:spacing w:line="269" w:lineRule="auto" w:after="120"/>
      </w:pPr>
      <w:r>
        <w:rPr>
          <w:rFonts w:ascii="Calibri" w:hAnsi="Calibri" w:eastAsia="Calibri"/>
          <w:b w:val="0"/>
          <w:i w:val="0"/>
          <w:color w:val="24282C"/>
          <w:sz w:val="20"/>
        </w:rPr>
        <w:t>A lead/lag ZnO guard follows bulk removal. It is intentionally a polishing bed, not the main sulfur-removal process. Its job is to absorb breakthrough and analytical uncertainty before nickel reforming catalyst and OXZEO active sites. Two independent total-sulfur measurements control bed switching and isolate B7 on disagreement. COS hydrolysis or an equivalent licensed solution is included if the solvent configuration cannot reliably meet total-sulfur specification.</w:t>
      </w:r>
    </w:p>
    <w:p>
      <w:pPr>
        <w:keepLines/>
        <w:spacing w:before="80" w:after="140"/>
        <w:jc w:val="center"/>
      </w:pPr>
      <w:r>
        <w:rPr>
          <w:rFonts w:ascii="Cambria" w:hAnsi="Cambria" w:eastAsia="Cambria"/>
          <w:b w:val="0"/>
          <w:i/>
          <w:color w:val="17365D"/>
          <w:sz w:val="22"/>
        </w:rPr>
        <w:t>ZnO + H₂S → ZnS + H₂O</w:t>
      </w:r>
    </w:p>
    <w:p>
      <w:pPr>
        <w:keepNext/>
        <w:spacing w:before="60" w:after="60"/>
      </w:pPr>
      <w:r>
        <w:rPr>
          <w:rFonts w:ascii="Calibri" w:hAnsi="Calibri" w:eastAsia="Calibri"/>
          <w:b w:val="0"/>
          <w:i/>
          <w:color w:val="65717C"/>
          <w:sz w:val="17"/>
        </w:rPr>
        <w:t>Table 5.3 — B5 is a shared quality barrier, not merely an emissions unit.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B5 function</w:t>
            </w:r>
          </w:p>
        </w:tc>
        <w:tc>
          <w:tcPr>
            <w:tcW w:type="dxa" w:w="295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Design target</w:t>
            </w:r>
          </w:p>
        </w:tc>
        <w:tc>
          <w:tcPr>
            <w:tcW w:type="dxa" w:w="424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Why it matters</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Bulk H2S/COS removal</w:t>
            </w:r>
          </w:p>
        </w:tc>
        <w:tc>
          <w:tcPr>
            <w:tcW w:type="dxa" w:w="29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Rectisol and sulfur recovery sized to real gas</w:t>
            </w:r>
          </w:p>
        </w:tc>
        <w:tc>
          <w:tcPr>
            <w:tcW w:type="dxa" w:w="42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Prevents excessive disposable guard-bed consumption</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CO2 split</w:t>
            </w:r>
          </w:p>
        </w:tc>
        <w:tc>
          <w:tcPr>
            <w:tcW w:type="dxa" w:w="29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Retain only the fraction needed for B6 ratio control</w:t>
            </w:r>
          </w:p>
        </w:tc>
        <w:tc>
          <w:tcPr>
            <w:tcW w:type="dxa" w:w="424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Avoids compressing rejected carbon through the synthesis loop</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Water/methanol control</w:t>
            </w:r>
          </w:p>
        </w:tc>
        <w:tc>
          <w:tcPr>
            <w:tcW w:type="dxa" w:w="29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Below reformer and OXZEO contract limits</w:t>
            </w:r>
          </w:p>
        </w:tc>
        <w:tc>
          <w:tcPr>
            <w:tcW w:type="dxa" w:w="42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Prevents condensation, catalyst damage and composition error</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ZnO outlet</w:t>
            </w:r>
          </w:p>
        </w:tc>
        <w:tc>
          <w:tcPr>
            <w:tcW w:type="dxa" w:w="29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&lt;0.1 ppmv total sulfur screening target</w:t>
            </w:r>
          </w:p>
        </w:tc>
        <w:tc>
          <w:tcPr>
            <w:tcW w:type="dxa" w:w="424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Protects reformer and bifunctional synthesis catalyst</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Transient routing</w:t>
            </w:r>
          </w:p>
        </w:tc>
        <w:tc>
          <w:tcPr>
            <w:tcW w:type="dxa" w:w="29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Off-spec gas to fuel/disposal, never B7</w:t>
            </w:r>
          </w:p>
        </w:tc>
        <w:tc>
          <w:tcPr>
            <w:tcW w:type="dxa" w:w="42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Start-up and analyser failure cannot contaminate the common loop</w:t>
            </w:r>
          </w:p>
        </w:tc>
      </w:tr>
    </w:tbl>
    <w:p>
      <w:pPr>
        <w:spacing w:after="20"/>
      </w:pPr>
    </w:p>
    <w:p>
      <w:pPr>
        <w:pStyle w:val="Heading2"/>
        <w:keepNext/>
        <w:spacing w:before="240" w:after="100"/>
      </w:pPr>
      <w:r>
        <w:rPr>
          <w:rFonts w:ascii="Calibri" w:hAnsi="Calibri" w:eastAsia="Calibri"/>
          <w:b/>
          <w:i w:val="0"/>
          <w:color w:val="2F5597"/>
          <w:sz w:val="26"/>
        </w:rPr>
        <w:t>5.6 B6 — bi-reforming and the methane round-trip</w:t>
      </w:r>
    </w:p>
    <w:p>
      <w:pPr>
        <w:pStyle w:val="Heading3"/>
        <w:keepNext/>
        <w:spacing w:before="160" w:after="80"/>
      </w:pPr>
      <w:r>
        <w:rPr>
          <w:rFonts w:ascii="Calibri" w:hAnsi="Calibri" w:eastAsia="Calibri"/>
          <w:b/>
          <w:i w:val="0"/>
          <w:color w:val="40566C"/>
          <w:sz w:val="22"/>
        </w:rPr>
        <w:t>5.6.1 Thermodynamics</w:t>
      </w:r>
    </w:p>
    <w:p>
      <w:pPr>
        <w:widowControl/>
        <w:spacing w:line="269" w:lineRule="auto" w:after="120"/>
      </w:pPr>
      <w:r>
        <w:rPr>
          <w:rFonts w:ascii="Calibri" w:hAnsi="Calibri" w:eastAsia="Calibri"/>
          <w:b w:val="0"/>
          <w:i w:val="0"/>
          <w:color w:val="24282C"/>
          <w:sz w:val="20"/>
        </w:rPr>
        <w:t>Bi-reforming combines steam and dry reforming so methane, carbon dioxide and water form CO/H2 synthesis gas. Both principal reforming reactions are strongly endothermic. Summing two steam-reforming equivalents with one dry-reforming equivalent gives the convenient overall relation below and a standard reaction enthalpy of approximately +660 kJ per stoichiometric reaction as written. Heat must be supplied through reformer tubes; the reaction is not exothermic.</w:t>
      </w:r>
      <w:r>
        <w:rPr>
          <w:rFonts w:ascii="Calibri" w:hAnsi="Calibri" w:eastAsia="Calibri"/>
          <w:b w:val="0"/>
          <w:i w:val="0"/>
          <w:color w:val="2F5597"/>
          <w:sz w:val="15"/>
          <w:vertAlign w:val="superscript"/>
        </w:rPr>
        <w:t xml:space="preserve"> 16,17</w:t>
      </w:r>
    </w:p>
    <w:p>
      <w:pPr>
        <w:keepLines/>
        <w:spacing w:before="80" w:after="140"/>
        <w:jc w:val="center"/>
      </w:pPr>
      <w:r>
        <w:rPr>
          <w:rFonts w:ascii="Cambria" w:hAnsi="Cambria" w:eastAsia="Cambria"/>
          <w:b w:val="0"/>
          <w:i/>
          <w:color w:val="17365D"/>
          <w:sz w:val="22"/>
        </w:rPr>
        <w:t>CH₄ + H₂O ⇌ CO + 3H₂        ΔH°₂₉₈ ≈ +206 kJ/mol</w:t>
      </w:r>
    </w:p>
    <w:p>
      <w:pPr>
        <w:keepLines/>
        <w:spacing w:before="80" w:after="140"/>
        <w:jc w:val="center"/>
      </w:pPr>
      <w:r>
        <w:rPr>
          <w:rFonts w:ascii="Cambria" w:hAnsi="Cambria" w:eastAsia="Cambria"/>
          <w:b w:val="0"/>
          <w:i/>
          <w:color w:val="17365D"/>
          <w:sz w:val="22"/>
        </w:rPr>
        <w:t>CH₄ + CO₂ ⇌ 2CO + 2H₂       ΔH°₂₉₈ ≈ +247 kJ/mol</w:t>
      </w:r>
    </w:p>
    <w:p>
      <w:pPr>
        <w:keepLines/>
        <w:spacing w:before="80" w:after="140"/>
        <w:jc w:val="center"/>
      </w:pPr>
      <w:r>
        <w:rPr>
          <w:rFonts w:ascii="Cambria" w:hAnsi="Cambria" w:eastAsia="Cambria"/>
          <w:b w:val="0"/>
          <w:i/>
          <w:color w:val="17365D"/>
          <w:sz w:val="22"/>
        </w:rPr>
        <w:t>3CH₄ + CO₂ + 2H₂O ⇌ 4CO + 8H₂        ΔH°₂₉₈ ≈ +660 kJ</w:t>
      </w:r>
    </w:p>
    <w:p>
      <w:pPr>
        <w:widowControl/>
        <w:spacing w:line="269" w:lineRule="auto" w:after="120"/>
      </w:pPr>
      <w:r>
        <w:rPr>
          <w:rFonts w:ascii="Calibri" w:hAnsi="Calibri" w:eastAsia="Calibri"/>
          <w:b w:val="0"/>
          <w:i w:val="0"/>
          <w:color w:val="24282C"/>
          <w:sz w:val="20"/>
        </w:rPr>
        <w:t>The overall stoichiometry gives H2/CO = 2, but actual B5 gas already contains H2 and CO. Steam and CO2 are therefore adjusted from online composition. Excess steam suppresses carbon deposition but raises furnace and downstream water duty; excessive CO2 lowers hydrogen ratio but circulates more inert/rejected carbon. Equilibrium, methane slip, tube-skin temperature and coke margin are solved together in a rigorous reformer model.</w:t>
      </w:r>
    </w:p>
    <w:p>
      <w:pPr>
        <w:pStyle w:val="Heading3"/>
        <w:keepNext/>
        <w:spacing w:before="160" w:after="80"/>
      </w:pPr>
      <w:r>
        <w:rPr>
          <w:rFonts w:ascii="Calibri" w:hAnsi="Calibri" w:eastAsia="Calibri"/>
          <w:b/>
          <w:i w:val="0"/>
          <w:color w:val="40566C"/>
          <w:sz w:val="22"/>
        </w:rPr>
        <w:t>5.6.2 Equipment and integration</w:t>
      </w:r>
    </w:p>
    <w:p>
      <w:pPr>
        <w:widowControl/>
        <w:spacing w:line="269" w:lineRule="auto" w:after="120"/>
      </w:pPr>
      <w:r>
        <w:rPr>
          <w:rFonts w:ascii="Calibri" w:hAnsi="Calibri" w:eastAsia="Calibri"/>
          <w:b w:val="0"/>
          <w:i w:val="0"/>
          <w:color w:val="24282C"/>
          <w:sz w:val="20"/>
        </w:rPr>
        <w:t>The shared B6 system is a fired tubular package near 850 °C and 2.8 MPa, with upstream sulfur guard, feed preheat, steam addition, CO2 recycle and optional pre-reforming. Hot syngas generates high-pressure steam and preheats reformer feed before ratio trim and B7 compression. Burner staging, low-NOx design, tube-skin monitoring and decoking connections are included. A purge-fuel stream offsets part of furnace fuel, but the endothermic reaction remains the largest irrecoverable thermal penalty after sensible-heat recovery.</w:t>
      </w:r>
    </w:p>
    <w:p>
      <w:pPr>
        <w:widowControl/>
        <w:spacing w:line="269" w:lineRule="auto" w:after="120"/>
      </w:pPr>
      <w:r>
        <w:rPr>
          <w:rFonts w:ascii="Calibri" w:hAnsi="Calibri" w:eastAsia="Calibri"/>
          <w:b w:val="0"/>
          <w:i w:val="0"/>
          <w:color w:val="24282C"/>
          <w:sz w:val="20"/>
        </w:rPr>
        <w:t>This penalty is the price of linking a methane-rich hydrothermal gas to CO-based OXZEO chemistry. It is not hidden inside a generic utility factor. The process economics improve sharply if B2 delivers more CO and less methane without losing carbon, or if a licensed OXZEO system accepts a different H2/CO ratio. They do not improve if methane is suppressed only by turning the same carbon into rejected CO2.</w:t>
      </w:r>
    </w:p>
    <w:p>
      <w:pPr>
        <w:pStyle w:val="Heading2"/>
        <w:keepNext/>
        <w:spacing w:before="240" w:after="100"/>
      </w:pPr>
      <w:r>
        <w:rPr>
          <w:rFonts w:ascii="Calibri" w:hAnsi="Calibri" w:eastAsia="Calibri"/>
          <w:b/>
          <w:i w:val="0"/>
          <w:color w:val="2F5597"/>
          <w:sz w:val="26"/>
        </w:rPr>
        <w:t>5.7 B7 — simplified OXZEO synthesis and product recovery</w:t>
      </w:r>
    </w:p>
    <w:p>
      <w:pPr>
        <w:pStyle w:val="Heading3"/>
        <w:keepNext/>
        <w:spacing w:before="160" w:after="80"/>
      </w:pPr>
      <w:r>
        <w:rPr>
          <w:rFonts w:ascii="Calibri" w:hAnsi="Calibri" w:eastAsia="Calibri"/>
          <w:b/>
          <w:i w:val="0"/>
          <w:color w:val="40566C"/>
          <w:sz w:val="22"/>
        </w:rPr>
        <w:t>5.7.1 Chemistry in practical terms</w:t>
      </w:r>
    </w:p>
    <w:p>
      <w:pPr>
        <w:widowControl/>
        <w:spacing w:line="269" w:lineRule="auto" w:after="120"/>
      </w:pPr>
      <w:r>
        <w:rPr>
          <w:rFonts w:ascii="Calibri" w:hAnsi="Calibri" w:eastAsia="Calibri"/>
          <w:b w:val="0"/>
          <w:i w:val="0"/>
          <w:color w:val="24282C"/>
          <w:sz w:val="20"/>
        </w:rPr>
        <w:t>OXZEO uses two cooperating catalyst functions. A metal oxide activates CO/H2 and forms oxygenated C1/C2 intermediates; a shape-selective zeolite converts those intermediates inside small pores to ethylene, propylene and C4 olefins. Separating CO activation from carbon–carbon coupling can achieve much higher light-olefin selectivity than a conventional Fischer–Tropsch product distribution. Published research reports high selectivity, but activity, stability and the distance between the two functions remain active development questions. Dalian Institute researchers report participation in a kilotonne-scale industrial pilot, which is encouraging but is not equivalent to a commercial guarantee for this biomass-derived gas.</w:t>
      </w:r>
      <w:r>
        <w:rPr>
          <w:rFonts w:ascii="Calibri" w:hAnsi="Calibri" w:eastAsia="Calibri"/>
          <w:b w:val="0"/>
          <w:i w:val="0"/>
          <w:color w:val="2F5597"/>
          <w:sz w:val="15"/>
          <w:vertAlign w:val="superscript"/>
        </w:rPr>
        <w:t xml:space="preserve"> 13,14,15</w:t>
      </w:r>
    </w:p>
    <w:p>
      <w:pPr>
        <w:widowControl/>
        <w:spacing w:line="269" w:lineRule="auto" w:after="120"/>
      </w:pPr>
      <w:r>
        <w:rPr>
          <w:rFonts w:ascii="Calibri" w:hAnsi="Calibri" w:eastAsia="Calibri"/>
          <w:b w:val="0"/>
          <w:i w:val="0"/>
          <w:color w:val="24282C"/>
          <w:sz w:val="20"/>
        </w:rPr>
        <w:t>The report intentionally avoids an extended speculative mechanism. For process design, five facts matter: the feed must contain CO and H2; sulfur and selected contaminants must be extremely low; heat must be removed to protect selectivity; unconverted syngas requires recycle and purge; and catalyst performance must be demonstrated on the actual B6 gas, including trace water, CO2 and methane.</w:t>
      </w:r>
    </w:p>
    <w:p>
      <w:pPr>
        <w:pStyle w:val="Heading3"/>
        <w:keepNext/>
        <w:spacing w:before="160" w:after="80"/>
      </w:pPr>
      <w:r>
        <w:rPr>
          <w:rFonts w:ascii="Calibri" w:hAnsi="Calibri" w:eastAsia="Calibri"/>
          <w:b/>
          <w:i w:val="0"/>
          <w:color w:val="40566C"/>
          <w:sz w:val="22"/>
        </w:rPr>
        <w:t>5.7.2 Reactor, recycle and separation</w:t>
      </w:r>
    </w:p>
    <w:p>
      <w:pPr>
        <w:widowControl/>
        <w:spacing w:line="269" w:lineRule="auto" w:after="120"/>
      </w:pPr>
      <w:r>
        <w:rPr>
          <w:rFonts w:ascii="Calibri" w:hAnsi="Calibri" w:eastAsia="Calibri"/>
          <w:b w:val="0"/>
          <w:i w:val="0"/>
          <w:color w:val="24282C"/>
          <w:sz w:val="20"/>
        </w:rPr>
        <w:t>The screening basis uses 45% single-pass CO conversion and 70% carbon selectivity to C2–C4 olefins on converted carbon, with recycle of unconverted syngas. Overall plant carbon efficiency is lower because B3/B4 solids and aqueous carbon, B5 CO2 rejection, B6 methane slip and B7 purge occur before saleable product. Multiple cooled beds or a boiling-water reactor hold the catalyst near 400 °C. High bed temperature or sulfur breakthrough cuts fresh syngas and maintains an inert/recycle flow for controlled cooling.</w:t>
      </w:r>
    </w:p>
    <w:p>
      <w:pPr>
        <w:widowControl/>
        <w:spacing w:line="269" w:lineRule="auto" w:after="120"/>
      </w:pPr>
      <w:r>
        <w:rPr>
          <w:rFonts w:ascii="Calibri" w:hAnsi="Calibri" w:eastAsia="Calibri"/>
          <w:b w:val="0"/>
          <w:i w:val="0"/>
          <w:color w:val="24282C"/>
          <w:sz w:val="20"/>
        </w:rPr>
        <w:t>Product recovery condenses water and oxygenates, removes CO2 and separates fuel gas from ethylene, propylene and a C4 cut. A mixed light-olefin offtake may avoid some fractionation, whereas separate polymer-grade products require deeper dehydration, acetylene and oxygenate control, refrigeration and fractionation. The economic model uses a netback rather than assuming that every tonne receives the published price of a finished polyethylene or polypropylene resin.</w:t>
      </w:r>
    </w:p>
    <w:p>
      <w:pPr>
        <w:keepNext/>
        <w:spacing w:before="60" w:after="60"/>
      </w:pPr>
      <w:r>
        <w:rPr>
          <w:rFonts w:ascii="Calibri" w:hAnsi="Calibri" w:eastAsia="Calibri"/>
          <w:b w:val="0"/>
          <w:i/>
          <w:color w:val="65717C"/>
          <w:sz w:val="17"/>
        </w:rPr>
        <w:t>Table 5.4 — OXZEO is simplified in narrative but not simplified in risk allocation.</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B7 parameter</w:t>
            </w:r>
          </w:p>
        </w:tc>
        <w:tc>
          <w:tcPr>
            <w:tcW w:type="dxa" w:w="252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Screening input</w:t>
            </w:r>
          </w:p>
        </w:tc>
        <w:tc>
          <w:tcPr>
            <w:tcW w:type="dxa" w:w="46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Commercial requirement</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Single-pass CO conversion</w:t>
            </w:r>
          </w:p>
        </w:tc>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45%</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Licensed value on real B6 gas and defined space velocity</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C2–C4 selectivity</w:t>
            </w:r>
          </w:p>
        </w:tc>
        <w:tc>
          <w:tcPr>
            <w:tcW w:type="dxa" w:w="25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70% of converted carbon</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Product-specific carbon balance including oxygenates and paraffins</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Overall feed-C efficiency</w:t>
            </w:r>
          </w:p>
        </w:tc>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42% current screen; 50–55% target</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Battery-limit carbon closure sustained over catalyst cycle</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Temperature</w:t>
            </w:r>
          </w:p>
        </w:tc>
        <w:tc>
          <w:tcPr>
            <w:tcW w:type="dxa" w:w="25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Approximately 400 °C</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Axial/radial profile inside selectivity and material limits</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Sulfur</w:t>
            </w:r>
          </w:p>
        </w:tc>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&lt;0.1 ppmv screening</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Licensor guarantee and analyser voting</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Catalyst life</w:t>
            </w:r>
          </w:p>
        </w:tc>
        <w:tc>
          <w:tcPr>
            <w:tcW w:type="dxa" w:w="25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Not guaranteed</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Long-duration real-gas demonstration and regeneration/replacement plan</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Product netback</w:t>
            </w:r>
          </w:p>
        </w:tc>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7,500 RMB/t commodity basis</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Buyer term sheet for mixed or separated olefins</w:t>
            </w:r>
          </w:p>
        </w:tc>
      </w:tr>
    </w:tbl>
    <w:p>
      <w:pPr>
        <w:spacing w:after="20"/>
      </w:pPr>
    </w:p>
    <w:p>
      <w:pPr>
        <w:pStyle w:val="Heading2"/>
        <w:keepNext/>
        <w:spacing w:before="240" w:after="100"/>
      </w:pPr>
      <w:r>
        <w:rPr>
          <w:rFonts w:ascii="Calibri" w:hAnsi="Calibri" w:eastAsia="Calibri"/>
          <w:b/>
          <w:i w:val="0"/>
          <w:color w:val="2F5597"/>
          <w:sz w:val="26"/>
        </w:rPr>
        <w:t>5.8 B8 — residue finishing, qualification and off-specification retreatment</w:t>
      </w:r>
    </w:p>
    <w:p>
      <w:pPr>
        <w:widowControl/>
        <w:spacing w:line="269" w:lineRule="auto" w:after="120"/>
      </w:pPr>
      <w:r>
        <w:rPr>
          <w:rFonts w:ascii="Calibri" w:hAnsi="Calibri" w:eastAsia="Calibri"/>
          <w:b w:val="0"/>
          <w:i w:val="0"/>
          <w:color w:val="24282C"/>
          <w:sz w:val="20"/>
        </w:rPr>
        <w:t>B4 mineral solids are washed counter-currently to minimise fresh water while reducing soluble sodium and chloride. Mechanical dewatering is followed by low-temperature drying or conditioning with recovered heat. Air oxidation may stabilise some iron phases, but no revenue or catalyst-credit is assigned to an unproven oxygen-carrier regeneration. XRF, XRD, pH, soluble sodium, chloride, total and leachable metals, residual carbon, particle size and destination performance determine release.</w:t>
      </w:r>
    </w:p>
    <w:p>
      <w:pPr>
        <w:widowControl/>
        <w:spacing w:line="269" w:lineRule="auto" w:after="120"/>
      </w:pPr>
      <w:r>
        <w:rPr>
          <w:rFonts w:ascii="Calibri" w:hAnsi="Calibri" w:eastAsia="Calibri"/>
          <w:b w:val="0"/>
          <w:i w:val="0"/>
          <w:color w:val="24282C"/>
          <w:sz w:val="20"/>
        </w:rPr>
        <w:t>A one-pass product stream is the objective. Material meeting the selected cementitious, sorbent, aggregate, iron-concentrate or hydrometallurgical-feed specification leaves B8. Off-specification material receives a second wash, source-specific hydrothermal retreatment or disposal in a permitted route. This explicit fork is more credible than asserting full dealkalization or recycling every tonne until contaminants accumulate.</w:t>
      </w:r>
    </w:p>
    <w:p>
      <w:pPr>
        <w:keepNext/>
        <w:spacing w:before="60" w:after="60"/>
      </w:pPr>
      <w:r>
        <w:rPr>
          <w:rFonts w:ascii="Calibri" w:hAnsi="Calibri" w:eastAsia="Calibri"/>
          <w:b w:val="0"/>
          <w:i/>
          <w:color w:val="65717C"/>
          <w:sz w:val="17"/>
        </w:rPr>
        <w:t>Table 5.5 — B8 turns a variable residue into specification-led outlet streams.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Potential outlet</w:t>
            </w:r>
          </w:p>
        </w:tc>
        <w:tc>
          <w:tcPr>
            <w:tcW w:type="dxa" w:w="460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Evidence required</w:t>
            </w:r>
          </w:p>
        </w:tc>
        <w:tc>
          <w:tcPr>
            <w:tcW w:type="dxa" w:w="266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Economic treatment</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Cementitious or clinker feed</w:t>
            </w:r>
          </w:p>
        </w:tc>
        <w:tc>
          <w:tcPr>
            <w:tcW w:type="dxa" w:w="46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Alkali, chloride, mineralogy, grindability, strength, setting and leaching</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No premium until cement-plant trial and contract</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Iron-rich sorbent/product</w:t>
            </w:r>
          </w:p>
        </w:tc>
        <w:tc>
          <w:tcPr>
            <w:tcW w:type="dxa" w:w="46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Fe phase, surface area, capacity, regenerability and contaminant release</w:t>
            </w:r>
          </w:p>
        </w:tc>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Low conditional value only</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Magnetic concentrate</w:t>
            </w:r>
          </w:p>
        </w:tc>
        <w:tc>
          <w:tcPr>
            <w:tcW w:type="dxa" w:w="46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Magnetic yield, Fe grade, Ti/Al/Na impurities and buyer penalty</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Pilot yield and offtake required</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Hydrometallurgical feed</w:t>
            </w:r>
          </w:p>
        </w:tc>
        <w:tc>
          <w:tcPr>
            <w:tcW w:type="dxa" w:w="46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Fe/Sc/Ti assay, recovery, reagent consumption and residue liability</w:t>
            </w:r>
          </w:p>
        </w:tc>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No scandium revenue in base case</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Second wash/retreatment</w:t>
            </w:r>
          </w:p>
        </w:tc>
        <w:tc>
          <w:tcPr>
            <w:tcW w:type="dxa" w:w="46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Failure against pH, soluble Na, Cl or leaching endpoint</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Operating cost and capacity included; not a routine closed recycle</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Permitted disposal</w:t>
            </w:r>
          </w:p>
        </w:tc>
        <w:tc>
          <w:tcPr>
            <w:tcW w:type="dxa" w:w="46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Waste classification and facility acceptance</w:t>
            </w:r>
          </w:p>
        </w:tc>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Conservative fallback cost</w:t>
            </w:r>
          </w:p>
        </w:tc>
      </w:tr>
    </w:tbl>
    <w:p>
      <w:pPr>
        <w:spacing w:after="20"/>
      </w:pPr>
    </w:p>
    <w:p>
      <w:pPr>
        <w:pStyle w:val="Heading2"/>
        <w:keepNext/>
        <w:spacing w:before="240" w:after="100"/>
      </w:pPr>
      <w:r>
        <w:rPr>
          <w:rFonts w:ascii="Calibri" w:hAnsi="Calibri" w:eastAsia="Calibri"/>
          <w:b/>
          <w:i w:val="0"/>
          <w:color w:val="2F5597"/>
          <w:sz w:val="26"/>
        </w:rPr>
        <w:t>5.9 Process integration discussion</w:t>
      </w:r>
    </w:p>
    <w:p>
      <w:pPr>
        <w:widowControl/>
        <w:spacing w:line="269" w:lineRule="auto" w:after="120"/>
      </w:pPr>
      <w:r>
        <w:rPr>
          <w:rFonts w:ascii="Calibri" w:hAnsi="Calibri" w:eastAsia="Calibri"/>
          <w:b w:val="0"/>
          <w:i w:val="0"/>
          <w:color w:val="24282C"/>
          <w:sz w:val="20"/>
        </w:rPr>
        <w:t>The process succeeds only when the material destinations remain linked. More protein may increase feed carbon but raises ammonia-recovery duty. More manure may bring a gate fee but overload B3 salts and B4 nitrogen. More bauxite residue increases treatment value but also increases abrasion, separator load and product-qualification responsibility. More steam protects B6 catalyst but increases firing and separation. These are not late contradictions; they are the normal variables used to select the feed recipe and operating point.</w:t>
      </w:r>
    </w:p>
    <w:p>
      <w:pPr>
        <w:widowControl/>
        <w:spacing w:line="269" w:lineRule="auto" w:after="120"/>
      </w:pPr>
      <w:r>
        <w:rPr>
          <w:rFonts w:ascii="Calibri" w:hAnsi="Calibri" w:eastAsia="Calibri"/>
          <w:b w:val="0"/>
          <w:i w:val="0"/>
          <w:color w:val="24282C"/>
          <w:sz w:val="20"/>
        </w:rPr>
        <w:t>The revised architecture makes these choices visible. B3 salt withdrawal is desired and measured; B4 nitrogen recovery prevents valuable nitrogen from becoming recycle-water burden; B8 has a real product/retreatment split; B6 endotherm is in the energy balance; and B7 yield is not equated with laboratory selectivity. This is the process basis used for the balances that follow.</w:t>
      </w:r>
    </w:p>
    <w:p>
      <w:pPr>
        <w:pStyle w:val="Heading2"/>
        <w:keepNext/>
        <w:spacing w:before="240" w:after="100"/>
      </w:pPr>
      <w:r>
        <w:rPr>
          <w:rFonts w:ascii="Calibri" w:hAnsi="Calibri" w:eastAsia="Calibri"/>
          <w:b/>
          <w:i w:val="0"/>
          <w:color w:val="2F5597"/>
          <w:sz w:val="26"/>
        </w:rPr>
        <w:t>5.10 Operating windows, transitions and train management</w:t>
      </w:r>
    </w:p>
    <w:p>
      <w:pPr>
        <w:pStyle w:val="Heading3"/>
        <w:keepNext/>
        <w:spacing w:before="160" w:after="80"/>
      </w:pPr>
      <w:r>
        <w:rPr>
          <w:rFonts w:ascii="Calibri" w:hAnsi="Calibri" w:eastAsia="Calibri"/>
          <w:b/>
          <w:i w:val="0"/>
          <w:color w:val="40566C"/>
          <w:sz w:val="22"/>
        </w:rPr>
        <w:t>5.10.1 Start-up from water circulation</w:t>
      </w:r>
    </w:p>
    <w:p>
      <w:pPr>
        <w:widowControl/>
        <w:spacing w:line="269" w:lineRule="auto" w:after="120"/>
      </w:pPr>
      <w:r>
        <w:rPr>
          <w:rFonts w:ascii="Calibri" w:hAnsi="Calibri" w:eastAsia="Calibri"/>
          <w:b w:val="0"/>
          <w:i w:val="0"/>
          <w:color w:val="24282C"/>
          <w:sz w:val="20"/>
        </w:rPr>
        <w:t>A hydrothermal train starts on clean water. B1 establishes stable pump suction and discharge pressure, H-101 and the trim heater raise the circuit through the critical region, and B3 proves that both underflow and standby paths are available. Organic feed is introduced first at low carbon loading; bauxite residue and dry fibre follow only after wall temperature, pressure drop and gas composition stabilise. The train gas remains outside the common header until B4 water carryover, B5 inlet composition and sulfur are inside specification. This sequence prevents a cold salt separator, a wet gas header or an unproven analyser from becoming a common-mode event.</w:t>
      </w:r>
    </w:p>
    <w:p>
      <w:pPr>
        <w:pStyle w:val="Heading3"/>
        <w:keepNext/>
        <w:spacing w:before="160" w:after="80"/>
      </w:pPr>
      <w:r>
        <w:rPr>
          <w:rFonts w:ascii="Calibri" w:hAnsi="Calibri" w:eastAsia="Calibri"/>
          <w:b/>
          <w:i w:val="0"/>
          <w:color w:val="40566C"/>
          <w:sz w:val="22"/>
        </w:rPr>
        <w:t>5.10.2 Normal recipe movement</w:t>
      </w:r>
    </w:p>
    <w:p>
      <w:pPr>
        <w:widowControl/>
        <w:spacing w:line="269" w:lineRule="auto" w:after="120"/>
      </w:pPr>
      <w:r>
        <w:rPr>
          <w:rFonts w:ascii="Calibri" w:hAnsi="Calibri" w:eastAsia="Calibri"/>
          <w:b w:val="0"/>
          <w:i w:val="0"/>
          <w:color w:val="24282C"/>
          <w:sz w:val="20"/>
        </w:rPr>
        <w:t>Recipe changes are made in small mass increments at constant gross train flow. When douzha moisture rises, the controller first reduces trim water; only after that correction is exhausted does it adjust cassava, liquor or fibre. When carbon falls, a carbon-rich co-feed is added only if predicted solids, yield stress, nitrogen, ash and chloride remain inside their limits. The final blend tank provides enough averaging time for a complete batch certificate, so the reactor does not see alternating supplier slugs.</w:t>
      </w:r>
    </w:p>
    <w:p>
      <w:pPr>
        <w:keepNext/>
        <w:spacing w:before="60" w:after="60"/>
      </w:pPr>
      <w:r>
        <w:rPr>
          <w:rFonts w:ascii="Calibri" w:hAnsi="Calibri" w:eastAsia="Calibri"/>
          <w:b w:val="0"/>
          <w:i/>
          <w:color w:val="65717C"/>
          <w:sz w:val="17"/>
        </w:rPr>
        <w:t>Table 5.6 — Recipe and inventory changes follow a defined hierarchy.</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94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Change</w:t>
            </w:r>
          </w:p>
        </w:tc>
        <w:tc>
          <w:tcPr>
            <w:tcW w:type="dxa" w:w="28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First control action</w:t>
            </w:r>
          </w:p>
        </w:tc>
        <w:tc>
          <w:tcPr>
            <w:tcW w:type="dxa" w:w="295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Second action if limit remains</w:t>
            </w:r>
          </w:p>
        </w:tc>
        <w:tc>
          <w:tcPr>
            <w:tcW w:type="dxa" w:w="22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Do not do</w:t>
            </w:r>
          </w:p>
        </w:tc>
      </w:tr>
      <w:tr>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Douzha becomes wetter</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Reduce makeup/recycle-water addition</w:t>
            </w:r>
          </w:p>
        </w:tc>
        <w:tc>
          <w:tcPr>
            <w:tcW w:type="dxa" w:w="29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Increase qualified cassava/liquor within solids and N limits</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Raise gross flow above train hydraulic basis</w:t>
            </w:r>
          </w:p>
        </w:tc>
      </w:tr>
      <w:tr>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Slurry yield stress rises</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Reduce dry fibre or gelatinising starch; add water</w:t>
            </w:r>
          </w:p>
        </w:tc>
        <w:tc>
          <w:tcPr>
            <w:tcW w:type="dxa" w:w="29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Lower total solids and accept temporary product loss</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Force the batch through HP checks</w:t>
            </w:r>
          </w:p>
        </w:tc>
      </w:tr>
      <w:tr>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Feed carbon falls</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Add measured carbohydrate residue</w:t>
            </w:r>
          </w:p>
        </w:tc>
        <w:tc>
          <w:tcPr>
            <w:tcW w:type="dxa" w:w="29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Reduce dilution or move toward B2 envelope after release</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Assume wet tonnes equal carbon</w:t>
            </w:r>
          </w:p>
        </w:tc>
      </w:tr>
      <w:tr>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Nitrogen approaches B4 limit</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Reduce protein/manure dose</w:t>
            </w:r>
          </w:p>
        </w:tc>
        <w:tc>
          <w:tcPr>
            <w:tcW w:type="dxa" w:w="29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Increase segregated ammonia-recovery operation</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Recycle ammoniacal water indefinitely</w:t>
            </w:r>
          </w:p>
        </w:tc>
      </w:tr>
      <w:tr>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B3 salt load rises</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Reduce high-ion feed and increase controlled withdrawal</w:t>
            </w:r>
          </w:p>
        </w:tc>
        <w:tc>
          <w:tcPr>
            <w:tcW w:type="dxa" w:w="29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Switch separator and shorten campaign</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Cool salt-bearing fluid upstream of B3</w:t>
            </w:r>
          </w:p>
        </w:tc>
      </w:tr>
      <w:tr>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Chloride inventory rises</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Stop high-Cl supplier and increase purge</w:t>
            </w:r>
          </w:p>
        </w:tc>
        <w:tc>
          <w:tcPr>
            <w:tcW w:type="dxa" w:w="29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Prewash residue; lower recycle; external purge treatment</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Use conductivity alone as chloride proof</w:t>
            </w:r>
          </w:p>
        </w:tc>
      </w:tr>
    </w:tbl>
    <w:p>
      <w:pPr>
        <w:spacing w:after="20"/>
      </w:pPr>
    </w:p>
    <w:p>
      <w:pPr>
        <w:pStyle w:val="Heading3"/>
        <w:keepNext/>
        <w:spacing w:before="160" w:after="80"/>
      </w:pPr>
      <w:r>
        <w:rPr>
          <w:rFonts w:ascii="Calibri" w:hAnsi="Calibri" w:eastAsia="Calibri"/>
          <w:b/>
          <w:i w:val="0"/>
          <w:color w:val="40566C"/>
          <w:sz w:val="22"/>
        </w:rPr>
        <w:t>5.10.3 Separator switch and controlled recovery</w:t>
      </w:r>
    </w:p>
    <w:p>
      <w:pPr>
        <w:widowControl/>
        <w:spacing w:line="269" w:lineRule="auto" w:after="120"/>
      </w:pPr>
      <w:r>
        <w:rPr>
          <w:rFonts w:ascii="Calibri" w:hAnsi="Calibri" w:eastAsia="Calibri"/>
          <w:b w:val="0"/>
          <w:i w:val="0"/>
          <w:color w:val="24282C"/>
          <w:sz w:val="20"/>
        </w:rPr>
        <w:t>A rising B3 differential pressure initiates a staged response. Underflow is increased while interface and density are checked; if pressure does not recover, organic and mineral feed are reduced while water flow remains. The standby separator is heated and pressure-matched before the flow path changes. The fouled vessel is double-isolated, cooled and depressurised to its receiver, then flushed from the cleanest boundary toward the underflow. The recovered deposit is weighed and analysed. Restart requires baseline differential pressure and a confirmed open underflow—not simply completion of a timed wash.</w:t>
      </w:r>
    </w:p>
    <w:p>
      <w:pPr>
        <w:pStyle w:val="Heading3"/>
        <w:keepNext/>
        <w:spacing w:before="160" w:after="80"/>
      </w:pPr>
      <w:r>
        <w:rPr>
          <w:rFonts w:ascii="Calibri" w:hAnsi="Calibri" w:eastAsia="Calibri"/>
          <w:b/>
          <w:i w:val="0"/>
          <w:color w:val="40566C"/>
          <w:sz w:val="22"/>
        </w:rPr>
        <w:t>5.10.4 Planned and emergency shutdown</w:t>
      </w:r>
    </w:p>
    <w:p>
      <w:pPr>
        <w:widowControl/>
        <w:spacing w:line="269" w:lineRule="auto" w:after="120"/>
      </w:pPr>
      <w:r>
        <w:rPr>
          <w:rFonts w:ascii="Calibri" w:hAnsi="Calibri" w:eastAsia="Calibri"/>
          <w:b w:val="0"/>
          <w:i w:val="0"/>
          <w:color w:val="24282C"/>
          <w:sz w:val="20"/>
        </w:rPr>
        <w:t>A planned shutdown isolates B7 fresh syngas, maintains recycle for controlled catalyst cooling, retains steam through B6, then removes bauxite residue, fibre and wet organics from B1 in that order. Clean water continues until carbon, conductivity and suspended solids reach the cleaning endpoint. An emergency trip is faster but follows the same principle: remove reaction feed, remove heat, preserve a safe sweep path and depressurise into a contained system. The plant never attempts to save product by sending an unverified transient from one train into the common OXZEO loop.</w:t>
      </w:r>
    </w:p>
    <w:p>
      <w:pPr>
        <w:pStyle w:val="Heading3"/>
        <w:keepNext/>
        <w:spacing w:before="160" w:after="80"/>
      </w:pPr>
      <w:r>
        <w:rPr>
          <w:rFonts w:ascii="Calibri" w:hAnsi="Calibri" w:eastAsia="Calibri"/>
          <w:b/>
          <w:i w:val="0"/>
          <w:color w:val="40566C"/>
          <w:sz w:val="22"/>
        </w:rPr>
        <w:t>5.10.5 Ten-train availability model</w:t>
      </w:r>
    </w:p>
    <w:p>
      <w:pPr>
        <w:widowControl/>
        <w:spacing w:line="269" w:lineRule="auto" w:after="120"/>
      </w:pPr>
      <w:r>
        <w:rPr>
          <w:rFonts w:ascii="Calibri" w:hAnsi="Calibri" w:eastAsia="Calibri"/>
          <w:b w:val="0"/>
          <w:i w:val="0"/>
          <w:color w:val="24282C"/>
          <w:sz w:val="20"/>
        </w:rPr>
        <w:t>The shared back end is designed for ten-train flow and stable turndown with eight trains. If each hydrothermal module averages 90% availability and outages are not correlated, expected active capacity is approximately nine train equivalents. Correlation matters more than the simple average: a bad supplier lot, common recycle-water excursion or shared-control failure can remove several trains at once. Segregated feed tanks, source-traceable water and independent train permissives are therefore economic safeguards. The financial scenarios use 333 operating days for the plant; actual annual product must be calculated from active-train hours, not from calendar nameplate alone.</w:t>
      </w:r>
    </w:p>
    <w:p>
      <w:pPr>
        <w:pStyle w:val="Heading1"/>
        <w:keepNext/>
        <w:pageBreakBefore/>
        <w:spacing w:after="200"/>
      </w:pPr>
      <w:r>
        <w:rPr>
          <w:rFonts w:ascii="Calibri" w:hAnsi="Calibri" w:eastAsia="Calibri"/>
          <w:b/>
          <w:i w:val="0"/>
          <w:color w:val="17365D"/>
          <w:sz w:val="34"/>
        </w:rPr>
        <w:t>6. Closed mass, carbon and production balances</w:t>
      </w:r>
    </w:p>
    <w:p>
      <w:pPr>
        <w:pStyle w:val="Heading2"/>
        <w:keepNext/>
        <w:spacing w:before="240" w:after="100"/>
      </w:pPr>
      <w:r>
        <w:rPr>
          <w:rFonts w:ascii="Calibri" w:hAnsi="Calibri" w:eastAsia="Calibri"/>
          <w:b/>
          <w:i w:val="0"/>
          <w:color w:val="2F5597"/>
          <w:sz w:val="26"/>
        </w:rPr>
        <w:t>6.1 Balance method</w:t>
      </w:r>
    </w:p>
    <w:p>
      <w:pPr>
        <w:widowControl/>
        <w:spacing w:line="269" w:lineRule="auto" w:after="120"/>
      </w:pPr>
      <w:r>
        <w:rPr>
          <w:rFonts w:ascii="Calibri" w:hAnsi="Calibri" w:eastAsia="Calibri"/>
          <w:b w:val="0"/>
          <w:i w:val="0"/>
          <w:color w:val="24282C"/>
          <w:sz w:val="20"/>
        </w:rPr>
        <w:t>The balance is calculated on one 300 t/d B1 hydrothermal train and then multiplied by ten and 333 operating days. Internal water, CO2 and synthesis-gas recycles are shown where they size equipment but cancel at the battery limit. Because no measured gas analysis or dissolved-organic formula is yet available for the selected blend, the model uses reconciled pseudo-components. Total mass and carbon close exactly on the stated allocation; a rigorous hydrogen/oxygen/mineral-phase balance is reserved for measured data rather than closed by inventing molecular species.</w:t>
      </w:r>
    </w:p>
    <w:p>
      <w:pPr>
        <w:keepNext/>
        <w:spacing w:before="60" w:after="40"/>
        <w:jc w:val="center"/>
      </w:pPr>
      <w:r>
        <w:drawing>
          <wp:inline xmlns:a="http://schemas.openxmlformats.org/drawingml/2006/main" xmlns:pic="http://schemas.openxmlformats.org/drawingml/2006/picture">
            <wp:extent cx="6172200" cy="3394710"/>
            <wp:docPr id="3" name="Picture 3"/>
            <wp:cNvGraphicFramePr>
              <a:graphicFrameLocks noChangeAspect="1"/>
            </wp:cNvGraphicFramePr>
            <a:graphic>
              <a:graphicData uri="http://schemas.openxmlformats.org/drawingml/2006/picture">
                <pic:pic>
                  <pic:nvPicPr>
                    <pic:cNvPr id="0" name="mass_balance_v6.png"/>
                    <pic:cNvPicPr/>
                  </pic:nvPicPr>
                  <pic:blipFill>
                    <a:blip r:embed="rId13"/>
                    <a:stretch>
                      <a:fillRect/>
                    </a:stretch>
                  </pic:blipFill>
                  <pic:spPr>
                    <a:xfrm>
                      <a:off x="0" y="0"/>
                      <a:ext cx="6172200" cy="3394710"/>
                    </a:xfrm>
                    <a:prstGeom prst="rect"/>
                  </pic:spPr>
                </pic:pic>
              </a:graphicData>
            </a:graphic>
          </wp:inline>
        </w:drawing>
      </w:r>
    </w:p>
    <w:p>
      <w:pPr>
        <w:keepLines/>
        <w:spacing w:after="120"/>
        <w:jc w:val="center"/>
      </w:pPr>
      <w:r>
        <w:rPr>
          <w:rFonts w:ascii="Calibri" w:hAnsi="Calibri" w:eastAsia="Calibri"/>
          <w:b w:val="0"/>
          <w:i/>
          <w:color w:val="65717C"/>
          <w:sz w:val="17"/>
        </w:rPr>
        <w:t>Figure 6.1 — Corrected one-train battery-limit mass flow. The graphic shows one representative 300 t/d train; the commercial complex contains ten identical train envelopes.</w:t>
      </w:r>
    </w:p>
    <w:p>
      <w:pPr>
        <w:pStyle w:val="Heading2"/>
        <w:keepNext/>
        <w:spacing w:before="240" w:after="100"/>
      </w:pPr>
      <w:r>
        <w:rPr>
          <w:rFonts w:ascii="Calibri" w:hAnsi="Calibri" w:eastAsia="Calibri"/>
          <w:b/>
          <w:i w:val="0"/>
          <w:color w:val="2F5597"/>
          <w:sz w:val="26"/>
        </w:rPr>
        <w:t>6.2 One-train feed balance</w:t>
      </w:r>
    </w:p>
    <w:p>
      <w:pPr>
        <w:keepNext/>
        <w:spacing w:before="60" w:after="60"/>
      </w:pPr>
      <w:r>
        <w:rPr>
          <w:rFonts w:ascii="Calibri" w:hAnsi="Calibri" w:eastAsia="Calibri"/>
          <w:b w:val="0"/>
          <w:i/>
          <w:color w:val="65717C"/>
          <w:sz w:val="17"/>
        </w:rPr>
        <w:t>Table 6.1 — One-train B1 feed closure.</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266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Feed</w:t>
            </w:r>
          </w:p>
        </w:tc>
        <w:tc>
          <w:tcPr>
            <w:tcW w:type="dxa" w:w="165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As received t/d</w:t>
            </w:r>
          </w:p>
        </w:tc>
        <w:tc>
          <w:tcPr>
            <w:tcW w:type="dxa" w:w="165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Dry solids t/d</w:t>
            </w:r>
          </w:p>
        </w:tc>
        <w:tc>
          <w:tcPr>
            <w:tcW w:type="dxa" w:w="151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Water t/d</w:t>
            </w:r>
          </w:p>
        </w:tc>
        <w:tc>
          <w:tcPr>
            <w:tcW w:type="dxa" w:w="151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Carbon t/d</w:t>
            </w:r>
          </w:p>
        </w:tc>
      </w:tr>
      <w:tr>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Douzha</w:t>
            </w:r>
          </w:p>
        </w:tc>
        <w:tc>
          <w:tcPr>
            <w:tcW w:type="dxa" w:w="165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150.00</w:t>
            </w:r>
          </w:p>
        </w:tc>
        <w:tc>
          <w:tcPr>
            <w:tcW w:type="dxa" w:w="165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25.80</w:t>
            </w:r>
          </w:p>
        </w:tc>
        <w:tc>
          <w:tcPr>
            <w:tcW w:type="dxa" w:w="15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124.20</w:t>
            </w:r>
          </w:p>
        </w:tc>
        <w:tc>
          <w:tcPr>
            <w:tcW w:type="dxa" w:w="15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11.894</w:t>
            </w:r>
          </w:p>
        </w:tc>
      </w:tr>
      <w:tr>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Cassava cake</w:t>
            </w:r>
          </w:p>
        </w:tc>
        <w:tc>
          <w:tcPr>
            <w:tcW w:type="dxa" w:w="165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60.00</w:t>
            </w:r>
          </w:p>
        </w:tc>
        <w:tc>
          <w:tcPr>
            <w:tcW w:type="dxa" w:w="165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15.00</w:t>
            </w:r>
          </w:p>
        </w:tc>
        <w:tc>
          <w:tcPr>
            <w:tcW w:type="dxa" w:w="15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45.00</w:t>
            </w:r>
          </w:p>
        </w:tc>
        <w:tc>
          <w:tcPr>
            <w:tcW w:type="dxa" w:w="15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6.600</w:t>
            </w:r>
          </w:p>
        </w:tc>
      </w:tr>
      <w:tr>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Fruit and vegetable pulp</w:t>
            </w:r>
          </w:p>
        </w:tc>
        <w:tc>
          <w:tcPr>
            <w:tcW w:type="dxa" w:w="165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20.00</w:t>
            </w:r>
          </w:p>
        </w:tc>
        <w:tc>
          <w:tcPr>
            <w:tcW w:type="dxa" w:w="165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3.00</w:t>
            </w:r>
          </w:p>
        </w:tc>
        <w:tc>
          <w:tcPr>
            <w:tcW w:type="dxa" w:w="15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17.00</w:t>
            </w:r>
          </w:p>
        </w:tc>
        <w:tc>
          <w:tcPr>
            <w:tcW w:type="dxa" w:w="15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1.320</w:t>
            </w:r>
          </w:p>
        </w:tc>
      </w:tr>
      <w:tr>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Soluble organic liquor</w:t>
            </w:r>
          </w:p>
        </w:tc>
        <w:tc>
          <w:tcPr>
            <w:tcW w:type="dxa" w:w="165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10.00</w:t>
            </w:r>
          </w:p>
        </w:tc>
        <w:tc>
          <w:tcPr>
            <w:tcW w:type="dxa" w:w="165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0.80</w:t>
            </w:r>
          </w:p>
        </w:tc>
        <w:tc>
          <w:tcPr>
            <w:tcW w:type="dxa" w:w="15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9.20</w:t>
            </w:r>
          </w:p>
        </w:tc>
        <w:tc>
          <w:tcPr>
            <w:tcW w:type="dxa" w:w="15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0.336</w:t>
            </w:r>
          </w:p>
        </w:tc>
      </w:tr>
      <w:tr>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Soybean straw</w:t>
            </w:r>
          </w:p>
        </w:tc>
        <w:tc>
          <w:tcPr>
            <w:tcW w:type="dxa" w:w="165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12.00</w:t>
            </w:r>
          </w:p>
        </w:tc>
        <w:tc>
          <w:tcPr>
            <w:tcW w:type="dxa" w:w="165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10.80</w:t>
            </w:r>
          </w:p>
        </w:tc>
        <w:tc>
          <w:tcPr>
            <w:tcW w:type="dxa" w:w="15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1.20</w:t>
            </w:r>
          </w:p>
        </w:tc>
        <w:tc>
          <w:tcPr>
            <w:tcW w:type="dxa" w:w="15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5.797</w:t>
            </w:r>
          </w:p>
        </w:tc>
      </w:tr>
      <w:tr>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Bauxite residue</w:t>
            </w:r>
          </w:p>
        </w:tc>
        <w:tc>
          <w:tcPr>
            <w:tcW w:type="dxa" w:w="165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7.00</w:t>
            </w:r>
          </w:p>
        </w:tc>
        <w:tc>
          <w:tcPr>
            <w:tcW w:type="dxa" w:w="165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7.00</w:t>
            </w:r>
          </w:p>
        </w:tc>
        <w:tc>
          <w:tcPr>
            <w:tcW w:type="dxa" w:w="15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0.00</w:t>
            </w:r>
          </w:p>
        </w:tc>
        <w:tc>
          <w:tcPr>
            <w:tcW w:type="dxa" w:w="15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0.000</w:t>
            </w:r>
          </w:p>
        </w:tc>
      </w:tr>
      <w:tr>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Recycle or makeup water</w:t>
            </w:r>
          </w:p>
        </w:tc>
        <w:tc>
          <w:tcPr>
            <w:tcW w:type="dxa" w:w="165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41.00</w:t>
            </w:r>
          </w:p>
        </w:tc>
        <w:tc>
          <w:tcPr>
            <w:tcW w:type="dxa" w:w="165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0.00</w:t>
            </w:r>
          </w:p>
        </w:tc>
        <w:tc>
          <w:tcPr>
            <w:tcW w:type="dxa" w:w="15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41.00</w:t>
            </w:r>
          </w:p>
        </w:tc>
        <w:tc>
          <w:tcPr>
            <w:tcW w:type="dxa" w:w="15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0.000</w:t>
            </w:r>
          </w:p>
        </w:tc>
      </w:tr>
      <w:tr>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Total</w:t>
            </w:r>
          </w:p>
        </w:tc>
        <w:tc>
          <w:tcPr>
            <w:tcW w:type="dxa" w:w="165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300.00</w:t>
            </w:r>
          </w:p>
        </w:tc>
        <w:tc>
          <w:tcPr>
            <w:tcW w:type="dxa" w:w="165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62.40</w:t>
            </w:r>
          </w:p>
        </w:tc>
        <w:tc>
          <w:tcPr>
            <w:tcW w:type="dxa" w:w="15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237.60</w:t>
            </w:r>
          </w:p>
        </w:tc>
        <w:tc>
          <w:tcPr>
            <w:tcW w:type="dxa" w:w="15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25.947</w:t>
            </w:r>
          </w:p>
        </w:tc>
      </w:tr>
    </w:tbl>
    <w:p>
      <w:pPr>
        <w:spacing w:after="20"/>
      </w:pPr>
    </w:p>
    <w:p>
      <w:pPr>
        <w:widowControl/>
        <w:spacing w:line="269" w:lineRule="auto" w:after="120"/>
      </w:pPr>
      <w:r>
        <w:rPr>
          <w:rFonts w:ascii="Calibri" w:hAnsi="Calibri" w:eastAsia="Calibri"/>
          <w:b w:val="0"/>
          <w:i w:val="0"/>
          <w:color w:val="24282C"/>
          <w:sz w:val="20"/>
        </w:rPr>
        <w:t>Dry solids are 62.40/300 = 20.80 wt%. Organic dry matter is 53.253 t/d and ash/mineral is 9.147 t/d. Feed carbon is 25.947 t/d, or 8.649 wt% of gross slurry. The ten-train plant processes 207,792 t/y dry solids and 86,404 t/y carbon.</w:t>
      </w:r>
    </w:p>
    <w:p>
      <w:pPr>
        <w:pStyle w:val="Heading2"/>
        <w:keepNext/>
        <w:spacing w:before="240" w:after="100"/>
      </w:pPr>
      <w:r>
        <w:rPr>
          <w:rFonts w:ascii="Calibri" w:hAnsi="Calibri" w:eastAsia="Calibri"/>
          <w:b/>
          <w:i w:val="0"/>
          <w:color w:val="2F5597"/>
          <w:sz w:val="26"/>
        </w:rPr>
        <w:t>6.3 B1–B4 pseudo-component mass closure</w:t>
      </w:r>
    </w:p>
    <w:p>
      <w:pPr>
        <w:keepNext/>
        <w:spacing w:before="60" w:after="60"/>
      </w:pPr>
      <w:r>
        <w:rPr>
          <w:rFonts w:ascii="Calibri" w:hAnsi="Calibri" w:eastAsia="Calibri"/>
          <w:b w:val="0"/>
          <w:i/>
          <w:color w:val="65717C"/>
          <w:sz w:val="17"/>
        </w:rPr>
        <w:t>Table 6.2 — Reconciled one-train hydrothermal outlet balance.</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80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B4 outlet</w:t>
            </w:r>
          </w:p>
        </w:tc>
        <w:tc>
          <w:tcPr>
            <w:tcW w:type="dxa" w:w="165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Mass t/d per train</w:t>
            </w:r>
          </w:p>
        </w:tc>
        <w:tc>
          <w:tcPr>
            <w:tcW w:type="dxa" w:w="453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Pseudo-component detail</w:t>
            </w:r>
          </w:p>
        </w:tc>
        <w:tc>
          <w:tcPr>
            <w:tcW w:type="dxa" w:w="172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Balance role</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Raw gas to B5</w:t>
            </w:r>
          </w:p>
        </w:tc>
        <w:tc>
          <w:tcPr>
            <w:tcW w:type="dxa" w:w="165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55.80</w:t>
            </w:r>
          </w:p>
        </w:tc>
        <w:tc>
          <w:tcPr>
            <w:tcW w:type="dxa" w:w="453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17.12 CH4; 34.25 CO2; 2.73 CO; 1.50 H2; 0.20 acid/trace gas</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Contains 90% of feed carbon</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B3 concentrate</w:t>
            </w:r>
          </w:p>
        </w:tc>
        <w:tc>
          <w:tcPr>
            <w:tcW w:type="dxa" w:w="165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3.20</w:t>
            </w:r>
          </w:p>
        </w:tc>
        <w:tc>
          <w:tcPr>
            <w:tcW w:type="dxa" w:w="453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Soluble/precipitated Na/K/P/S/Cl-bearing salts and retained water</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Controlled salt product/purge</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B8 washed solids</w:t>
            </w:r>
          </w:p>
        </w:tc>
        <w:tc>
          <w:tcPr>
            <w:tcW w:type="dxa" w:w="165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7.25</w:t>
            </w:r>
          </w:p>
        </w:tc>
        <w:tc>
          <w:tcPr>
            <w:tcW w:type="dxa" w:w="453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5.95 mineral + 1.30 solid carbon</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Qualified residue or retreatment</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B4 aqueous stream</w:t>
            </w:r>
          </w:p>
        </w:tc>
        <w:tc>
          <w:tcPr>
            <w:tcW w:type="dxa" w:w="165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233.75</w:t>
            </w:r>
          </w:p>
        </w:tc>
        <w:tc>
          <w:tcPr>
            <w:tcW w:type="dxa" w:w="453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229.00 water; 2.15 NH3 equivalent; 1.30 dissolved organics; 1.30 remaining ions/solubles</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Nitrogen recovery, polishing, recycle and purge</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Total</w:t>
            </w:r>
          </w:p>
        </w:tc>
        <w:tc>
          <w:tcPr>
            <w:tcW w:type="dxa" w:w="165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300.00</w:t>
            </w:r>
          </w:p>
        </w:tc>
        <w:tc>
          <w:tcPr>
            <w:tcW w:type="dxa" w:w="453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Matches B1 input</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0.00 t/d mass imbalance</w:t>
            </w:r>
          </w:p>
        </w:tc>
      </w:tr>
    </w:tbl>
    <w:p>
      <w:pPr>
        <w:spacing w:after="20"/>
      </w:pPr>
    </w:p>
    <w:p>
      <w:pPr>
        <w:widowControl/>
        <w:spacing w:line="269" w:lineRule="auto" w:after="120"/>
      </w:pPr>
      <w:r>
        <w:rPr>
          <w:rFonts w:ascii="Calibri" w:hAnsi="Calibri" w:eastAsia="Calibri"/>
          <w:b w:val="0"/>
          <w:i w:val="0"/>
          <w:color w:val="24282C"/>
          <w:sz w:val="20"/>
        </w:rPr>
        <w:t>The gas split corresponds to 12.84 t C/d in methane, 9.34 t C/d in carbon dioxide and 1.17 t C/d in carbon monoxide. The remaining 2.60 t C/d is split equally between dissolved organic carbon and solid carbon. These values are plausible screening allocations, not predicted equilibrium composition. Their purpose is to size B5/B6 and make every lost carbon tonne visible. A pilot GC, total-organic-carbon analysis and dry-solid carbon assay must replace the allocation before FEED.</w:t>
      </w:r>
    </w:p>
    <w:p>
      <w:pPr>
        <w:pStyle w:val="Heading2"/>
        <w:keepNext/>
        <w:spacing w:before="240" w:after="100"/>
      </w:pPr>
      <w:r>
        <w:rPr>
          <w:rFonts w:ascii="Calibri" w:hAnsi="Calibri" w:eastAsia="Calibri"/>
          <w:b/>
          <w:i w:val="0"/>
          <w:color w:val="2F5597"/>
          <w:sz w:val="26"/>
        </w:rPr>
        <w:t>6.4 Carbon balance through B5–B7</w:t>
      </w:r>
    </w:p>
    <w:p>
      <w:pPr>
        <w:keepNext/>
        <w:spacing w:before="60" w:after="60"/>
      </w:pPr>
      <w:r>
        <w:rPr>
          <w:rFonts w:ascii="Calibri" w:hAnsi="Calibri" w:eastAsia="Calibri"/>
          <w:b w:val="0"/>
          <w:i/>
          <w:color w:val="65717C"/>
          <w:sz w:val="17"/>
        </w:rPr>
        <w:t>Table 6.3 — Carbon closure per train. The improved case changes downstream recovery, not the B1–B4 allocation.</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4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Carbon destination</w:t>
            </w:r>
          </w:p>
        </w:tc>
        <w:tc>
          <w:tcPr>
            <w:tcW w:type="dxa" w:w="208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Current 42% case t C/d</w:t>
            </w:r>
          </w:p>
        </w:tc>
        <w:tc>
          <w:tcPr>
            <w:tcW w:type="dxa" w:w="22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Improved 55% case t C/d</w:t>
            </w:r>
          </w:p>
        </w:tc>
        <w:tc>
          <w:tcPr>
            <w:tcW w:type="dxa" w:w="309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Interpretation</w:t>
            </w:r>
          </w:p>
        </w:tc>
      </w:tr>
      <w:tr>
        <w:tc>
          <w:tcPr>
            <w:tcW w:type="dxa" w:w="24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B4 aqueous organics</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1.297</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1.297</w:t>
            </w:r>
          </w:p>
        </w:tc>
        <w:tc>
          <w:tcPr>
            <w:tcW w:type="dxa" w:w="30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Upstream conversion loss; water-polishing load</w:t>
            </w:r>
          </w:p>
        </w:tc>
      </w:tr>
      <w:tr>
        <w:tc>
          <w:tcPr>
            <w:tcW w:type="dxa" w:w="244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B8 solid carbon</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1.297</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1.297</w:t>
            </w:r>
          </w:p>
        </w:tc>
        <w:tc>
          <w:tcPr>
            <w:tcW w:type="dxa" w:w="30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Char/coke allocation; affects residue quality</w:t>
            </w:r>
          </w:p>
        </w:tc>
      </w:tr>
      <w:tr>
        <w:tc>
          <w:tcPr>
            <w:tcW w:type="dxa" w:w="24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B5 CO2 rejection</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5.057</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5.057</w:t>
            </w:r>
          </w:p>
        </w:tc>
        <w:tc>
          <w:tcPr>
            <w:tcW w:type="dxa" w:w="30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CO2 not needed for B6 ratio control</w:t>
            </w:r>
          </w:p>
        </w:tc>
      </w:tr>
      <w:tr>
        <w:tc>
          <w:tcPr>
            <w:tcW w:type="dxa" w:w="244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Saleable C2–C4 olefins</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10.898</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14.271</w:t>
            </w:r>
          </w:p>
        </w:tc>
        <w:tc>
          <w:tcPr>
            <w:tcW w:type="dxa" w:w="30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Overall battery-limit carbon efficiency</w:t>
            </w:r>
          </w:p>
        </w:tc>
      </w:tr>
      <w:tr>
        <w:tc>
          <w:tcPr>
            <w:tcW w:type="dxa" w:w="24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B6/B7 CO2, methane and purge</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7.398</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4.024</w:t>
            </w:r>
          </w:p>
        </w:tc>
        <w:tc>
          <w:tcPr>
            <w:tcW w:type="dxa" w:w="30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Conversion/selectivity loss and inert control</w:t>
            </w:r>
          </w:p>
        </w:tc>
      </w:tr>
      <w:tr>
        <w:tc>
          <w:tcPr>
            <w:tcW w:type="dxa" w:w="244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Total feed carbon</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25.947</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25.947</w:t>
            </w:r>
          </w:p>
        </w:tc>
        <w:tc>
          <w:tcPr>
            <w:tcW w:type="dxa" w:w="30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100.00% closure</w:t>
            </w:r>
          </w:p>
        </w:tc>
      </w:tr>
    </w:tbl>
    <w:p>
      <w:pPr>
        <w:spacing w:after="20"/>
      </w:pPr>
    </w:p>
    <w:p>
      <w:pPr>
        <w:widowControl/>
        <w:spacing w:line="269" w:lineRule="auto" w:after="120"/>
      </w:pPr>
      <w:r>
        <w:rPr>
          <w:rFonts w:ascii="Calibri" w:hAnsi="Calibri" w:eastAsia="Calibri"/>
          <w:b w:val="0"/>
          <w:i w:val="0"/>
          <w:color w:val="24282C"/>
          <w:sz w:val="20"/>
        </w:rPr>
        <w:t>Olefin mass is calculated by dividing product carbon by an average carbon mass fraction of 0.857 for a C2–C4 mixture. The current case yields 12.72 t/d per train and 42.35 kt/y for ten trains. The improved case yields 16.65 t/d per train and 55.45 kt/y. The difference is 13,107 t/y of product without increasing gross slurry capacity, which explains why carbon efficiency is the most valuable technical lever after availability.</w:t>
      </w:r>
    </w:p>
    <w:p>
      <w:pPr>
        <w:pStyle w:val="Heading2"/>
        <w:keepNext/>
        <w:spacing w:before="240" w:after="100"/>
      </w:pPr>
      <w:r>
        <w:rPr>
          <w:rFonts w:ascii="Calibri" w:hAnsi="Calibri" w:eastAsia="Calibri"/>
          <w:b/>
          <w:i w:val="0"/>
          <w:color w:val="2F5597"/>
          <w:sz w:val="26"/>
        </w:rPr>
        <w:t>6.5 Feed-case product envelope</w:t>
      </w:r>
    </w:p>
    <w:p>
      <w:pPr>
        <w:keepNext/>
        <w:spacing w:before="60" w:after="60"/>
      </w:pPr>
      <w:r>
        <w:rPr>
          <w:rFonts w:ascii="Calibri" w:hAnsi="Calibri" w:eastAsia="Calibri"/>
          <w:b w:val="0"/>
          <w:i/>
          <w:color w:val="65717C"/>
          <w:sz w:val="17"/>
        </w:rPr>
        <w:t>Table 6.4 — Product capacity changes with carbon, but ash, nitrogen and rheology constrain the usable feed envelope.</w:t>
      </w:r>
    </w:p>
    <w:tbl>
      <w:tblPr>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266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Feed case</w:t>
            </w:r>
          </w:p>
        </w:tc>
        <w:tc>
          <w:tcPr>
            <w:tcW w:type="dxa" w:w="136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C t/d/train</w:t>
            </w:r>
          </w:p>
        </w:tc>
        <w:tc>
          <w:tcPr>
            <w:tcW w:type="dxa" w:w="180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Olefin at 42% kt/y</w:t>
            </w:r>
          </w:p>
        </w:tc>
        <w:tc>
          <w:tcPr>
            <w:tcW w:type="dxa" w:w="180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Olefin at 55% kt/y</w:t>
            </w:r>
          </w:p>
        </w:tc>
        <w:tc>
          <w:tcPr>
            <w:tcW w:type="dxa" w:w="93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Solids</w:t>
            </w:r>
          </w:p>
        </w:tc>
        <w:tc>
          <w:tcPr>
            <w:tcW w:type="dxa" w:w="86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C/N</w:t>
            </w:r>
          </w:p>
        </w:tc>
      </w:tr>
      <w:tr>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B0 douzha-rich control</w:t>
            </w:r>
          </w:p>
        </w:tc>
        <w:tc>
          <w:tcPr>
            <w:tcW w:type="dxa" w:w="13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23.688</w:t>
            </w:r>
          </w:p>
        </w:tc>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38.66</w:t>
            </w:r>
          </w:p>
        </w:tc>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50.62</w:t>
            </w:r>
          </w:p>
        </w:tc>
        <w:tc>
          <w:tcPr>
            <w:tcW w:type="dxa" w:w="93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19.07%</w:t>
            </w:r>
          </w:p>
        </w:tc>
        <w:tc>
          <w:tcPr>
            <w:tcW w:type="dxa" w:w="8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6.82</w:t>
            </w:r>
          </w:p>
        </w:tc>
      </w:tr>
      <w:tr>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B1 balanced regional design</w:t>
            </w:r>
          </w:p>
        </w:tc>
        <w:tc>
          <w:tcPr>
            <w:tcW w:type="dxa" w:w="13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25.947</w:t>
            </w:r>
          </w:p>
        </w:tc>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42.35</w:t>
            </w:r>
          </w:p>
        </w:tc>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55.45</w:t>
            </w:r>
          </w:p>
        </w:tc>
        <w:tc>
          <w:tcPr>
            <w:tcW w:type="dxa" w:w="93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20.80%</w:t>
            </w:r>
          </w:p>
        </w:tc>
        <w:tc>
          <w:tcPr>
            <w:tcW w:type="dxa" w:w="8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10.97</w:t>
            </w:r>
          </w:p>
        </w:tc>
      </w:tr>
      <w:tr>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B2 higher-carbon operating envelope</w:t>
            </w:r>
          </w:p>
        </w:tc>
        <w:tc>
          <w:tcPr>
            <w:tcW w:type="dxa" w:w="13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27.864</w:t>
            </w:r>
          </w:p>
        </w:tc>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45.47</w:t>
            </w:r>
          </w:p>
        </w:tc>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59.55</w:t>
            </w:r>
          </w:p>
        </w:tc>
        <w:tc>
          <w:tcPr>
            <w:tcW w:type="dxa" w:w="93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22.05%</w:t>
            </w:r>
          </w:p>
        </w:tc>
        <w:tc>
          <w:tcPr>
            <w:tcW w:type="dxa" w:w="8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17.74</w:t>
            </w:r>
          </w:p>
        </w:tc>
      </w:tr>
      <w:tr>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B3 manure qualification campaign</w:t>
            </w:r>
          </w:p>
        </w:tc>
        <w:tc>
          <w:tcPr>
            <w:tcW w:type="dxa" w:w="13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26.848</w:t>
            </w:r>
          </w:p>
        </w:tc>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43.82</w:t>
            </w:r>
          </w:p>
        </w:tc>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57.38</w:t>
            </w:r>
          </w:p>
        </w:tc>
        <w:tc>
          <w:tcPr>
            <w:tcW w:type="dxa" w:w="93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21.89%</w:t>
            </w:r>
          </w:p>
        </w:tc>
        <w:tc>
          <w:tcPr>
            <w:tcW w:type="dxa" w:w="8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13.90</w:t>
            </w:r>
          </w:p>
        </w:tc>
      </w:tr>
    </w:tbl>
    <w:p>
      <w:pPr>
        <w:spacing w:after="20"/>
      </w:pPr>
    </w:p>
    <w:p>
      <w:pPr>
        <w:widowControl/>
        <w:spacing w:line="269" w:lineRule="auto" w:after="120"/>
      </w:pPr>
      <w:r>
        <w:rPr>
          <w:rFonts w:ascii="Calibri" w:hAnsi="Calibri" w:eastAsia="Calibri"/>
          <w:b w:val="0"/>
          <w:i w:val="0"/>
          <w:color w:val="24282C"/>
          <w:sz w:val="20"/>
        </w:rPr>
        <w:t>The higher-carbon B2 envelope produces more olefin on paper, but it is not selected as the immediate base because its 22.05 wt% solids leave little margin for supplier variability. B1 retains douzha as the largest component and leaves hydraulic room while still improving carbon and C/N. Manure does not maximise product; its value depends on a gate fee that compensates for additional ash, nitrogen, phosphate and chloride duty.</w:t>
      </w:r>
    </w:p>
    <w:p>
      <w:pPr>
        <w:pStyle w:val="Heading2"/>
        <w:keepNext/>
        <w:spacing w:before="240" w:after="100"/>
      </w:pPr>
      <w:r>
        <w:rPr>
          <w:rFonts w:ascii="Calibri" w:hAnsi="Calibri" w:eastAsia="Calibri"/>
          <w:b/>
          <w:i w:val="0"/>
          <w:color w:val="2F5597"/>
          <w:sz w:val="26"/>
        </w:rPr>
        <w:t>6.6 Nitrogen, sulfur and mineral closure</w:t>
      </w:r>
    </w:p>
    <w:p>
      <w:pPr>
        <w:widowControl/>
        <w:spacing w:line="269" w:lineRule="auto" w:after="120"/>
      </w:pPr>
      <w:r>
        <w:rPr>
          <w:rFonts w:ascii="Calibri" w:hAnsi="Calibri" w:eastAsia="Calibri"/>
          <w:b w:val="0"/>
          <w:i w:val="0"/>
          <w:color w:val="24282C"/>
          <w:sz w:val="20"/>
        </w:rPr>
        <w:t>The calculated B1 nitrogen input is 2.365 t N/d per train. A 75% recovery target assigns 1.774 t N/d to ammonia recovery and 0.591 t N/d to residual aqueous/trace nitrogen. Sulfur is not calculated from a generic recipe because supplier values are highly variable; the feed-release and B5 design require measured total sulfur and speciation. Sodium, potassium, phosphorus and chloride similarly close by measured B3 concentrate, B4 purge and B8 wash inventories rather than by assuming a saleable fertilizer formula.</w:t>
      </w:r>
    </w:p>
    <w:p>
      <w:pPr>
        <w:keepNext/>
        <w:spacing w:before="60" w:after="60"/>
      </w:pPr>
      <w:r>
        <w:rPr>
          <w:rFonts w:ascii="Calibri" w:hAnsi="Calibri" w:eastAsia="Calibri"/>
          <w:b w:val="0"/>
          <w:i/>
          <w:color w:val="65717C"/>
          <w:sz w:val="17"/>
        </w:rPr>
        <w:t>Table 6.5 — A closed process requires a measured destination for every conservative species.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87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Conservative element</w:t>
            </w:r>
          </w:p>
        </w:tc>
        <w:tc>
          <w:tcPr>
            <w:tcW w:type="dxa" w:w="316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Principal exit</w:t>
            </w:r>
          </w:p>
        </w:tc>
        <w:tc>
          <w:tcPr>
            <w:tcW w:type="dxa" w:w="302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Secondary exit</w:t>
            </w:r>
          </w:p>
        </w:tc>
        <w:tc>
          <w:tcPr>
            <w:tcW w:type="dxa" w:w="22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Required closure measurement</w:t>
            </w:r>
          </w:p>
        </w:tc>
      </w:tr>
      <w:tr>
        <w:tc>
          <w:tcPr>
            <w:tcW w:type="dxa" w:w="187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Nitrogen</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B4 recovered ammonia/ammonium sulfate</w:t>
            </w:r>
          </w:p>
        </w:tc>
        <w:tc>
          <w:tcPr>
            <w:tcW w:type="dxa" w:w="30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Residual water, N2/trace gas, B3 concentrate</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TKN, NH3/NH4+, nitrate/nitrite, gas N species</w:t>
            </w:r>
          </w:p>
        </w:tc>
      </w:tr>
      <w:tr>
        <w:tc>
          <w:tcPr>
            <w:tcW w:type="dxa" w:w="187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Sulfur</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B5 sulfur recovery</w:t>
            </w:r>
          </w:p>
        </w:tc>
        <w:tc>
          <w:tcPr>
            <w:tcW w:type="dxa" w:w="30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B3 aqueous/solid salts and B4 purge</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Total S, sulfide, sulfate, H2S, COS</w:t>
            </w:r>
          </w:p>
        </w:tc>
      </w:tr>
      <w:tr>
        <w:tc>
          <w:tcPr>
            <w:tcW w:type="dxa" w:w="187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Sodium / potassium</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B3 concentrate</w:t>
            </w:r>
          </w:p>
        </w:tc>
        <w:tc>
          <w:tcPr>
            <w:tcW w:type="dxa" w:w="30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B4 purge and B8 wash/solids</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ICP/IC mass balance and leachable alkali</w:t>
            </w:r>
          </w:p>
        </w:tc>
      </w:tr>
      <w:tr>
        <w:tc>
          <w:tcPr>
            <w:tcW w:type="dxa" w:w="187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Chloride</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B4 controlled purge</w:t>
            </w:r>
          </w:p>
        </w:tc>
        <w:tc>
          <w:tcPr>
            <w:tcW w:type="dxa" w:w="30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B3 concentrate and B8 wash/solids</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Ion chromatography at every recycle boundary</w:t>
            </w:r>
          </w:p>
        </w:tc>
      </w:tr>
      <w:tr>
        <w:tc>
          <w:tcPr>
            <w:tcW w:type="dxa" w:w="187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Iron / Al / Ti / Si</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B8 qualified mineral stream</w:t>
            </w:r>
          </w:p>
        </w:tc>
        <w:tc>
          <w:tcPr>
            <w:tcW w:type="dxa" w:w="30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B3 fines or permitted purge</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XRF/XRD, magnetic yield and leachability</w:t>
            </w:r>
          </w:p>
        </w:tc>
      </w:tr>
    </w:tbl>
    <w:p>
      <w:pPr>
        <w:spacing w:after="20"/>
      </w:pPr>
    </w:p>
    <w:p>
      <w:pPr>
        <w:pStyle w:val="Heading2"/>
        <w:keepNext/>
        <w:spacing w:before="240" w:after="100"/>
      </w:pPr>
      <w:r>
        <w:rPr>
          <w:rFonts w:ascii="Calibri" w:hAnsi="Calibri" w:eastAsia="Calibri"/>
          <w:b/>
          <w:i w:val="0"/>
          <w:color w:val="2F5597"/>
          <w:sz w:val="26"/>
        </w:rPr>
        <w:t>6.7 Annual ten-train battery limits</w:t>
      </w:r>
    </w:p>
    <w:p>
      <w:pPr>
        <w:keepNext/>
        <w:spacing w:before="60" w:after="60"/>
      </w:pPr>
      <w:r>
        <w:rPr>
          <w:rFonts w:ascii="Calibri" w:hAnsi="Calibri" w:eastAsia="Calibri"/>
          <w:b w:val="0"/>
          <w:i/>
          <w:color w:val="65717C"/>
          <w:sz w:val="17"/>
        </w:rPr>
        <w:t>Table 6.6 — Commercial feed requirement for supplier contracting.</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460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6"/>
              </w:rPr>
              <w:t>Battery-limit input</w:t>
            </w:r>
          </w:p>
        </w:tc>
        <w:tc>
          <w:tcPr>
            <w:tcW w:type="dxa" w:w="230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6"/>
              </w:rPr>
              <w:t>t/d complex</w:t>
            </w:r>
          </w:p>
        </w:tc>
        <w:tc>
          <w:tcPr>
            <w:tcW w:type="dxa" w:w="230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6"/>
              </w:rPr>
              <w:t>t/y at 333 d</w:t>
            </w:r>
          </w:p>
        </w:tc>
      </w:tr>
      <w:tr>
        <w:tc>
          <w:tcPr>
            <w:tcW w:type="dxa" w:w="46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Douzha</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1,500</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499,500</w:t>
            </w:r>
          </w:p>
        </w:tc>
      </w:tr>
      <w:tr>
        <w:tc>
          <w:tcPr>
            <w:tcW w:type="dxa" w:w="46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Cassava cake</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600</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199,800</w:t>
            </w:r>
          </w:p>
        </w:tc>
      </w:tr>
      <w:tr>
        <w:tc>
          <w:tcPr>
            <w:tcW w:type="dxa" w:w="46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Fruit and vegetable pulp</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200</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66,600</w:t>
            </w:r>
          </w:p>
        </w:tc>
      </w:tr>
      <w:tr>
        <w:tc>
          <w:tcPr>
            <w:tcW w:type="dxa" w:w="46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Soluble organic liquor</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100</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33,300</w:t>
            </w:r>
          </w:p>
        </w:tc>
      </w:tr>
      <w:tr>
        <w:tc>
          <w:tcPr>
            <w:tcW w:type="dxa" w:w="46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Soybean straw</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120</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39,960</w:t>
            </w:r>
          </w:p>
        </w:tc>
      </w:tr>
      <w:tr>
        <w:tc>
          <w:tcPr>
            <w:tcW w:type="dxa" w:w="46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Bauxite residue</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70</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23,310</w:t>
            </w:r>
          </w:p>
        </w:tc>
      </w:tr>
      <w:tr>
        <w:tc>
          <w:tcPr>
            <w:tcW w:type="dxa" w:w="46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Recycle or makeup water</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410</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136,530</w:t>
            </w:r>
          </w:p>
        </w:tc>
      </w:tr>
      <w:tr>
        <w:tc>
          <w:tcPr>
            <w:tcW w:type="dxa" w:w="46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Total gross slurry</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3,000</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999,000</w:t>
            </w:r>
          </w:p>
        </w:tc>
      </w:tr>
    </w:tbl>
    <w:p>
      <w:pPr>
        <w:spacing w:after="20"/>
      </w:pPr>
    </w:p>
    <w:p>
      <w:pPr>
        <w:keepNext/>
        <w:spacing w:before="60" w:after="60"/>
      </w:pPr>
      <w:r>
        <w:rPr>
          <w:rFonts w:ascii="Calibri" w:hAnsi="Calibri" w:eastAsia="Calibri"/>
          <w:b w:val="0"/>
          <w:i/>
          <w:color w:val="65717C"/>
          <w:sz w:val="17"/>
        </w:rPr>
        <w:t>Table 6.7 — Annual B1–B4 output closure before internal water recycle.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460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6"/>
              </w:rPr>
              <w:t>Hydrothermal outlet</w:t>
            </w:r>
          </w:p>
        </w:tc>
        <w:tc>
          <w:tcPr>
            <w:tcW w:type="dxa" w:w="230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6"/>
              </w:rPr>
              <w:t>t/d complex</w:t>
            </w:r>
          </w:p>
        </w:tc>
        <w:tc>
          <w:tcPr>
            <w:tcW w:type="dxa" w:w="230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6"/>
              </w:rPr>
              <w:t>t/y</w:t>
            </w:r>
          </w:p>
        </w:tc>
      </w:tr>
      <w:tr>
        <w:tc>
          <w:tcPr>
            <w:tcW w:type="dxa" w:w="46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Raw gas to shared B5</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558.0</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185,814</w:t>
            </w:r>
          </w:p>
        </w:tc>
      </w:tr>
      <w:tr>
        <w:tc>
          <w:tcPr>
            <w:tcW w:type="dxa" w:w="46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B3 concentrate</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32.0</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10,656</w:t>
            </w:r>
          </w:p>
        </w:tc>
      </w:tr>
      <w:tr>
        <w:tc>
          <w:tcPr>
            <w:tcW w:type="dxa" w:w="46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B8 washed solids</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72.5</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24,142</w:t>
            </w:r>
          </w:p>
        </w:tc>
      </w:tr>
      <w:tr>
        <w:tc>
          <w:tcPr>
            <w:tcW w:type="dxa" w:w="46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B4 aqueous stream</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2,337.5</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778,388</w:t>
            </w:r>
          </w:p>
        </w:tc>
      </w:tr>
      <w:tr>
        <w:tc>
          <w:tcPr>
            <w:tcW w:type="dxa" w:w="46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Total</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3,000.0</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999,000</w:t>
            </w:r>
          </w:p>
        </w:tc>
      </w:tr>
    </w:tbl>
    <w:p>
      <w:pPr>
        <w:spacing w:after="20"/>
      </w:pPr>
    </w:p>
    <w:tbl>
      <w:tblPr>
        <w:tblW w:type="auto" w:w="0"/>
        <w:jc w:val="center"/>
        <w:tblLook w:firstColumn="1" w:firstRow="1" w:lastColumn="0" w:lastRow="0" w:noHBand="0" w:noVBand="1" w:val="04A0"/>
      </w:tblPr>
      <w:tblGrid>
        <w:gridCol w:w="9878"/>
      </w:tblGrid>
      <w:tr>
        <w:tc>
          <w:tcPr>
            <w:tcW w:type="dxa" w:w="9878"/>
            <w:shd w:fill="FFF4D8"/>
            <w:tcMar>
              <w:top w:w="130" w:type="dxa"/>
              <w:start w:w="150" w:type="dxa"/>
              <w:bottom w:w="130" w:type="dxa"/>
              <w:end w:w="150" w:type="dxa"/>
            </w:tcMar>
          </w:tcPr>
          <w:p>
            <w:pPr>
              <w:spacing w:line="259" w:lineRule="auto" w:after="0"/>
            </w:pPr>
            <w:r>
              <w:rPr>
                <w:rFonts w:ascii="Calibri" w:hAnsi="Calibri" w:eastAsia="Calibri"/>
                <w:b/>
                <w:i w:val="0"/>
                <w:color w:val="B1842F"/>
                <w:sz w:val="20"/>
              </w:rPr>
              <w:t xml:space="preserve">BALANCE LIMITATION: </w:t>
            </w:r>
            <w:r>
              <w:rPr>
                <w:rFonts w:ascii="Calibri" w:hAnsi="Calibri" w:eastAsia="Calibri"/>
                <w:b w:val="0"/>
                <w:i w:val="0"/>
                <w:color w:val="24282C"/>
                <w:sz w:val="20"/>
              </w:rPr>
              <w:t>The mass and carbon arithmetic is closed and reproducible. Molecular hydrogen/oxygen closure, mixed-salt phase equilibrium and real-gas reformer/OXZEO recycle require measured pilot composition and a validated property package before equipment guarantees.</w:t>
            </w:r>
          </w:p>
        </w:tc>
      </w:tr>
    </w:tbl>
    <w:p>
      <w:pPr>
        <w:spacing w:after="20"/>
      </w:pPr>
    </w:p>
    <w:p>
      <w:pPr>
        <w:pStyle w:val="Heading2"/>
        <w:keepNext/>
        <w:spacing w:before="240" w:after="100"/>
      </w:pPr>
      <w:r>
        <w:rPr>
          <w:rFonts w:ascii="Calibri" w:hAnsi="Calibri" w:eastAsia="Calibri"/>
          <w:b/>
          <w:i w:val="0"/>
          <w:color w:val="2F5597"/>
          <w:sz w:val="26"/>
        </w:rPr>
        <w:t>6.8 Principal process stream table</w:t>
      </w:r>
    </w:p>
    <w:p>
      <w:pPr>
        <w:keepNext/>
        <w:spacing w:before="60" w:after="60"/>
      </w:pPr>
      <w:r>
        <w:rPr>
          <w:rFonts w:ascii="Calibri" w:hAnsi="Calibri" w:eastAsia="Calibri"/>
          <w:b w:val="0"/>
          <w:i/>
          <w:color w:val="65717C"/>
          <w:sz w:val="17"/>
        </w:rPr>
        <w:t>Table 6.8 — Principal process streams. 'Measured' identifies flows that require the rigorous gas/recycle simulation.</w:t>
      </w:r>
    </w:p>
    <w:tbl>
      <w:tblPr>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79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ID</w:t>
            </w:r>
          </w:p>
        </w:tc>
        <w:tc>
          <w:tcPr>
            <w:tcW w:type="dxa" w:w="194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Description</w:t>
            </w:r>
          </w:p>
        </w:tc>
        <w:tc>
          <w:tcPr>
            <w:tcW w:type="dxa" w:w="172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Flow basis</w:t>
            </w:r>
          </w:p>
        </w:tc>
        <w:tc>
          <w:tcPr>
            <w:tcW w:type="dxa" w:w="10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T °C</w:t>
            </w:r>
          </w:p>
        </w:tc>
        <w:tc>
          <w:tcPr>
            <w:tcW w:type="dxa" w:w="100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P MPa</w:t>
            </w:r>
          </w:p>
        </w:tc>
        <w:tc>
          <w:tcPr>
            <w:tcW w:type="dxa" w:w="324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Principal contents / sizing note</w:t>
            </w:r>
          </w:p>
        </w:tc>
      </w:tr>
      <w:tr>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S-101</w:t>
            </w:r>
          </w:p>
        </w:tc>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B1 final slurry, one train</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300.00 t/d</w:t>
            </w:r>
          </w:p>
        </w:tc>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25–45</w:t>
            </w:r>
          </w:p>
        </w:tc>
        <w:tc>
          <w:tcPr>
            <w:tcW w:type="dxa" w:w="10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0.1</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20.8 wt% solids; 25.947 t C/d; batch released</w:t>
            </w:r>
          </w:p>
        </w:tc>
      </w:tr>
      <w:tr>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S-102</w:t>
            </w:r>
          </w:p>
        </w:tc>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HP slurry to H-101</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300.00 t/d</w:t>
            </w:r>
          </w:p>
        </w:tc>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30–50</w:t>
            </w:r>
          </w:p>
        </w:tc>
        <w:tc>
          <w:tcPr>
            <w:tcW w:type="dxa" w:w="10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25.0</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Positive-displacement pump; water displacement available</w:t>
            </w:r>
          </w:p>
        </w:tc>
      </w:tr>
      <w:tr>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S-201</w:t>
            </w:r>
          </w:p>
        </w:tc>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B2 reactor outlet</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300.00 t/d</w:t>
            </w:r>
          </w:p>
        </w:tc>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625</w:t>
            </w:r>
          </w:p>
        </w:tc>
        <w:tc>
          <w:tcPr>
            <w:tcW w:type="dxa" w:w="10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25.0</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Supercritical fluid, gas, mineral and precipitating salts</w:t>
            </w:r>
          </w:p>
        </w:tc>
      </w:tr>
      <w:tr>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S-301U</w:t>
            </w:r>
          </w:p>
        </w:tc>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B3 salt underflow</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3.20 t/d product basis</w:t>
            </w:r>
          </w:p>
        </w:tc>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350–550</w:t>
            </w:r>
          </w:p>
        </w:tc>
        <w:tc>
          <w:tcPr>
            <w:tcW w:type="dxa" w:w="10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24–25</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Dense brine/crystals; actual internal slipstream larger before dewatering</w:t>
            </w:r>
          </w:p>
        </w:tc>
      </w:tr>
      <w:tr>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S-302</w:t>
            </w:r>
          </w:p>
        </w:tc>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Salt-depleted hot effluent</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~296.8 t/d</w:t>
            </w:r>
          </w:p>
        </w:tc>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550–620</w:t>
            </w:r>
          </w:p>
        </w:tc>
        <w:tc>
          <w:tcPr>
            <w:tcW w:type="dxa" w:w="10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24–25</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Feeds H-101; residual fines set exchanger cleaning duty</w:t>
            </w:r>
          </w:p>
        </w:tc>
      </w:tr>
      <w:tr>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S-401G</w:t>
            </w:r>
          </w:p>
        </w:tc>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B4 raw gas, one train</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55.80 t/d</w:t>
            </w:r>
          </w:p>
        </w:tc>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35–60</w:t>
            </w:r>
          </w:p>
        </w:tc>
        <w:tc>
          <w:tcPr>
            <w:tcW w:type="dxa" w:w="10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2.5–4.0</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CH4/CO2/CO/H2 plus acid-gas traces; no liquid carryover</w:t>
            </w:r>
          </w:p>
        </w:tc>
      </w:tr>
      <w:tr>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S-401W</w:t>
            </w:r>
          </w:p>
        </w:tc>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B4 aqueous stream</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233.75 t/d</w:t>
            </w:r>
          </w:p>
        </w:tc>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40–90</w:t>
            </w:r>
          </w:p>
        </w:tc>
        <w:tc>
          <w:tcPr>
            <w:tcW w:type="dxa" w:w="10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0.2–1.0</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Water, NH3/NH4+, DOC and ions; split to recovery/recycle/purge</w:t>
            </w:r>
          </w:p>
        </w:tc>
      </w:tr>
      <w:tr>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S-401S</w:t>
            </w:r>
          </w:p>
        </w:tc>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B4/B8 solids</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7.25 t/d</w:t>
            </w:r>
          </w:p>
        </w:tc>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40–90</w:t>
            </w:r>
          </w:p>
        </w:tc>
        <w:tc>
          <w:tcPr>
            <w:tcW w:type="dxa" w:w="10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0.1–0.5</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Mineral plus solid carbon; counter-current wash</w:t>
            </w:r>
          </w:p>
        </w:tc>
      </w:tr>
      <w:tr>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S-500</w:t>
            </w:r>
          </w:p>
        </w:tc>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Ten-train common raw gas</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558.0 t/d screen</w:t>
            </w:r>
          </w:p>
        </w:tc>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35–60</w:t>
            </w:r>
          </w:p>
        </w:tc>
        <w:tc>
          <w:tcPr>
            <w:tcW w:type="dxa" w:w="10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header</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Composition-weighted header; dirty trains blocked</w:t>
            </w:r>
          </w:p>
        </w:tc>
      </w:tr>
      <w:tr>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S-501</w:t>
            </w:r>
          </w:p>
        </w:tc>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B5 clean reformer feed</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Measured</w:t>
            </w:r>
          </w:p>
        </w:tc>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−30 to 40</w:t>
            </w:r>
          </w:p>
        </w:tc>
        <w:tc>
          <w:tcPr>
            <w:tcW w:type="dxa" w:w="10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2.8–3.5</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Sulfur &lt;0.1 ppmv screen; controlled water/methanol and CO2 split</w:t>
            </w:r>
          </w:p>
        </w:tc>
      </w:tr>
      <w:tr>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S-601</w:t>
            </w:r>
          </w:p>
        </w:tc>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B6 hot synthesis gas</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Measured</w:t>
            </w:r>
          </w:p>
        </w:tc>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~850</w:t>
            </w:r>
          </w:p>
        </w:tc>
        <w:tc>
          <w:tcPr>
            <w:tcW w:type="dxa" w:w="10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~2.8</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CO/H2 with CH4/CO2/steam slip; H2/CO trimmed for B7</w:t>
            </w:r>
          </w:p>
        </w:tc>
      </w:tr>
      <w:tr>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S-701</w:t>
            </w:r>
          </w:p>
        </w:tc>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B7 olefin products</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42.35–55.45 kt/y</w:t>
            </w:r>
          </w:p>
        </w:tc>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ambient after recovery</w:t>
            </w:r>
          </w:p>
        </w:tc>
        <w:tc>
          <w:tcPr>
            <w:tcW w:type="dxa" w:w="10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product</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Ethylene, propylene and C4 cut to buyer specification</w:t>
            </w:r>
          </w:p>
        </w:tc>
      </w:tr>
      <w:tr>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S-801</w:t>
            </w:r>
          </w:p>
        </w:tc>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Qualified washed residue</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Up to 72.5 t/d wet screen</w:t>
            </w:r>
          </w:p>
        </w:tc>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ambient</w:t>
            </w:r>
          </w:p>
        </w:tc>
        <w:tc>
          <w:tcPr>
            <w:tcW w:type="dxa" w:w="10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0.1</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Released by destination; off-specification fraction retreated</w:t>
            </w:r>
          </w:p>
        </w:tc>
      </w:tr>
    </w:tbl>
    <w:p>
      <w:pPr>
        <w:spacing w:after="20"/>
      </w:pPr>
    </w:p>
    <w:p>
      <w:pPr>
        <w:widowControl/>
        <w:spacing w:line="269" w:lineRule="auto" w:after="120"/>
      </w:pPr>
      <w:r>
        <w:rPr>
          <w:rFonts w:ascii="Calibri" w:hAnsi="Calibri" w:eastAsia="Calibri"/>
          <w:b w:val="0"/>
          <w:i w:val="0"/>
          <w:color w:val="24282C"/>
          <w:sz w:val="20"/>
        </w:rPr>
        <w:t>The stream table separates battery-limit values from internal hydraulic flows. B3 underflow, for example, carries additional hot water before cooling and dewatering even though the net concentrate product is 3.20 t/d per train. Similarly, B5/B6/B7 recycle may be several times fresh-gas flow and cannot be sized from product alone. This distinction prevents a closed mass balance from being misused as an equipment datasheet.</w:t>
      </w:r>
    </w:p>
    <w:p>
      <w:pPr>
        <w:pStyle w:val="Heading2"/>
        <w:keepNext/>
        <w:spacing w:before="240" w:after="100"/>
      </w:pPr>
      <w:r>
        <w:rPr>
          <w:rFonts w:ascii="Calibri" w:hAnsi="Calibri" w:eastAsia="Calibri"/>
          <w:b/>
          <w:i w:val="0"/>
          <w:color w:val="2F5597"/>
          <w:sz w:val="26"/>
        </w:rPr>
        <w:t>6.9 Reconciliation with the supplied industrial gasification and shift balances</w:t>
      </w:r>
    </w:p>
    <w:p>
      <w:pPr>
        <w:widowControl/>
        <w:spacing w:line="269" w:lineRule="auto" w:after="120"/>
      </w:pPr>
      <w:r>
        <w:rPr>
          <w:rFonts w:ascii="Calibri" w:hAnsi="Calibri" w:eastAsia="Calibri"/>
          <w:b w:val="0"/>
          <w:i w:val="0"/>
          <w:color w:val="24282C"/>
          <w:sz w:val="20"/>
        </w:rPr>
        <w:t>The supplied gasification and shift balances are accepted as authoritative plant documents. They describe oxygen-blown coal gasification near 6.5 MPa followed by water–gas shift, rather than 25 MPa SCWG, so their compositions are not copied into the proposed reactor. Their direct contribution is stronger: they define the level of stream closure, phase accounting and utility integration expected of the Towngas model. Each proposed stream must show wet and dry gas, condensed water, solids, unconverted carbon, sulfur and dissolved gases, rather than only a headline gas composition.</w:t>
      </w:r>
      <w:r>
        <w:rPr>
          <w:rFonts w:ascii="Calibri" w:hAnsi="Calibri" w:eastAsia="Calibri"/>
          <w:b w:val="0"/>
          <w:i w:val="0"/>
          <w:color w:val="2F5597"/>
          <w:sz w:val="15"/>
          <w:vertAlign w:val="superscript"/>
        </w:rPr>
        <w:t xml:space="preserve"> 37,38</w:t>
      </w:r>
    </w:p>
    <w:p>
      <w:pPr>
        <w:keepNext/>
        <w:spacing w:before="60" w:after="60"/>
      </w:pPr>
      <w:r>
        <w:rPr>
          <w:rFonts w:ascii="Calibri" w:hAnsi="Calibri" w:eastAsia="Calibri"/>
          <w:b w:val="0"/>
          <w:i/>
          <w:color w:val="65717C"/>
          <w:sz w:val="17"/>
        </w:rPr>
        <w:t>Table 6.9 — Authoritative reference-plant streams used to upgrade the Towngas balance format; values are not SCWG yield predictions.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44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Reference stream</w:t>
            </w:r>
          </w:p>
        </w:tc>
        <w:tc>
          <w:tcPr>
            <w:tcW w:type="dxa" w:w="208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Flow / condition</w:t>
            </w:r>
          </w:p>
        </w:tc>
        <w:tc>
          <w:tcPr>
            <w:tcW w:type="dxa" w:w="367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Principal measured composition</w:t>
            </w:r>
          </w:p>
        </w:tc>
        <w:tc>
          <w:tcPr>
            <w:tcW w:type="dxa" w:w="252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Towngas design consequence</w:t>
            </w:r>
          </w:p>
        </w:tc>
      </w:tr>
      <w:tr>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0706 gasifier raw gas</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81,915.74 Nm³/h wet; 1,380 °C; 6.5 MPa(g)</w:t>
            </w:r>
          </w:p>
        </w:tc>
        <w:tc>
          <w:tcPr>
            <w:tcW w:type="dxa" w:w="367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26.771% H₂; 32.819% CO; 16.172% CO₂; 23.810% H₂O; 0.265% H₂S; 4,249.68 kg/h ash; 918.70 kg/h residual C</w:t>
            </w:r>
          </w:p>
        </w:tc>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B2 balance must include wet gas plus entrained mineral and carbon</w:t>
            </w:r>
          </w:p>
        </w:tc>
      </w:tr>
      <w:tr>
        <w:tc>
          <w:tcPr>
            <w:tcW w:type="dxa" w:w="14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0709 wash-tower gas</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149,371.4 Nm³/h wet; 242 °C; 6.24 MPa</w:t>
            </w:r>
          </w:p>
        </w:tc>
        <w:tc>
          <w:tcPr>
            <w:tcW w:type="dxa" w:w="367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14.66% H₂; 17.97% CO; 8.82% CO₂; 58.33% H₂O; 0.13% H₂S</w:t>
            </w:r>
          </w:p>
        </w:tc>
        <w:tc>
          <w:tcPr>
            <w:tcW w:type="dxa" w:w="25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Cooling/washing changes water inventory and gas volumetric flow</w:t>
            </w:r>
          </w:p>
        </w:tc>
      </w:tr>
      <w:tr>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0710 black water</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34,214.6 kg/h; 249.54 °C; 6.46 MPa</w:t>
            </w:r>
          </w:p>
        </w:tc>
        <w:tc>
          <w:tcPr>
            <w:tcW w:type="dxa" w:w="367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33,868.5 kg/h water; 272.47 kg/h ash; 73.63 kg/h residual C; dissolved gas</w:t>
            </w:r>
          </w:p>
        </w:tc>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B4 requires a real high-pressure water/solid/dissolved-gas stream</w:t>
            </w:r>
          </w:p>
        </w:tc>
      </w:tr>
      <w:tr>
        <w:tc>
          <w:tcPr>
            <w:tcW w:type="dxa" w:w="14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Shift inlet</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298,742.8 Nm³/h wet; 240 °C; 6.20 MPa</w:t>
            </w:r>
          </w:p>
        </w:tc>
        <w:tc>
          <w:tcPr>
            <w:tcW w:type="dxa" w:w="367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17.97% CO; 14.66% H₂; 8.82% CO₂; 58.33% H₂O</w:t>
            </w:r>
          </w:p>
        </w:tc>
        <w:tc>
          <w:tcPr>
            <w:tcW w:type="dxa" w:w="25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Dry H₂/CO and water/gas ratio must be calculated separately</w:t>
            </w:r>
          </w:p>
        </w:tc>
      </w:tr>
      <w:tr>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Shift outlet</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148,684.0 Nm³/h wet; 40 °C; 5.60 MPa</w:t>
            </w:r>
          </w:p>
        </w:tc>
        <w:tc>
          <w:tcPr>
            <w:tcW w:type="dxa" w:w="367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19.73% CO; 45.80% H₂; 33.88% CO₂; 0.15% H₂O</w:t>
            </w:r>
          </w:p>
        </w:tc>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Ratio control and condensation are separate design functions</w:t>
            </w:r>
          </w:p>
        </w:tc>
      </w:tr>
      <w:tr>
        <w:tc>
          <w:tcPr>
            <w:tcW w:type="dxa" w:w="14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Shift condensates</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92,188.9 + 31,701.4 kg/h</w:t>
            </w:r>
          </w:p>
        </w:tc>
        <w:tc>
          <w:tcPr>
            <w:tcW w:type="dxa" w:w="367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Water with dissolved CO₂ and H₂S at two pressure/temperature levels</w:t>
            </w:r>
          </w:p>
        </w:tc>
        <w:tc>
          <w:tcPr>
            <w:tcW w:type="dxa" w:w="25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Heat, acid-gas and water recovery require explicit destinations</w:t>
            </w:r>
          </w:p>
        </w:tc>
      </w:tr>
    </w:tbl>
    <w:p>
      <w:pPr>
        <w:spacing w:after="20"/>
      </w:pPr>
    </w:p>
    <w:tbl>
      <w:tblPr>
        <w:tblW w:type="auto" w:w="0"/>
        <w:jc w:val="center"/>
        <w:tblLook w:firstColumn="1" w:firstRow="1" w:lastColumn="0" w:lastRow="0" w:noHBand="0" w:noVBand="1" w:val="04A0"/>
      </w:tblPr>
      <w:tblGrid>
        <w:gridCol w:w="9878"/>
      </w:tblGrid>
      <w:tr>
        <w:tc>
          <w:tcPr>
            <w:tcW w:type="dxa" w:w="9878"/>
            <w:shd w:fill="EAF3EC"/>
            <w:tcMar>
              <w:top w:w="130" w:type="dxa"/>
              <w:start w:w="150" w:type="dxa"/>
              <w:bottom w:w="130" w:type="dxa"/>
              <w:end w:w="150" w:type="dxa"/>
            </w:tcMar>
          </w:tcPr>
          <w:p>
            <w:pPr>
              <w:spacing w:line="259" w:lineRule="auto" w:after="0"/>
            </w:pPr>
            <w:r>
              <w:rPr>
                <w:rFonts w:ascii="Calibri" w:hAnsi="Calibri" w:eastAsia="Calibri"/>
                <w:b/>
                <w:i w:val="0"/>
                <w:color w:val="2F6B45"/>
                <w:sz w:val="20"/>
              </w:rPr>
              <w:t xml:space="preserve">RECONCILIATION RULE: </w:t>
            </w:r>
            <w:r>
              <w:rPr>
                <w:rFonts w:ascii="Calibri" w:hAnsi="Calibri" w:eastAsia="Calibri"/>
                <w:b w:val="0"/>
                <w:i w:val="0"/>
                <w:color w:val="24282C"/>
                <w:sz w:val="20"/>
              </w:rPr>
              <w:t>Use the supplied plant documents exactly for their stated process and battery limits. Transfer stream-accounting discipline, phase definitions and equipment implications; calculate proposed SCWG composition from the Towngas feed and validated SCWG data.</w:t>
            </w:r>
          </w:p>
        </w:tc>
      </w:tr>
    </w:tbl>
    <w:p>
      <w:pPr>
        <w:spacing w:after="20"/>
      </w:pPr>
    </w:p>
    <w:p>
      <w:pPr>
        <w:pStyle w:val="Heading1"/>
        <w:keepNext/>
        <w:pageBreakBefore/>
        <w:spacing w:after="200"/>
      </w:pPr>
      <w:r>
        <w:rPr>
          <w:rFonts w:ascii="Calibri" w:hAnsi="Calibri" w:eastAsia="Calibri"/>
          <w:b/>
          <w:i w:val="0"/>
          <w:color w:val="17365D"/>
          <w:sz w:val="34"/>
        </w:rPr>
        <w:t>7. Energy balance and heat recovery</w:t>
      </w:r>
    </w:p>
    <w:p>
      <w:pPr>
        <w:pStyle w:val="Heading2"/>
        <w:keepNext/>
        <w:spacing w:before="240" w:after="100"/>
      </w:pPr>
      <w:r>
        <w:rPr>
          <w:rFonts w:ascii="Calibri" w:hAnsi="Calibri" w:eastAsia="Calibri"/>
          <w:b/>
          <w:i w:val="0"/>
          <w:color w:val="2F5597"/>
          <w:sz w:val="26"/>
        </w:rPr>
        <w:t>7.1 Energy-accounting method</w:t>
      </w:r>
    </w:p>
    <w:p>
      <w:pPr>
        <w:widowControl/>
        <w:spacing w:line="269" w:lineRule="auto" w:after="120"/>
      </w:pPr>
      <w:r>
        <w:rPr>
          <w:rFonts w:ascii="Calibri" w:hAnsi="Calibri" w:eastAsia="Calibri"/>
          <w:b w:val="0"/>
          <w:i w:val="0"/>
          <w:color w:val="24282C"/>
          <w:sz w:val="20"/>
        </w:rPr>
        <w:t>The energy model separates gross process heat, internal sensible-heat recovery, purge-fuel credit and shaft work. This prevents the 600 °C feed temperature rise from being reported as purchased duty when most of it can be recovered from hot effluent. It also prevents an exothermic synthesis reactor from being used to conceal the high-temperature endotherm in B6. Values are stated per 300 t/d train equivalent so the ten-train calculation can be audited.</w:t>
      </w:r>
    </w:p>
    <w:p>
      <w:pPr>
        <w:keepNext/>
        <w:spacing w:before="60" w:after="40"/>
        <w:jc w:val="center"/>
      </w:pPr>
      <w:r>
        <w:drawing>
          <wp:inline xmlns:a="http://schemas.openxmlformats.org/drawingml/2006/main" xmlns:pic="http://schemas.openxmlformats.org/drawingml/2006/picture">
            <wp:extent cx="6172200" cy="3394710"/>
            <wp:docPr id="4" name="Picture 4"/>
            <wp:cNvGraphicFramePr>
              <a:graphicFrameLocks noChangeAspect="1"/>
            </wp:cNvGraphicFramePr>
            <a:graphic>
              <a:graphicData uri="http://schemas.openxmlformats.org/drawingml/2006/picture">
                <pic:pic>
                  <pic:nvPicPr>
                    <pic:cNvPr id="0" name="energy_integration_v6.png"/>
                    <pic:cNvPicPr/>
                  </pic:nvPicPr>
                  <pic:blipFill>
                    <a:blip r:embed="rId14"/>
                    <a:stretch>
                      <a:fillRect/>
                    </a:stretch>
                  </pic:blipFill>
                  <pic:spPr>
                    <a:xfrm>
                      <a:off x="0" y="0"/>
                      <a:ext cx="6172200" cy="3394710"/>
                    </a:xfrm>
                    <a:prstGeom prst="rect"/>
                  </pic:spPr>
                </pic:pic>
              </a:graphicData>
            </a:graphic>
          </wp:inline>
        </w:drawing>
      </w:r>
    </w:p>
    <w:p>
      <w:pPr>
        <w:keepLines/>
        <w:spacing w:after="120"/>
        <w:jc w:val="center"/>
      </w:pPr>
      <w:r>
        <w:rPr>
          <w:rFonts w:ascii="Calibri" w:hAnsi="Calibri" w:eastAsia="Calibri"/>
          <w:b w:val="0"/>
          <w:i/>
          <w:color w:val="65717C"/>
          <w:sz w:val="17"/>
        </w:rPr>
        <w:t>Figure 7.1 — Heat-integration target per train. Green streams are internal recovery or purge-fuel credit; purchased thermal and electrical energy remain after the cascade.</w:t>
      </w:r>
    </w:p>
    <w:p>
      <w:pPr>
        <w:pStyle w:val="Heading2"/>
        <w:keepNext/>
        <w:spacing w:before="240" w:after="100"/>
      </w:pPr>
      <w:r>
        <w:rPr>
          <w:rFonts w:ascii="Calibri" w:hAnsi="Calibri" w:eastAsia="Calibri"/>
          <w:b/>
          <w:i w:val="0"/>
          <w:color w:val="2F5597"/>
          <w:sz w:val="26"/>
        </w:rPr>
        <w:t>7.2 One-train energy duties</w:t>
      </w:r>
    </w:p>
    <w:p>
      <w:pPr>
        <w:keepNext/>
        <w:spacing w:before="60" w:after="60"/>
      </w:pPr>
      <w:r>
        <w:rPr>
          <w:rFonts w:ascii="Calibri" w:hAnsi="Calibri" w:eastAsia="Calibri"/>
          <w:b w:val="0"/>
          <w:i/>
          <w:color w:val="65717C"/>
          <w:sz w:val="17"/>
        </w:rPr>
        <w:t>Table 7.1 — Screening energy balance. Negative rows are internal recovery or internal fuel credit.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Duty / source</w:t>
            </w:r>
          </w:p>
        </w:tc>
        <w:tc>
          <w:tcPr>
            <w:tcW w:type="dxa" w:w="172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GJ/d per train</w:t>
            </w:r>
          </w:p>
        </w:tc>
        <w:tc>
          <w:tcPr>
            <w:tcW w:type="dxa" w:w="46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Calculation or interpretation</w:t>
            </w:r>
          </w:p>
        </w:tc>
      </w:tr>
      <w:tr>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Slurry sensible heating</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690</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300 t/d × effective mean Cp and 25→625 °C; includes high-pressure water property allowance</w:t>
            </w:r>
          </w:p>
        </w:tc>
      </w:tr>
      <w:tr>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SCWG net reaction + reactor loss</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55</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Screening endotherm/trim and external loss; replace with pilot enthalpy closure</w:t>
            </w:r>
          </w:p>
        </w:tc>
      </w:tr>
      <w:tr>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B6 reforming + furnace loss</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290</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Strongly endothermic bi-reforming with tube/furnace efficiency allowance</w:t>
            </w:r>
          </w:p>
        </w:tc>
      </w:tr>
      <w:tr>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B4/B5 regeneration heat</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25</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Ammonia recovery, methanol regeneration and low-pressure users</w:t>
            </w:r>
          </w:p>
        </w:tc>
      </w:tr>
      <w:tr>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Gross hot duty</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1,060</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Before internal heat recovery and purge-fuel credit</w:t>
            </w:r>
          </w:p>
        </w:tc>
      </w:tr>
      <w:tr>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H-101 feed–effluent recovery</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−555</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Salt-depleted B2 effluent to cold feed</w:t>
            </w:r>
          </w:p>
        </w:tc>
      </w:tr>
      <w:tr>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Reformer product / flue-gas recovery</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−150</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Steam generation and reformer-feed preheat</w:t>
            </w:r>
          </w:p>
        </w:tc>
      </w:tr>
      <w:tr>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OXZEO reaction recovery</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−45</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Boiling-water cooling / steam generation target</w:t>
            </w:r>
          </w:p>
        </w:tc>
      </w:tr>
      <w:tr>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Hot water and solids recovery</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−25</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Low-grade heat for B8 drying and B4 users</w:t>
            </w:r>
          </w:p>
        </w:tc>
      </w:tr>
      <w:tr>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Purge-fuel credit</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−60</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B7 purge/fuel gas to B6 furnace</w:t>
            </w:r>
          </w:p>
        </w:tc>
      </w:tr>
      <w:tr>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Net purchased thermal</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205</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Natural gas, steam or electrified high-temperature heat equivalent</w:t>
            </w:r>
          </w:p>
        </w:tc>
      </w:tr>
      <w:tr>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Shaft/electric work</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55</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HP pumping, compression, Rectisol refrigeration, water and auxiliaries</w:t>
            </w:r>
          </w:p>
        </w:tc>
      </w:tr>
      <w:tr>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Net purchased energy</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260</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Thermal plus electrical equivalent</w:t>
            </w:r>
          </w:p>
        </w:tc>
      </w:tr>
    </w:tbl>
    <w:p>
      <w:pPr>
        <w:spacing w:after="20"/>
      </w:pPr>
    </w:p>
    <w:p>
      <w:pPr>
        <w:widowControl/>
        <w:spacing w:line="269" w:lineRule="auto" w:after="120"/>
      </w:pPr>
      <w:r>
        <w:rPr>
          <w:rFonts w:ascii="Calibri" w:hAnsi="Calibri" w:eastAsia="Calibri"/>
          <w:b w:val="0"/>
          <w:i w:val="0"/>
          <w:color w:val="24282C"/>
          <w:sz w:val="20"/>
        </w:rPr>
        <w:t>Annual net purchased energy is 260 × 10 × 333 = 865,800 GJ/y. At 55,452 t/y product the intensity is 15.61 GJ/t olefin; at the current 42,345 t/y it rises to 20.45 GJ/t. On gross slurry the value is 0.867 GJ/t. Both bases are necessary: the slurry basis describes waste treatment, while the product basis describes competitiveness.</w:t>
      </w:r>
    </w:p>
    <w:p>
      <w:pPr>
        <w:pStyle w:val="Heading2"/>
        <w:keepNext/>
        <w:spacing w:before="240" w:after="100"/>
      </w:pPr>
      <w:r>
        <w:rPr>
          <w:rFonts w:ascii="Calibri" w:hAnsi="Calibri" w:eastAsia="Calibri"/>
          <w:b/>
          <w:i w:val="0"/>
          <w:color w:val="2F5597"/>
          <w:sz w:val="26"/>
        </w:rPr>
        <w:t>7.3 Bi-reformer duty check</w:t>
      </w:r>
    </w:p>
    <w:p>
      <w:pPr>
        <w:widowControl/>
        <w:spacing w:line="269" w:lineRule="auto" w:after="120"/>
      </w:pPr>
      <w:r>
        <w:rPr>
          <w:rFonts w:ascii="Calibri" w:hAnsi="Calibri" w:eastAsia="Calibri"/>
          <w:b w:val="0"/>
          <w:i w:val="0"/>
          <w:color w:val="24282C"/>
          <w:sz w:val="20"/>
        </w:rPr>
        <w:t>The raw-gas screen contains 17.12 t/d methane per train, or approximately 1,070 kmol/d. If all methane followed the 3:1:2 bi-reforming stoichiometry, the standard reaction endotherm would be about 235 GJ/d before sensible heating and furnace loss. The 290 GJ/d B6 allowance is therefore consistent with a strongly endothermic fired process after crediting preheat but allowing conversion and furnace inefficiency. A value near zero or an exothermic sign would be chemically incorrect.</w:t>
      </w:r>
    </w:p>
    <w:p>
      <w:pPr>
        <w:keepLines/>
        <w:spacing w:before="80" w:after="140"/>
        <w:jc w:val="center"/>
      </w:pPr>
      <w:r>
        <w:rPr>
          <w:rFonts w:ascii="Cambria" w:hAnsi="Cambria" w:eastAsia="Cambria"/>
          <w:b w:val="0"/>
          <w:i/>
          <w:color w:val="17365D"/>
          <w:sz w:val="22"/>
        </w:rPr>
        <w:t>1,070 kmol CH₄/d × (660 GJ per 3,000 kmol CH₄) ≈ 235 GJ/d reaction enthalpy</w:t>
      </w:r>
    </w:p>
    <w:p>
      <w:pPr>
        <w:widowControl/>
        <w:spacing w:line="269" w:lineRule="auto" w:after="120"/>
      </w:pPr>
      <w:r>
        <w:rPr>
          <w:rFonts w:ascii="Calibri" w:hAnsi="Calibri" w:eastAsia="Calibri"/>
          <w:b w:val="0"/>
          <w:i w:val="0"/>
          <w:color w:val="24282C"/>
          <w:sz w:val="20"/>
        </w:rPr>
        <w:t>This check also shows why methane suppression is commercially important. Every mole of methane formed in B2 releases heat in the methanation direction and then requires high-grade heat to reform in B6. Sensible heat can be recovered, but the chemical round-trip cannot be recovered completely. The best B2 operating point is the one that avoids methane while retaining carbon as useful CO precursor and preserving salt-handling availability.</w:t>
      </w:r>
    </w:p>
    <w:p>
      <w:pPr>
        <w:pStyle w:val="Heading2"/>
        <w:keepNext/>
        <w:spacing w:before="240" w:after="100"/>
      </w:pPr>
      <w:r>
        <w:rPr>
          <w:rFonts w:ascii="Calibri" w:hAnsi="Calibri" w:eastAsia="Calibri"/>
          <w:b/>
          <w:i w:val="0"/>
          <w:color w:val="2F5597"/>
          <w:sz w:val="26"/>
        </w:rPr>
        <w:t>7.4 Heat-exchanger network</w:t>
      </w:r>
    </w:p>
    <w:p>
      <w:pPr>
        <w:keepNext/>
        <w:spacing w:before="60" w:after="60"/>
      </w:pPr>
      <w:r>
        <w:rPr>
          <w:rFonts w:ascii="Calibri" w:hAnsi="Calibri" w:eastAsia="Calibri"/>
          <w:b w:val="0"/>
          <w:i/>
          <w:color w:val="65717C"/>
          <w:sz w:val="17"/>
        </w:rPr>
        <w:t>Table 7.2 — Heat recovery is distributed so a single fouled exchanger cannot stop all ten trains.</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201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Exchanger / service</w:t>
            </w:r>
          </w:p>
        </w:tc>
        <w:tc>
          <w:tcPr>
            <w:tcW w:type="dxa" w:w="208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Hot stream</w:t>
            </w:r>
          </w:p>
        </w:tc>
        <w:tc>
          <w:tcPr>
            <w:tcW w:type="dxa" w:w="208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Cold stream</w:t>
            </w:r>
          </w:p>
        </w:tc>
        <w:tc>
          <w:tcPr>
            <w:tcW w:type="dxa" w:w="172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Target duty</w:t>
            </w:r>
          </w:p>
        </w:tc>
        <w:tc>
          <w:tcPr>
            <w:tcW w:type="dxa" w:w="28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Operability constraint</w:t>
            </w:r>
          </w:p>
        </w:tc>
      </w:tr>
      <w:tr>
        <w:tc>
          <w:tcPr>
            <w:tcW w:type="dxa" w:w="20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H-101 train feed/effluent</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B3 salt-depleted effluent</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B1 pressurised slurry</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555 GJ/d/train</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Residual fines, near-critical Cp change, thermal stress and cleanability</w:t>
            </w:r>
          </w:p>
        </w:tc>
      </w:tr>
      <w:tr>
        <w:tc>
          <w:tcPr>
            <w:tcW w:type="dxa" w:w="20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E-601 syngas boiler</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B6 reformer product</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Boiler feedwater / reformer steam</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80 GJ/d/train eq.</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CO/H2 metallurgy, dew point and tube-skin limit</w:t>
            </w:r>
          </w:p>
        </w:tc>
      </w:tr>
      <w:tr>
        <w:tc>
          <w:tcPr>
            <w:tcW w:type="dxa" w:w="20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E-602 flue-gas recovery</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B6 furnace flue gas</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Combustion air / feed / steam</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70 GJ/d/train eq.</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Acid dew point, NOx and turndown</w:t>
            </w:r>
          </w:p>
        </w:tc>
      </w:tr>
      <w:tr>
        <w:tc>
          <w:tcPr>
            <w:tcW w:type="dxa" w:w="20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E-701 OXZEO boiler</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Exothermic B7 beds</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Boiler feedwater</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45 GJ/d/train eq.</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Bed hot spots and rapid trip response</w:t>
            </w:r>
          </w:p>
        </w:tc>
      </w:tr>
      <w:tr>
        <w:tc>
          <w:tcPr>
            <w:tcW w:type="dxa" w:w="20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E-801 low-grade recovery</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B4 water / B8 solids</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Ammonia recovery / residue drying</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25 GJ/d/train</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Fouling and low temperature driving force</w:t>
            </w:r>
          </w:p>
        </w:tc>
      </w:tr>
      <w:tr>
        <w:tc>
          <w:tcPr>
            <w:tcW w:type="dxa" w:w="20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Final coolers</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B4/B5/B7 products</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Cooling water / refrigeration</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Balance after recovery</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Seasonal cooling-water temperature and methanol loss</w:t>
            </w:r>
          </w:p>
        </w:tc>
      </w:tr>
    </w:tbl>
    <w:p>
      <w:pPr>
        <w:spacing w:after="20"/>
      </w:pPr>
    </w:p>
    <w:p>
      <w:pPr>
        <w:widowControl/>
        <w:spacing w:line="269" w:lineRule="auto" w:after="120"/>
      </w:pPr>
      <w:r>
        <w:rPr>
          <w:rFonts w:ascii="Calibri" w:hAnsi="Calibri" w:eastAsia="Calibri"/>
          <w:b w:val="0"/>
          <w:i w:val="0"/>
          <w:color w:val="24282C"/>
          <w:sz w:val="20"/>
        </w:rPr>
        <w:t>A pinch target is constrained by more than minimum approach temperature. Dirty and clean streams cannot be cross-connected in a way that permits product contamination; high-pressure train isolation must survive an exchanger tube failure; salt-bearing material must not cool below its deposition window before B3; and B6 needs high-grade heat that low-temperature B4 water cannot supply. The network therefore uses heat quality as well as quantity.</w:t>
      </w:r>
    </w:p>
    <w:p>
      <w:pPr>
        <w:pStyle w:val="Heading2"/>
        <w:keepNext/>
        <w:spacing w:before="240" w:after="100"/>
      </w:pPr>
      <w:r>
        <w:rPr>
          <w:rFonts w:ascii="Calibri" w:hAnsi="Calibri" w:eastAsia="Calibri"/>
          <w:b/>
          <w:i w:val="0"/>
          <w:color w:val="2F5597"/>
          <w:sz w:val="26"/>
        </w:rPr>
        <w:t>7.5 Utility basis</w:t>
      </w:r>
    </w:p>
    <w:p>
      <w:pPr>
        <w:keepNext/>
        <w:spacing w:before="60" w:after="60"/>
      </w:pPr>
      <w:r>
        <w:rPr>
          <w:rFonts w:ascii="Calibri" w:hAnsi="Calibri" w:eastAsia="Calibri"/>
          <w:b w:val="0"/>
          <w:i/>
          <w:color w:val="65717C"/>
          <w:sz w:val="17"/>
        </w:rPr>
        <w:t>Table 7.3 — Utility split underlying the RMB OPEX model.</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08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Utility</w:t>
            </w:r>
          </w:p>
        </w:tc>
        <w:tc>
          <w:tcPr>
            <w:tcW w:type="dxa" w:w="230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Annual screening demand</w:t>
            </w:r>
          </w:p>
        </w:tc>
        <w:tc>
          <w:tcPr>
            <w:tcW w:type="dxa" w:w="352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China price basis</w:t>
            </w:r>
          </w:p>
        </w:tc>
        <w:tc>
          <w:tcPr>
            <w:tcW w:type="dxa" w:w="144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Annual cost RMB m</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Electricity</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≈50.9 GWh/y</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0.37 RMB/kWh excluding VAT; supplied plant tariff</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18.8</w:t>
            </w:r>
          </w:p>
        </w:tc>
      </w:tr>
      <w:tr>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Thermal energy</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≈682,650 GJ/y</w:t>
            </w:r>
          </w:p>
        </w:tc>
        <w:tc>
          <w:tcPr>
            <w:tcW w:type="dxa" w:w="35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600 RMB/t pellets; 16.5 GJ/t LHV and 80% useful heat assumed</w:t>
            </w:r>
          </w:p>
        </w:tc>
        <w:tc>
          <w:tcPr>
            <w:tcW w:type="dxa" w:w="14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31.0</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Cooling water</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Included in utilities</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Site-specific circulation and makeup</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Included</w:t>
            </w:r>
          </w:p>
        </w:tc>
      </w:tr>
      <w:tr>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Process/makeup water</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Fresh trim 136,530 t/y plus cooling/purge makeup</w:t>
            </w:r>
          </w:p>
        </w:tc>
        <w:tc>
          <w:tcPr>
            <w:tcW w:type="dxa" w:w="35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17 RMB/t supplied production-water tariff; treatment separate</w:t>
            </w:r>
          </w:p>
        </w:tc>
        <w:tc>
          <w:tcPr>
            <w:tcW w:type="dxa" w:w="14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Included in OPEX water line</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Nitrogen/instrument air</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Shared ten-train system</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Vendor package / electricity</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Included</w:t>
            </w:r>
          </w:p>
        </w:tc>
      </w:tr>
      <w:tr>
        <w:tc>
          <w:tcPr>
            <w:tcW w:type="dxa" w:w="2469"/>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4"/>
              </w:rPr>
              <w:t>Air separation</w:t>
            </w:r>
          </w:p>
        </w:tc>
        <w:tc>
          <w:tcPr>
            <w:tcW w:type="dxa" w:w="2469"/>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4"/>
              </w:rPr>
              <w:t>Not included</w:t>
            </w:r>
          </w:p>
        </w:tc>
        <w:tc>
          <w:tcPr>
            <w:tcW w:type="dxa" w:w="2469"/>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4"/>
              </w:rPr>
              <w:t>No ASU in the current SCWG/OXZEO battery limit</w:t>
            </w:r>
          </w:p>
        </w:tc>
        <w:tc>
          <w:tcPr>
            <w:tcW w:type="dxa" w:w="2469"/>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4"/>
              </w:rPr>
              <w:t>0</w:t>
            </w:r>
          </w:p>
        </w:tc>
      </w:tr>
    </w:tbl>
    <w:p>
      <w:pPr>
        <w:spacing w:after="20"/>
      </w:pPr>
    </w:p>
    <w:p>
      <w:pPr>
        <w:pStyle w:val="Heading2"/>
        <w:keepNext/>
        <w:spacing w:before="240" w:after="100"/>
      </w:pPr>
      <w:r>
        <w:rPr>
          <w:rFonts w:ascii="Calibri" w:hAnsi="Calibri" w:eastAsia="Calibri"/>
          <w:b/>
          <w:i w:val="0"/>
          <w:color w:val="2F5597"/>
          <w:sz w:val="26"/>
        </w:rPr>
        <w:t>7.6 Energy-reduction priorities</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Increase feed carbon without exceeding pumpability and salt limits, so fixed high-pressure heating serves more product carbon.</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Raise H-101 recovery only after deposit and cyclic-fatigue tests; exchanger availability is worth more than a nominally higher effectiveness.</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Optimise B2 temperature/residence to reduce methane only when total carbon closure improves.</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Use internally recovered steam and purge fuel in B6 before purchasing additional fuel.</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Develop a lower-temperature or electrified reforming option only with a complete electricity-price and carbon-footprint comparison.</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Match product purity to a buyer. Avoid deep cryogenic fractionation if a mixed certified olefin stream has a firm offtake.</w:t>
      </w:r>
    </w:p>
    <w:p>
      <w:pPr>
        <w:pStyle w:val="Heading2"/>
        <w:keepNext/>
        <w:spacing w:before="240" w:after="100"/>
      </w:pPr>
      <w:r>
        <w:rPr>
          <w:rFonts w:ascii="Calibri" w:hAnsi="Calibri" w:eastAsia="Calibri"/>
          <w:b/>
          <w:i w:val="0"/>
          <w:color w:val="2F5597"/>
          <w:sz w:val="26"/>
        </w:rPr>
        <w:t>7.7 Ten-train site energy and utility balance</w:t>
      </w:r>
    </w:p>
    <w:p>
      <w:pPr>
        <w:widowControl/>
        <w:spacing w:line="269" w:lineRule="auto" w:after="120"/>
      </w:pPr>
      <w:r>
        <w:rPr>
          <w:rFonts w:ascii="Calibri" w:hAnsi="Calibri" w:eastAsia="Calibri"/>
          <w:b w:val="0"/>
          <w:i w:val="0"/>
          <w:color w:val="24282C"/>
          <w:sz w:val="20"/>
        </w:rPr>
        <w:t>The ten-train plant must be evaluated as an integrated utility site rather than ten copies of every auxiliary. Hydrothermal heat recovery remains train-specific for isolation, but steam drums, boiler-feedwater treatment, cooling towers, instrument air and much of the electrical distribution are shared. Diversity is limited because all trains normally operate; a utility should not be downsized on the assumption that several trains are always offline. N+1 rotating equipment and a credible common-back-end trip case are included.</w:t>
      </w:r>
    </w:p>
    <w:p>
      <w:pPr>
        <w:keepNext/>
        <w:spacing w:before="60" w:after="60"/>
      </w:pPr>
      <w:r>
        <w:rPr>
          <w:rFonts w:ascii="Calibri" w:hAnsi="Calibri" w:eastAsia="Calibri"/>
          <w:b w:val="0"/>
          <w:i/>
          <w:color w:val="65717C"/>
          <w:sz w:val="17"/>
        </w:rPr>
        <w:t>Table 7.4 — Integrated utility loads at the commercial scale.</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30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Site quantity</w:t>
            </w:r>
          </w:p>
        </w:tc>
        <w:tc>
          <w:tcPr>
            <w:tcW w:type="dxa" w:w="22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Ten-train annual value</w:t>
            </w:r>
          </w:p>
        </w:tc>
        <w:tc>
          <w:tcPr>
            <w:tcW w:type="dxa" w:w="194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Equivalent continuous load</w:t>
            </w:r>
          </w:p>
        </w:tc>
        <w:tc>
          <w:tcPr>
            <w:tcW w:type="dxa" w:w="352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Design interpretation</w:t>
            </w:r>
          </w:p>
        </w:tc>
      </w:tr>
      <w:tr>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Gross thermal duty before recovery</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3,529,800 GJ/y</w:t>
            </w:r>
          </w:p>
        </w:tc>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≈122.6 MW during 8,000 h</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Large but mainly internally recovered sensible heat</w:t>
            </w:r>
          </w:p>
        </w:tc>
      </w:tr>
      <w:tr>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Internal recovery / purge credit</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2,780,550 GJ/y</w:t>
            </w:r>
          </w:p>
        </w:tc>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≈96.6 MW</w:t>
            </w:r>
          </w:p>
        </w:tc>
        <w:tc>
          <w:tcPr>
            <w:tcW w:type="dxa" w:w="35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Distributed H-101 plus shared reformer/OXZEO steam system</w:t>
            </w:r>
          </w:p>
        </w:tc>
      </w:tr>
      <w:tr>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Purchased thermal</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682,650 GJ/y</w:t>
            </w:r>
          </w:p>
        </w:tc>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≈23.7 MW</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Reformer and trim heat; fuel/steam/electric option must be priced</w:t>
            </w:r>
          </w:p>
        </w:tc>
      </w:tr>
      <w:tr>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Electricity</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≈50.9 GWh/y</w:t>
            </w:r>
          </w:p>
        </w:tc>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≈6.36 MW</w:t>
            </w:r>
          </w:p>
        </w:tc>
        <w:tc>
          <w:tcPr>
            <w:tcW w:type="dxa" w:w="35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Average; compressor and refrigeration peak/starting load higher</w:t>
            </w:r>
          </w:p>
        </w:tc>
      </w:tr>
      <w:tr>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Gross aqueous flow to B4</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2,337.5 t/d</w:t>
            </w:r>
          </w:p>
        </w:tc>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≈97.4 t/h</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Most is recycled only after ammonia/TOC/Cl release</w:t>
            </w:r>
          </w:p>
        </w:tc>
      </w:tr>
      <w:tr>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Potential ammonium sulfate</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≈27.9 kt/y</w:t>
            </w:r>
          </w:p>
        </w:tc>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≈4.7 t/h product</w:t>
            </w:r>
          </w:p>
        </w:tc>
        <w:tc>
          <w:tcPr>
            <w:tcW w:type="dxa" w:w="35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Acid storage, absorber heat and product tank sized only after purity proof</w:t>
            </w:r>
          </w:p>
        </w:tc>
      </w:tr>
    </w:tbl>
    <w:p>
      <w:pPr>
        <w:spacing w:after="20"/>
      </w:pPr>
    </w:p>
    <w:p>
      <w:pPr>
        <w:widowControl/>
        <w:spacing w:line="269" w:lineRule="auto" w:after="120"/>
      </w:pPr>
      <w:r>
        <w:rPr>
          <w:rFonts w:ascii="Calibri" w:hAnsi="Calibri" w:eastAsia="Calibri"/>
          <w:b w:val="0"/>
          <w:i w:val="0"/>
          <w:color w:val="24282C"/>
          <w:sz w:val="20"/>
        </w:rPr>
        <w:t>A site-wide steam balance gives priority to reformer steam/carbon ratio, Rectisol regeneration and ammonia recovery. OXZEO and reformer-product heat can generate steam, but export is credited only after those internal users and start-up cases are met. Electricity export is not included. If an industrial park can supply lower-carbon steam or firm low-cost power, the choice between fired and electrified high-temperature heat should be evaluated using both RMB and product carbon footprint.</w:t>
      </w:r>
    </w:p>
    <w:p>
      <w:pPr>
        <w:pStyle w:val="Heading3"/>
        <w:keepNext/>
        <w:spacing w:before="160" w:after="80"/>
      </w:pPr>
      <w:r>
        <w:rPr>
          <w:rFonts w:ascii="Calibri" w:hAnsi="Calibri" w:eastAsia="Calibri"/>
          <w:b/>
          <w:i w:val="0"/>
          <w:color w:val="40566C"/>
          <w:sz w:val="22"/>
        </w:rPr>
        <w:t>7.7.1 Cooling and refrigeration</w:t>
      </w:r>
    </w:p>
    <w:p>
      <w:pPr>
        <w:widowControl/>
        <w:spacing w:line="269" w:lineRule="auto" w:after="120"/>
      </w:pPr>
      <w:r>
        <w:rPr>
          <w:rFonts w:ascii="Calibri" w:hAnsi="Calibri" w:eastAsia="Calibri"/>
          <w:b w:val="0"/>
          <w:i w:val="0"/>
          <w:color w:val="24282C"/>
          <w:sz w:val="20"/>
        </w:rPr>
        <w:t>Cooling duty is not calculated by subtracting all recovered heat from gross heat: gas compression aftercooling, Rectisol refrigeration, B4 condensation, OXZEO product recovery and summer approach temperatures create additional rejection. A detailed water balance must distinguish closed-loop circulation from makeup and blowdown. Seawater cooling may be geographically attractive but introduces chloride, materials and environmental-discharge questions that remain separate from the process-water chloride inventory.</w:t>
      </w:r>
    </w:p>
    <w:p>
      <w:pPr>
        <w:pStyle w:val="Heading3"/>
        <w:keepNext/>
        <w:spacing w:before="160" w:after="80"/>
      </w:pPr>
      <w:r>
        <w:rPr>
          <w:rFonts w:ascii="Calibri" w:hAnsi="Calibri" w:eastAsia="Calibri"/>
          <w:b/>
          <w:i w:val="0"/>
          <w:color w:val="40566C"/>
          <w:sz w:val="22"/>
        </w:rPr>
        <w:t>7.7.2 Start-up energy</w:t>
      </w:r>
    </w:p>
    <w:p>
      <w:pPr>
        <w:widowControl/>
        <w:spacing w:line="269" w:lineRule="auto" w:after="120"/>
      </w:pPr>
      <w:r>
        <w:rPr>
          <w:rFonts w:ascii="Calibri" w:hAnsi="Calibri" w:eastAsia="Calibri"/>
          <w:b w:val="0"/>
          <w:i w:val="0"/>
          <w:color w:val="24282C"/>
          <w:sz w:val="20"/>
        </w:rPr>
        <w:t>Normal heat integration is unavailable during a cold start. The plant therefore needs enough independent firing or steam/electric capacity to heat one hydrothermal train, establish B5/B6 and then bring further trains online sequentially. Starting all ten trains together would create an unnecessary peak and a large off-specification gas inventory. Black-start and emergency power support controls and safe shutdown, not full production.</w:t>
      </w:r>
    </w:p>
    <w:p>
      <w:pPr>
        <w:pStyle w:val="Heading2"/>
        <w:keepNext/>
        <w:spacing w:before="240" w:after="100"/>
      </w:pPr>
      <w:r>
        <w:rPr>
          <w:rFonts w:ascii="Calibri" w:hAnsi="Calibri" w:eastAsia="Calibri"/>
          <w:b/>
          <w:i w:val="0"/>
          <w:color w:val="2F5597"/>
          <w:sz w:val="26"/>
        </w:rPr>
        <w:t>7.8 Industrial utility and water-system reconciliation</w:t>
      </w:r>
    </w:p>
    <w:p>
      <w:pPr>
        <w:widowControl/>
        <w:spacing w:line="269" w:lineRule="auto" w:after="120"/>
      </w:pPr>
      <w:r>
        <w:rPr>
          <w:rFonts w:ascii="Calibri" w:hAnsi="Calibri" w:eastAsia="Calibri"/>
          <w:b w:val="0"/>
          <w:i w:val="0"/>
          <w:color w:val="24282C"/>
          <w:sz w:val="20"/>
        </w:rPr>
        <w:t>The authoritative methanol cost note reports 750 kWh/t methanol at RMB 0.37/kWh, 9 t production water/t methanol at RMB 17/t, and 0.60 t biomass pellets/t methanol at RMB 600/t. These values are retained exactly for the 300 kt/y comparator. For Towngas, the tariff and pellet price are adopted directly, whereas quantities are calculated from project duties because the reference consumption includes oxygen production and a different synthesis train.</w:t>
      </w:r>
      <w:r>
        <w:rPr>
          <w:rFonts w:ascii="Calibri" w:hAnsi="Calibri" w:eastAsia="Calibri"/>
          <w:b w:val="0"/>
          <w:i w:val="0"/>
          <w:color w:val="2F5597"/>
          <w:sz w:val="15"/>
          <w:vertAlign w:val="superscript"/>
        </w:rPr>
        <w:t xml:space="preserve"> 36</w:t>
      </w:r>
    </w:p>
    <w:p>
      <w:pPr>
        <w:keepNext/>
        <w:spacing w:before="60" w:after="60"/>
      </w:pPr>
      <w:r>
        <w:rPr>
          <w:rFonts w:ascii="Calibri" w:hAnsi="Calibri" w:eastAsia="Calibri"/>
          <w:b w:val="0"/>
          <w:i/>
          <w:color w:val="65717C"/>
          <w:sz w:val="17"/>
        </w:rPr>
        <w:t>Table 7.4 — Which utility information transfers directly and which requires project scaling.</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Utility evidence</w:t>
            </w:r>
          </w:p>
        </w:tc>
        <w:tc>
          <w:tcPr>
            <w:tcW w:type="dxa" w:w="302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Authoritative reference</w:t>
            </w:r>
          </w:p>
        </w:tc>
        <w:tc>
          <w:tcPr>
            <w:tcW w:type="dxa" w:w="489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Proposed-project treatment</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Electricity</w:t>
            </w:r>
          </w:p>
        </w:tc>
        <w:tc>
          <w:tcPr>
            <w:tcW w:type="dxa" w:w="30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750 kWh/t methanol; 0.37 RMB/kWh</w:t>
            </w:r>
          </w:p>
        </w:tc>
        <w:tc>
          <w:tcPr>
            <w:tcW w:type="dxa" w:w="48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Retain calculated 50.9 GWh/y pending motor schedule; price at 0.37 RMB/kWh = RMB 18.8m/y</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Production water</w:t>
            </w:r>
          </w:p>
        </w:tc>
        <w:tc>
          <w:tcPr>
            <w:tcW w:type="dxa" w:w="30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9 t/t methanol; 17 RMB/t</w:t>
            </w:r>
          </w:p>
        </w:tc>
        <w:tc>
          <w:tcPr>
            <w:tcW w:type="dxa" w:w="48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Use 17 RMB/t for purchased water; calculate fresh makeup from feed water, recycle, cooling and purge</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Biomass fuel</w:t>
            </w:r>
          </w:p>
        </w:tc>
        <w:tc>
          <w:tcPr>
            <w:tcW w:type="dxa" w:w="30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0.60 t/t methanol; 600 RMB/t</w:t>
            </w:r>
          </w:p>
        </w:tc>
        <w:tc>
          <w:tcPr>
            <w:tcW w:type="dxa" w:w="48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Use 600 RMB/t; calculate 682,650 GJ/y with stated LHV/efficiency = RMB 31.0m/y</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ASU</w:t>
            </w:r>
          </w:p>
        </w:tc>
        <w:tc>
          <w:tcPr>
            <w:tcW w:type="dxa" w:w="30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30,000 Nm³/h O₂ reference system plus a 12,000 Nm³/h system</w:t>
            </w:r>
          </w:p>
        </w:tc>
        <w:tc>
          <w:tcPr>
            <w:tcW w:type="dxa" w:w="48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Excluded from current Towngas battery limit; add only if oxygen-assisted reforming/partial oxidation is selected</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Water reuse</w:t>
            </w:r>
          </w:p>
        </w:tc>
        <w:tc>
          <w:tcPr>
            <w:tcW w:type="dxa" w:w="30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300 m³/h equalisation–clarification–UF–RO train</w:t>
            </w:r>
          </w:p>
        </w:tc>
        <w:tc>
          <w:tcPr>
            <w:tcW w:type="dxa" w:w="48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Adopt architecture; scale from B4 chemistry and desired purge rather than methanol throughput</w:t>
            </w:r>
          </w:p>
        </w:tc>
      </w:tr>
    </w:tbl>
    <w:p>
      <w:pPr>
        <w:spacing w:after="20"/>
      </w:pPr>
    </w:p>
    <w:p>
      <w:pPr>
        <w:widowControl/>
        <w:spacing w:line="269" w:lineRule="auto" w:after="120"/>
      </w:pPr>
      <w:r>
        <w:rPr>
          <w:rFonts w:ascii="Calibri" w:hAnsi="Calibri" w:eastAsia="Calibri"/>
          <w:b w:val="0"/>
          <w:i w:val="0"/>
          <w:color w:val="24282C"/>
          <w:sz w:val="20"/>
        </w:rPr>
        <w:t>The reference 30,000 Nm³/h ASU requires approximately 159,000 Nm³/h main air and lists a 13,980 kW main air-compressor shaft duty; its booster train has a normal power basis around 22,790 kW and major steam/cooling-water duties. The 12,000 Nm³/h system lists 71,000 Nm³/h dry air, 6,482 kW shaft power and a 7,500 kW motor. These loads explain a substantial fraction of the reference electricity consumption and must not be hidden inside a comparison with an SCWG plant that has no ASU.</w:t>
      </w:r>
      <w:r>
        <w:rPr>
          <w:rFonts w:ascii="Calibri" w:hAnsi="Calibri" w:eastAsia="Calibri"/>
          <w:b w:val="0"/>
          <w:i w:val="0"/>
          <w:color w:val="2F5597"/>
          <w:sz w:val="15"/>
          <w:vertAlign w:val="superscript"/>
        </w:rPr>
        <w:t xml:space="preserve"> 39,40,42</w:t>
      </w:r>
    </w:p>
    <w:p>
      <w:pPr>
        <w:pStyle w:val="Heading1"/>
        <w:keepNext/>
        <w:pageBreakBefore/>
        <w:spacing w:after="200"/>
      </w:pPr>
      <w:r>
        <w:rPr>
          <w:rFonts w:ascii="Calibri" w:hAnsi="Calibri" w:eastAsia="Calibri"/>
          <w:b/>
          <w:i w:val="0"/>
          <w:color w:val="17365D"/>
          <w:sz w:val="34"/>
        </w:rPr>
        <w:t>8. Equipment, materials, chloride control and safety</w:t>
      </w:r>
    </w:p>
    <w:p>
      <w:pPr>
        <w:pStyle w:val="Heading2"/>
        <w:keepNext/>
        <w:spacing w:before="240" w:after="100"/>
      </w:pPr>
      <w:r>
        <w:rPr>
          <w:rFonts w:ascii="Calibri" w:hAnsi="Calibri" w:eastAsia="Calibri"/>
          <w:b/>
          <w:i w:val="0"/>
          <w:color w:val="2F5597"/>
          <w:sz w:val="26"/>
        </w:rPr>
        <w:t>8.1 Major equipment list</w:t>
      </w:r>
    </w:p>
    <w:p>
      <w:pPr>
        <w:keepNext/>
        <w:spacing w:before="60" w:after="60"/>
      </w:pPr>
      <w:r>
        <w:rPr>
          <w:rFonts w:ascii="Calibri" w:hAnsi="Calibri" w:eastAsia="Calibri"/>
          <w:b w:val="0"/>
          <w:i/>
          <w:color w:val="65717C"/>
          <w:sz w:val="17"/>
        </w:rPr>
        <w:t>Table 8.1 — Major process equipment. Quantities support ten-train isolation and shared downstream scale.</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80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Area / tag</w:t>
            </w:r>
          </w:p>
        </w:tc>
        <w:tc>
          <w:tcPr>
            <w:tcW w:type="dxa" w:w="237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Service</w:t>
            </w:r>
          </w:p>
        </w:tc>
        <w:tc>
          <w:tcPr>
            <w:tcW w:type="dxa" w:w="158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Quantity</w:t>
            </w:r>
          </w:p>
        </w:tc>
        <w:tc>
          <w:tcPr>
            <w:tcW w:type="dxa" w:w="22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Screening size or duty</w:t>
            </w:r>
          </w:p>
        </w:tc>
        <w:tc>
          <w:tcPr>
            <w:tcW w:type="dxa" w:w="28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Critical confirmation</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B1 receiving trains</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Wet feed tanks, fibre preparation, residue slurry</w:t>
            </w:r>
          </w:p>
        </w:tc>
        <w:tc>
          <w:tcPr>
            <w:tcW w:type="dxa" w:w="15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Segregated shared + train day tanks</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3,000 t/d complex</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Supplier variability, odour, storage and metering</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P-101 A/B</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High-pressure slurry pumps</w:t>
            </w:r>
          </w:p>
        </w:tc>
        <w:tc>
          <w:tcPr>
            <w:tcW w:type="dxa" w:w="15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20 total</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12.5 t/h each duty</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Wear, check-valve life and restart on B1 slurry</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H-101</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Feed/effluent recovery</w:t>
            </w:r>
          </w:p>
        </w:tc>
        <w:tc>
          <w:tcPr>
            <w:tcW w:type="dxa" w:w="15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10 trains; modular</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555 GJ/d/train</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Deposit, thermal stress and tube-failure isolation</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R-201</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SCWG reactor</w:t>
            </w:r>
          </w:p>
        </w:tc>
        <w:tc>
          <w:tcPr>
            <w:tcW w:type="dxa" w:w="15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10</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~2.3 m³ gross/train screen</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Residence, heat flux, alloy, fatigue and char</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V-301 A/B</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Hot salt separators</w:t>
            </w:r>
          </w:p>
        </w:tc>
        <w:tc>
          <w:tcPr>
            <w:tcW w:type="dxa" w:w="15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20</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~10 m³ gross each screen</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Mixed-salt settling, wall adhesion and underflow</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B4 letdown/separation</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Staged pressure reduction and phase split</w:t>
            </w:r>
          </w:p>
        </w:tc>
        <w:tc>
          <w:tcPr>
            <w:tcW w:type="dxa" w:w="15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10 trains</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55.8 t/d gas/train</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Erosion, level control and gas cleanliness</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B5 Rectisol/ZnO</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Shared gas purification</w:t>
            </w:r>
          </w:p>
        </w:tc>
        <w:tc>
          <w:tcPr>
            <w:tcW w:type="dxa" w:w="15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 train with spared pumps/beds</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558 t/d wet raw-gas screen</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Actual gas load, refrigeration and sulfur speciation</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B6 reformer</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Shared methane/CO2/steam reforming</w:t>
            </w:r>
          </w:p>
        </w:tc>
        <w:tc>
          <w:tcPr>
            <w:tcW w:type="dxa" w:w="15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 shared system, multiple furnaces/boxes</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~2,900 GJ/d gross eq.</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Tube metallurgy, catalyst, firing and decoking</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B7 OXZEO</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Shared synthesis, recycle and recovery</w:t>
            </w:r>
          </w:p>
        </w:tc>
        <w:tc>
          <w:tcPr>
            <w:tcW w:type="dxa" w:w="15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Licensed multi-bed system</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42–55 kt/y olefin envelope</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Real-gas performance, catalyst life and product spec</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B8 / N recovery</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Residue washing and ammonium sulfate recovery</w:t>
            </w:r>
          </w:p>
        </w:tc>
        <w:tc>
          <w:tcPr>
            <w:tcW w:type="dxa" w:w="15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Shared, source-traceable</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72.5 t/d solids; aqueous 2,337.5 t/d</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Product quality and water/chloride balance</w:t>
            </w:r>
          </w:p>
        </w:tc>
      </w:tr>
    </w:tbl>
    <w:p>
      <w:pPr>
        <w:spacing w:after="20"/>
      </w:pPr>
    </w:p>
    <w:p>
      <w:pPr>
        <w:pStyle w:val="Heading2"/>
        <w:keepNext/>
        <w:spacing w:before="240" w:after="100"/>
      </w:pPr>
      <w:r>
        <w:rPr>
          <w:rFonts w:ascii="Calibri" w:hAnsi="Calibri" w:eastAsia="Calibri"/>
          <w:b/>
          <w:i w:val="0"/>
          <w:color w:val="2F5597"/>
          <w:sz w:val="26"/>
        </w:rPr>
        <w:t>8.2 Materials of construction</w:t>
      </w:r>
    </w:p>
    <w:p>
      <w:pPr>
        <w:widowControl/>
        <w:spacing w:line="269" w:lineRule="auto" w:after="120"/>
      </w:pPr>
      <w:r>
        <w:rPr>
          <w:rFonts w:ascii="Calibri" w:hAnsi="Calibri" w:eastAsia="Calibri"/>
          <w:b w:val="0"/>
          <w:i w:val="0"/>
          <w:color w:val="24282C"/>
          <w:sz w:val="20"/>
        </w:rPr>
        <w:t>The most severe combination is hot pressurised water, alkali, chloride, sulfide, organic acids, erosive mineral solids and precipitating salts. A nickel-base alloy wetted surface or liner is assumed in B2/B3 and the hottest feed-effluent service until corrosion data justify a reduction. Replaceable inlet devices, liners and spools concentrate erosion in inspectable parts. Carbon steel is introduced only after pressure, temperature and acid-gas chemistry permit it; using it early to reduce CAPEX can simply move cost into unplanned outage.</w:t>
      </w:r>
    </w:p>
    <w:p>
      <w:pPr>
        <w:keepNext/>
        <w:spacing w:before="60" w:after="60"/>
      </w:pPr>
      <w:r>
        <w:rPr>
          <w:rFonts w:ascii="Calibri" w:hAnsi="Calibri" w:eastAsia="Calibri"/>
          <w:b w:val="0"/>
          <w:i/>
          <w:color w:val="65717C"/>
          <w:sz w:val="17"/>
        </w:rPr>
        <w:t>Table 8.2 — Metallurgy remains a test result, not a catalogue assumption.</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16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Service</w:t>
            </w:r>
          </w:p>
        </w:tc>
        <w:tc>
          <w:tcPr>
            <w:tcW w:type="dxa" w:w="352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Candidate strategy</w:t>
            </w:r>
          </w:p>
        </w:tc>
        <w:tc>
          <w:tcPr>
            <w:tcW w:type="dxa" w:w="396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Qualification evidence</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B1 wet/slurry handling</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Lined carbon steel or suitable stainless; abrasion liners at elbows</w:t>
            </w:r>
          </w:p>
        </w:tc>
        <w:tc>
          <w:tcPr>
            <w:tcW w:type="dxa" w:w="39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Ambient/hot corrosion, abrasion and cleaning-chemical compatibility</w:t>
            </w:r>
          </w:p>
        </w:tc>
      </w:tr>
      <w:tr>
        <w:tc>
          <w:tcPr>
            <w:tcW w:type="dxa" w:w="21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HP pump and feed heater</w:t>
            </w:r>
          </w:p>
        </w:tc>
        <w:tc>
          <w:tcPr>
            <w:tcW w:type="dxa" w:w="35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Duplex/high-alloy wetted parts; replaceable checks and liners</w:t>
            </w:r>
          </w:p>
        </w:tc>
        <w:tc>
          <w:tcPr>
            <w:tcW w:type="dxa" w:w="39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B1 slurry wear and chloride stress-corrosion test</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B2/B3 hot HP boundary</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Nickel-base alloy liner or solid alloy; replaceable internals</w:t>
            </w:r>
          </w:p>
        </w:tc>
        <w:tc>
          <w:tcPr>
            <w:tcW w:type="dxa" w:w="39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Mixed feed/salt coupon loop, weld and cyclic-fatigue review</w:t>
            </w:r>
          </w:p>
        </w:tc>
      </w:tr>
      <w:tr>
        <w:tc>
          <w:tcPr>
            <w:tcW w:type="dxa" w:w="21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B4 letdown</w:t>
            </w:r>
          </w:p>
        </w:tc>
        <w:tc>
          <w:tcPr>
            <w:tcW w:type="dxa" w:w="35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Hard-faced sacrificial trim and erosion-resistant downstream spool</w:t>
            </w:r>
          </w:p>
        </w:tc>
        <w:tc>
          <w:tcPr>
            <w:tcW w:type="dxa" w:w="39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Two-phase particle erosion at expected pressure ratio</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Wet acid gas / Rectisol</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Low-temperature carbon/stainless selection by water and acid-gas envelope</w:t>
            </w:r>
          </w:p>
        </w:tc>
        <w:tc>
          <w:tcPr>
            <w:tcW w:type="dxa" w:w="39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Licensor metallurgy and methanol/water conditions</w:t>
            </w:r>
          </w:p>
        </w:tc>
      </w:tr>
      <w:tr>
        <w:tc>
          <w:tcPr>
            <w:tcW w:type="dxa" w:w="21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Reformer</w:t>
            </w:r>
          </w:p>
        </w:tc>
        <w:tc>
          <w:tcPr>
            <w:tcW w:type="dxa" w:w="35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Conventional high-temperature reformer alloys and catalyst tubes</w:t>
            </w:r>
          </w:p>
        </w:tc>
        <w:tc>
          <w:tcPr>
            <w:tcW w:type="dxa" w:w="39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Vendor creep life, tube-skin and decoking case</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B8 solids</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Lined equipment, enclosed transfer and dust control</w:t>
            </w:r>
          </w:p>
        </w:tc>
        <w:tc>
          <w:tcPr>
            <w:tcW w:type="dxa" w:w="39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Alkali/chloride abrasion and personnel exposure</w:t>
            </w:r>
          </w:p>
        </w:tc>
      </w:tr>
    </w:tbl>
    <w:p>
      <w:pPr>
        <w:spacing w:after="20"/>
      </w:pPr>
    </w:p>
    <w:p>
      <w:pPr>
        <w:pStyle w:val="Heading2"/>
        <w:keepNext/>
        <w:spacing w:before="240" w:after="100"/>
      </w:pPr>
      <w:r>
        <w:rPr>
          <w:rFonts w:ascii="Calibri" w:hAnsi="Calibri" w:eastAsia="Calibri"/>
          <w:b/>
          <w:i w:val="0"/>
          <w:color w:val="2F5597"/>
          <w:sz w:val="26"/>
        </w:rPr>
        <w:t>8.3 Chloride monitoring and purge control</w:t>
      </w:r>
    </w:p>
    <w:p>
      <w:pPr>
        <w:widowControl/>
        <w:spacing w:line="269" w:lineRule="auto" w:after="120"/>
      </w:pPr>
      <w:r>
        <w:rPr>
          <w:rFonts w:ascii="Calibri" w:hAnsi="Calibri" w:eastAsia="Calibri"/>
          <w:b w:val="0"/>
          <w:i w:val="0"/>
          <w:color w:val="24282C"/>
          <w:sz w:val="20"/>
        </w:rPr>
        <w:t>Chloride is controlled by a plant-wide inventory. Each supplier load has a measured contribution; B3, B4 and B8 exits are sampled; and recycle-water chloride is trended against alloy-specific alarm and trip levels. The operator can reduce recycle, increase purge, prewash a residue lot or switch supplier before the hot loop approaches its limit. Conductivity is an online warning but cannot replace chloride-specific laboratory or ion-chromatography confirmation.</w:t>
      </w:r>
    </w:p>
    <w:p>
      <w:pPr>
        <w:keepNext/>
        <w:spacing w:before="60" w:after="60"/>
      </w:pPr>
      <w:r>
        <w:rPr>
          <w:rFonts w:ascii="Calibri" w:hAnsi="Calibri" w:eastAsia="Calibri"/>
          <w:b w:val="0"/>
          <w:i/>
          <w:color w:val="65717C"/>
          <w:sz w:val="17"/>
        </w:rPr>
        <w:t>Table 8.3 — Chloride control connects supplier release to metallurgy and product quality.</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Location</w:t>
            </w:r>
          </w:p>
        </w:tc>
        <w:tc>
          <w:tcPr>
            <w:tcW w:type="dxa" w:w="331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Measurement</w:t>
            </w:r>
          </w:p>
        </w:tc>
        <w:tc>
          <w:tcPr>
            <w:tcW w:type="dxa" w:w="410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Control action</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Supplier unloading</w:t>
            </w:r>
          </w:p>
        </w:tc>
        <w:tc>
          <w:tcPr>
            <w:tcW w:type="dxa" w:w="33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Cl, conductivity, Na/K, source history</w:t>
            </w:r>
          </w:p>
        </w:tc>
        <w:tc>
          <w:tcPr>
            <w:tcW w:type="dxa" w:w="41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Reject, segregate or allocate prewash</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B1 final blend</w:t>
            </w:r>
          </w:p>
        </w:tc>
        <w:tc>
          <w:tcPr>
            <w:tcW w:type="dxa" w:w="33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Batch Cl and conductivity</w:t>
            </w:r>
          </w:p>
        </w:tc>
        <w:tc>
          <w:tcPr>
            <w:tcW w:type="dxa" w:w="41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Prevent HP-feed release above campaign limit</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B3 underflow</w:t>
            </w:r>
          </w:p>
        </w:tc>
        <w:tc>
          <w:tcPr>
            <w:tcW w:type="dxa" w:w="33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Cl mass and mineral/salt phase</w:t>
            </w:r>
          </w:p>
        </w:tc>
        <w:tc>
          <w:tcPr>
            <w:tcW w:type="dxa" w:w="41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Verify whether intended salt route is working</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B4 recycle water</w:t>
            </w:r>
          </w:p>
        </w:tc>
        <w:tc>
          <w:tcPr>
            <w:tcW w:type="dxa" w:w="33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Continuous conductivity + frequent IC</w:t>
            </w:r>
          </w:p>
        </w:tc>
        <w:tc>
          <w:tcPr>
            <w:tcW w:type="dxa" w:w="41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Increase controlled purge or stop recycle</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B8 product/wash</w:t>
            </w:r>
          </w:p>
        </w:tc>
        <w:tc>
          <w:tcPr>
            <w:tcW w:type="dxa" w:w="33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Soluble and total Cl</w:t>
            </w:r>
          </w:p>
        </w:tc>
        <w:tc>
          <w:tcPr>
            <w:tcW w:type="dxa" w:w="41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Second wash or alternate destination</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Corrosion coupons</w:t>
            </w:r>
          </w:p>
        </w:tc>
        <w:tc>
          <w:tcPr>
            <w:tcW w:type="dxa" w:w="33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Metal loss, pitting and cracking evidence</w:t>
            </w:r>
          </w:p>
        </w:tc>
        <w:tc>
          <w:tcPr>
            <w:tcW w:type="dxa" w:w="41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Revise chemistry limit, alloy or inspection interval</w:t>
            </w:r>
          </w:p>
        </w:tc>
      </w:tr>
    </w:tbl>
    <w:p>
      <w:pPr>
        <w:spacing w:after="20"/>
      </w:pPr>
    </w:p>
    <w:p>
      <w:pPr>
        <w:pStyle w:val="Heading2"/>
        <w:keepNext/>
        <w:spacing w:before="240" w:after="100"/>
      </w:pPr>
      <w:r>
        <w:rPr>
          <w:rFonts w:ascii="Calibri" w:hAnsi="Calibri" w:eastAsia="Calibri"/>
          <w:b/>
          <w:i w:val="0"/>
          <w:color w:val="2F5597"/>
          <w:sz w:val="26"/>
        </w:rPr>
        <w:t>8.4 Control architecture</w:t>
      </w:r>
    </w:p>
    <w:p>
      <w:pPr>
        <w:keepNext/>
        <w:spacing w:before="60" w:after="60"/>
      </w:pPr>
      <w:r>
        <w:rPr>
          <w:rFonts w:ascii="Calibri" w:hAnsi="Calibri" w:eastAsia="Calibri"/>
          <w:b w:val="0"/>
          <w:i/>
          <w:color w:val="65717C"/>
          <w:sz w:val="17"/>
        </w:rPr>
        <w:t>Table 8.4 — Control actions preserve train independence and common-back-end quality.</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Control layer</w:t>
            </w:r>
          </w:p>
        </w:tc>
        <w:tc>
          <w:tcPr>
            <w:tcW w:type="dxa" w:w="352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Measured variables</w:t>
            </w:r>
          </w:p>
        </w:tc>
        <w:tc>
          <w:tcPr>
            <w:tcW w:type="dxa" w:w="40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Automatic response</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Feed batch release</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TS, density, rheology, C/N/S/Cl, ash, PSD</w:t>
            </w:r>
          </w:p>
        </w:tc>
        <w:tc>
          <w:tcPr>
            <w:tcW w:type="dxa" w:w="40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Hold transfer until approved electronic certificate</w:t>
            </w:r>
          </w:p>
        </w:tc>
      </w:tr>
      <w:tr>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B1 pump protection</w:t>
            </w:r>
          </w:p>
        </w:tc>
        <w:tc>
          <w:tcPr>
            <w:tcW w:type="dxa" w:w="35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Suction pressure, flow, pulsation, discharge pressure</w:t>
            </w:r>
          </w:p>
        </w:tc>
        <w:tc>
          <w:tcPr>
            <w:tcW w:type="dxa" w:w="40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Stop solids; continue clean-water displacement</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B2 reaction protection</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Wall/outlet T, feed flow, pressure, carbon response</w:t>
            </w:r>
          </w:p>
        </w:tc>
        <w:tc>
          <w:tcPr>
            <w:tcW w:type="dxa" w:w="40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Cut firing/feed; water quench; isolate train gas</w:t>
            </w:r>
          </w:p>
        </w:tc>
      </w:tr>
      <w:tr>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B3 availability</w:t>
            </w:r>
          </w:p>
        </w:tc>
        <w:tc>
          <w:tcPr>
            <w:tcW w:type="dxa" w:w="35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DP, underflow density/flow, wall T, flush recovery</w:t>
            </w:r>
          </w:p>
        </w:tc>
        <w:tc>
          <w:tcPr>
            <w:tcW w:type="dxa" w:w="40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Switch separator; flush isolated vessel; reduce solids</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B4 phase control</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Valve vibration/position, separator levels, water carryover</w:t>
            </w:r>
          </w:p>
        </w:tc>
        <w:tc>
          <w:tcPr>
            <w:tcW w:type="dxa" w:w="40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Staged shutdown; closed receiver; block common header</w:t>
            </w:r>
          </w:p>
        </w:tc>
      </w:tr>
      <w:tr>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B5 quality barrier</w:t>
            </w:r>
          </w:p>
        </w:tc>
        <w:tc>
          <w:tcPr>
            <w:tcW w:type="dxa" w:w="35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Total sulfur, H2S/COS, water, methanol, pressure</w:t>
            </w:r>
          </w:p>
        </w:tc>
        <w:tc>
          <w:tcPr>
            <w:tcW w:type="dxa" w:w="40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Switch ZnO; route off-spec gas away from B6/B7</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B6 coke/heat control</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Steam/carbon, CO2 split, tube skin, CH4 slip</w:t>
            </w:r>
          </w:p>
        </w:tc>
        <w:tc>
          <w:tcPr>
            <w:tcW w:type="dxa" w:w="40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Increase steam within limit, reduce feed, burner trip</w:t>
            </w:r>
          </w:p>
        </w:tc>
      </w:tr>
      <w:tr>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B7 selectivity protection</w:t>
            </w:r>
          </w:p>
        </w:tc>
        <w:tc>
          <w:tcPr>
            <w:tcW w:type="dxa" w:w="35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Bed T/DP, H2/CO, sulfur, conversion, recycle</w:t>
            </w:r>
          </w:p>
        </w:tc>
        <w:tc>
          <w:tcPr>
            <w:tcW w:type="dxa" w:w="40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Cut fresh syngas; controlled recycle/inert cool-down</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B8 product release</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pH, Na, Cl, metals, leachability, performance</w:t>
            </w:r>
          </w:p>
        </w:tc>
        <w:tc>
          <w:tcPr>
            <w:tcW w:type="dxa" w:w="40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Release to named destination or second wash/retreatment</w:t>
            </w:r>
          </w:p>
        </w:tc>
      </w:tr>
    </w:tbl>
    <w:p>
      <w:pPr>
        <w:spacing w:after="20"/>
      </w:pPr>
    </w:p>
    <w:p>
      <w:pPr>
        <w:pStyle w:val="Heading2"/>
        <w:keepNext/>
        <w:spacing w:before="240" w:after="100"/>
      </w:pPr>
      <w:r>
        <w:rPr>
          <w:rFonts w:ascii="Calibri" w:hAnsi="Calibri" w:eastAsia="Calibri"/>
          <w:b/>
          <w:i w:val="0"/>
          <w:color w:val="2F5597"/>
          <w:sz w:val="26"/>
        </w:rPr>
        <w:t>8.5 Preliminary HAZOP register</w:t>
      </w:r>
    </w:p>
    <w:p>
      <w:pPr>
        <w:keepNext/>
        <w:spacing w:before="60" w:after="60"/>
      </w:pPr>
      <w:r>
        <w:rPr>
          <w:rFonts w:ascii="Calibri" w:hAnsi="Calibri" w:eastAsia="Calibri"/>
          <w:b w:val="0"/>
          <w:i/>
          <w:color w:val="65717C"/>
          <w:sz w:val="17"/>
        </w:rPr>
        <w:t>Table 8.5 — Preliminary HAZOP items requiring formal multidisciplinary review.</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80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Deviation</w:t>
            </w:r>
          </w:p>
        </w:tc>
        <w:tc>
          <w:tcPr>
            <w:tcW w:type="dxa" w:w="266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Credible cause</w:t>
            </w:r>
          </w:p>
        </w:tc>
        <w:tc>
          <w:tcPr>
            <w:tcW w:type="dxa" w:w="302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Consequence</w:t>
            </w:r>
          </w:p>
        </w:tc>
        <w:tc>
          <w:tcPr>
            <w:tcW w:type="dxa" w:w="316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Safeguard / response</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No/low B1 flow with heat</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Pump trip, fibre bridge, check-valve failure</w:t>
            </w:r>
          </w:p>
        </w:tc>
        <w:tc>
          <w:tcPr>
            <w:tcW w:type="dxa" w:w="30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Wall overheating, char, rapid pressure/temperature excursion</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Independent flow trip cuts firing and organics; maintains water; local blowdown</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High B3 differential pressure</w:t>
            </w:r>
          </w:p>
        </w:tc>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Underflow failure, wall deposition, salt surge</w:t>
            </w:r>
          </w:p>
        </w:tc>
        <w:tc>
          <w:tcPr>
            <w:tcW w:type="dxa" w:w="30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Reactor backpressure and blocked outlet</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Twin separator switch, feed reduction, water flush, independent relief</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Letdown erosion/failure</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Solids carryover or excessive single-stage pressure ratio</w:t>
            </w:r>
          </w:p>
        </w:tc>
        <w:tc>
          <w:tcPr>
            <w:tcW w:type="dxa" w:w="30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Loss of containment, downstream high level</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Staged sacrificial trims, vibration/position monitoring, closed receiver</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Liquid carryover to gas header</w:t>
            </w:r>
          </w:p>
        </w:tc>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B4 level/control failure</w:t>
            </w:r>
          </w:p>
        </w:tc>
        <w:tc>
          <w:tcPr>
            <w:tcW w:type="dxa" w:w="30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Rectisol/reformer upset and common-mode contamination</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High-high independent level closes double block; knockout and coalescer</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Sulfur breakthrough</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Rectisol upset, exhausted ZnO, analyser fault</w:t>
            </w:r>
          </w:p>
        </w:tc>
        <w:tc>
          <w:tcPr>
            <w:tcW w:type="dxa" w:w="30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B6/B7 catalyst poisoning</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Lead/lag beds, analyser voting, immediate off-spec diversion</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Low steam/carbon B6</w:t>
            </w:r>
          </w:p>
        </w:tc>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Steam trip or ratio-control failure</w:t>
            </w:r>
          </w:p>
        </w:tc>
        <w:tc>
          <w:tcPr>
            <w:tcW w:type="dxa" w:w="30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Reformer coking and tube overheating</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Hard permissive, feed cut, steam purge and decoking provision</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B7 high temperature</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Cooling loss, composition excursion, runaway secondary reactions</w:t>
            </w:r>
          </w:p>
        </w:tc>
        <w:tc>
          <w:tcPr>
            <w:tcW w:type="dxa" w:w="30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Selectivity loss, catalyst damage, pressure rise</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Multi-point T trip, cut fresh gas, recycle/inert cooling, relief</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Methanol release</w:t>
            </w:r>
          </w:p>
        </w:tc>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Seal/flange/drain failure in Rectisol</w:t>
            </w:r>
          </w:p>
        </w:tc>
        <w:tc>
          <w:tcPr>
            <w:tcW w:type="dxa" w:w="30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Fire, toxicity and environmental release</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Closed drains, detection, bunding, classified equipment and remote isolation</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High chloride inventory</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Supplier excursion or inadequate purge</w:t>
            </w:r>
          </w:p>
        </w:tc>
        <w:tc>
          <w:tcPr>
            <w:tcW w:type="dxa" w:w="30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Pitting/SCC and off-spec residue</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Inventory alarm, stop recycle, increase purge, quarantine source</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Dust during B8 drying</w:t>
            </w:r>
          </w:p>
        </w:tc>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Open transfer or failed extraction</w:t>
            </w:r>
          </w:p>
        </w:tc>
        <w:tc>
          <w:tcPr>
            <w:tcW w:type="dxa" w:w="30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Alkaline/metal-bearing worker exposure</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Enclosed handling, local extraction, hygiene and PPE</w:t>
            </w:r>
          </w:p>
        </w:tc>
      </w:tr>
    </w:tbl>
    <w:p>
      <w:pPr>
        <w:spacing w:after="20"/>
      </w:pPr>
    </w:p>
    <w:p>
      <w:pPr>
        <w:pStyle w:val="Heading2"/>
        <w:keepNext/>
        <w:spacing w:before="240" w:after="100"/>
      </w:pPr>
      <w:r>
        <w:rPr>
          <w:rFonts w:ascii="Calibri" w:hAnsi="Calibri" w:eastAsia="Calibri"/>
          <w:b/>
          <w:i w:val="0"/>
          <w:color w:val="2F5597"/>
          <w:sz w:val="26"/>
        </w:rPr>
        <w:t>8.6 Relief, blowdown and emergency philosophy</w:t>
      </w:r>
    </w:p>
    <w:p>
      <w:pPr>
        <w:widowControl/>
        <w:spacing w:line="269" w:lineRule="auto" w:after="120"/>
      </w:pPr>
      <w:r>
        <w:rPr>
          <w:rFonts w:ascii="Calibri" w:hAnsi="Calibri" w:eastAsia="Calibri"/>
          <w:b w:val="0"/>
          <w:i w:val="0"/>
          <w:color w:val="24282C"/>
          <w:sz w:val="20"/>
        </w:rPr>
        <w:t>Each hydrothermal train depressurises to its own water-filled quench/blowdown receiver sized for liquid inventory and flash gas. Salt-bearing two-phase relief is not discharged directly into a conventional common flare header without knockout, quench and backpressure analysis. B5–B7 clean hydrocarbon/syngas relief remains segregated from dirty hydrothermal relief until composition and hydraulic study permit combination.</w:t>
      </w:r>
    </w:p>
    <w:p>
      <w:pPr>
        <w:widowControl/>
        <w:spacing w:line="269" w:lineRule="auto" w:after="120"/>
      </w:pPr>
      <w:r>
        <w:rPr>
          <w:rFonts w:ascii="Calibri" w:hAnsi="Calibri" w:eastAsia="Calibri"/>
          <w:b w:val="0"/>
          <w:i w:val="0"/>
          <w:color w:val="24282C"/>
          <w:sz w:val="20"/>
        </w:rPr>
        <w:t>CO, H2, CH4, H2S and methanol require fixed detection, forced ventilation, hazardous-area electrical classification and remote isolation. The reformer requires burner-management, combustion safeguards and tube-rupture response. Emergency power maintains control, analyser shelters, critical cooling and safe valve positions. A loss of the shared back end causes every train to stop organic feed and transition to controlled clean-water circulation rather than forcing off-spec gas into B7.</w:t>
      </w:r>
    </w:p>
    <w:p>
      <w:pPr>
        <w:pStyle w:val="Heading2"/>
        <w:keepNext/>
        <w:spacing w:before="240" w:after="100"/>
      </w:pPr>
      <w:r>
        <w:rPr>
          <w:rFonts w:ascii="Calibri" w:hAnsi="Calibri" w:eastAsia="Calibri"/>
          <w:b/>
          <w:i w:val="0"/>
          <w:color w:val="2F5597"/>
          <w:sz w:val="26"/>
        </w:rPr>
        <w:t>8.7 Analytical release plan</w:t>
      </w:r>
    </w:p>
    <w:p>
      <w:pPr>
        <w:keepNext/>
        <w:spacing w:before="60" w:after="60"/>
      </w:pPr>
      <w:r>
        <w:rPr>
          <w:rFonts w:ascii="Calibri" w:hAnsi="Calibri" w:eastAsia="Calibri"/>
          <w:b w:val="0"/>
          <w:i/>
          <w:color w:val="65717C"/>
          <w:sz w:val="17"/>
        </w:rPr>
        <w:t>Table 8.6 — Analytical data close the process and prevent optimistic product claims.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Location</w:t>
            </w:r>
          </w:p>
        </w:tc>
        <w:tc>
          <w:tcPr>
            <w:tcW w:type="dxa" w:w="381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Online measurements</w:t>
            </w:r>
          </w:p>
        </w:tc>
        <w:tc>
          <w:tcPr>
            <w:tcW w:type="dxa" w:w="46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Laboratory / periodic measurements</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Supplier and B1</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Mass, density, pH, conductivity, tank T</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TS, rheology, PSD, CHNS, ash, ions, metals, excluded contaminants</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B2 outlet</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T/P/flow, GC H2/CH4/CO/CO2</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Aqueous TOC, solid carbon, full C/N/S/mineral balance</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B3</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DP, underflow flow/density, wall T</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Ion balance, crystal/mineral phase, organics, leachability</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B4</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Levels, water carryover, conductivity, ammonia proxy</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NH3/NH4+, TOC/COD, ions, metals, purge/recycle release</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B5/B6</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Total S, H2S/COS, water, gas composition, tube skin</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Methanol carryover, catalyst poisons and periodic carbon deposition</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B7</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Bed T/DP, GC conversion/selectivity, recycle flow</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Full product spec, oxygenates, catalyst deposition and activity trend</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B8</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Moisture and process pH</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XRF/XRD, Na/Cl, carbon, metals, leachability and destination performance</w:t>
            </w:r>
          </w:p>
        </w:tc>
      </w:tr>
    </w:tbl>
    <w:p>
      <w:pPr>
        <w:spacing w:after="20"/>
      </w:pPr>
    </w:p>
    <w:p>
      <w:pPr>
        <w:pStyle w:val="Heading1"/>
        <w:keepNext/>
        <w:pageBreakBefore/>
        <w:spacing w:after="200"/>
      </w:pPr>
      <w:r>
        <w:rPr>
          <w:rFonts w:ascii="Calibri" w:hAnsi="Calibri" w:eastAsia="Calibri"/>
          <w:b/>
          <w:i w:val="0"/>
          <w:color w:val="17365D"/>
          <w:sz w:val="34"/>
        </w:rPr>
        <w:t>9. Certification, product carbon footprint and EU market positioning</w:t>
      </w:r>
    </w:p>
    <w:p>
      <w:pPr>
        <w:pStyle w:val="Heading2"/>
        <w:keepNext/>
        <w:spacing w:before="240" w:after="100"/>
      </w:pPr>
      <w:r>
        <w:rPr>
          <w:rFonts w:ascii="Calibri" w:hAnsi="Calibri" w:eastAsia="Calibri"/>
          <w:b/>
          <w:i w:val="0"/>
          <w:color w:val="2F5597"/>
          <w:sz w:val="26"/>
        </w:rPr>
        <w:t>9.1 Why this is a standalone workstream</w:t>
      </w:r>
    </w:p>
    <w:p>
      <w:pPr>
        <w:widowControl/>
        <w:spacing w:line="269" w:lineRule="auto" w:after="120"/>
      </w:pPr>
      <w:r>
        <w:rPr>
          <w:rFonts w:ascii="Calibri" w:hAnsi="Calibri" w:eastAsia="Calibri"/>
          <w:b w:val="0"/>
          <w:i w:val="0"/>
          <w:color w:val="24282C"/>
          <w:sz w:val="20"/>
        </w:rPr>
        <w:t>Certification is not an appendix to engineering. Feed declarations determine which carbon can carry a circular or bio-based claim; the mass balance must reconcile with conversion and loss; and product documents must survive buyer and certification audits. The website should therefore present ISCC, ISO carbon-footprint accounting and market claims as their own section rather than scattering them among environmental paragraphs.</w:t>
      </w:r>
    </w:p>
    <w:p>
      <w:pPr>
        <w:pStyle w:val="Heading2"/>
        <w:keepNext/>
        <w:spacing w:before="240" w:after="100"/>
      </w:pPr>
      <w:r>
        <w:rPr>
          <w:rFonts w:ascii="Calibri" w:hAnsi="Calibri" w:eastAsia="Calibri"/>
          <w:b/>
          <w:i w:val="0"/>
          <w:color w:val="2F5597"/>
          <w:sz w:val="26"/>
        </w:rPr>
        <w:t>9.2 ISO 14067 product carbon footprint</w:t>
      </w:r>
    </w:p>
    <w:p>
      <w:pPr>
        <w:widowControl/>
        <w:spacing w:line="269" w:lineRule="auto" w:after="120"/>
      </w:pPr>
      <w:r>
        <w:rPr>
          <w:rFonts w:ascii="Calibri" w:hAnsi="Calibri" w:eastAsia="Calibri"/>
          <w:b w:val="0"/>
          <w:i w:val="0"/>
          <w:color w:val="24282C"/>
          <w:sz w:val="20"/>
        </w:rPr>
        <w:t>ISO 14067 provides principles and requirements for quantifying and reporting a product carbon footprint consistently with life-cycle assessment standards. It addresses climate change, not every environmental or social impact. The plant should calculate separate footprints for mixed light olefins, any separated ethylene/propylene products, ammonium sulfate and each qualified residue product. Allocation between waste treatment and co-products must be transparent and sensitivity-tested because a high gate fee signals that treatment is a real function of the system.</w:t>
      </w:r>
      <w:r>
        <w:rPr>
          <w:rFonts w:ascii="Calibri" w:hAnsi="Calibri" w:eastAsia="Calibri"/>
          <w:b w:val="0"/>
          <w:i w:val="0"/>
          <w:color w:val="2F5597"/>
          <w:sz w:val="15"/>
          <w:vertAlign w:val="superscript"/>
        </w:rPr>
        <w:t xml:space="preserve"> 9,29</w:t>
      </w:r>
    </w:p>
    <w:p>
      <w:pPr>
        <w:keepNext/>
        <w:spacing w:before="60" w:after="60"/>
      </w:pPr>
      <w:r>
        <w:rPr>
          <w:rFonts w:ascii="Calibri" w:hAnsi="Calibri" w:eastAsia="Calibri"/>
          <w:b w:val="0"/>
          <w:i/>
          <w:color w:val="65717C"/>
          <w:sz w:val="17"/>
        </w:rPr>
        <w:t>Table 9.1 — Minimum ISO-aligned carbon-accounting treatment.</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37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Footprint element</w:t>
            </w:r>
          </w:p>
        </w:tc>
        <w:tc>
          <w:tcPr>
            <w:tcW w:type="dxa" w:w="720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Required treatment</w:t>
            </w:r>
          </w:p>
        </w:tc>
      </w:tr>
      <w:tr>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Feed status</w:t>
            </w:r>
          </w:p>
        </w:tc>
        <w:tc>
          <w:tcPr>
            <w:tcW w:type="dxa" w:w="72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Document whether each stream is waste, residue, by-product or purchased feed under the relevant programme</w:t>
            </w:r>
          </w:p>
        </w:tc>
      </w:tr>
      <w:tr>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Inbound logistics</w:t>
            </w:r>
          </w:p>
        </w:tc>
        <w:tc>
          <w:tcPr>
            <w:tcW w:type="dxa" w:w="72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Use supplier-specific wet mass, distance, vehicle/backhaul and storage loss</w:t>
            </w:r>
          </w:p>
        </w:tc>
      </w:tr>
      <w:tr>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Utilities</w:t>
            </w:r>
          </w:p>
        </w:tc>
        <w:tc>
          <w:tcPr>
            <w:tcW w:type="dxa" w:w="72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Meter electricity, purchased fuel/steam, refrigeration and water treatment by operating period</w:t>
            </w:r>
          </w:p>
        </w:tc>
      </w:tr>
      <w:tr>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Biogenic carbon</w:t>
            </w:r>
          </w:p>
        </w:tc>
        <w:tc>
          <w:tcPr>
            <w:tcW w:type="dxa" w:w="72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Track carbon through gas, product, CO2, water and solids; do not treat all biogenic CO2 as automatically zero-impact</w:t>
            </w:r>
          </w:p>
        </w:tc>
      </w:tr>
      <w:tr>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Bauxite-residue service</w:t>
            </w:r>
          </w:p>
        </w:tc>
        <w:tc>
          <w:tcPr>
            <w:tcW w:type="dxa" w:w="72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State the baseline storage/treatment and avoid claiming displaced virgin material without performance evidence</w:t>
            </w:r>
          </w:p>
        </w:tc>
      </w:tr>
      <w:tr>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Co-product allocation</w:t>
            </w:r>
          </w:p>
        </w:tc>
        <w:tc>
          <w:tcPr>
            <w:tcW w:type="dxa" w:w="72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Report physical and economic allocation and test substitution where justified</w:t>
            </w:r>
          </w:p>
        </w:tc>
      </w:tr>
      <w:tr>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Export route</w:t>
            </w:r>
          </w:p>
        </w:tc>
        <w:tc>
          <w:tcPr>
            <w:tcW w:type="dxa" w:w="72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Include product separation, terminal, shipping and EU delivery when quoting an EU-market footprint</w:t>
            </w:r>
          </w:p>
        </w:tc>
      </w:tr>
    </w:tbl>
    <w:p>
      <w:pPr>
        <w:spacing w:after="20"/>
      </w:pPr>
    </w:p>
    <w:p>
      <w:pPr>
        <w:pStyle w:val="Heading2"/>
        <w:keepNext/>
        <w:spacing w:before="240" w:after="100"/>
      </w:pPr>
      <w:r>
        <w:rPr>
          <w:rFonts w:ascii="Calibri" w:hAnsi="Calibri" w:eastAsia="Calibri"/>
          <w:b/>
          <w:i w:val="0"/>
          <w:color w:val="2F5597"/>
          <w:sz w:val="26"/>
        </w:rPr>
        <w:t>9.3 ISCC PLUS chain of custody</w:t>
      </w:r>
    </w:p>
    <w:p>
      <w:pPr>
        <w:widowControl/>
        <w:spacing w:line="269" w:lineRule="auto" w:after="120"/>
      </w:pPr>
      <w:r>
        <w:rPr>
          <w:rFonts w:ascii="Calibri" w:hAnsi="Calibri" w:eastAsia="Calibri"/>
          <w:b w:val="0"/>
          <w:i w:val="0"/>
          <w:color w:val="24282C"/>
          <w:sz w:val="20"/>
        </w:rPr>
        <w:t>ISCC PLUS is the most relevant voluntary certification route for circular and bio-based chemical feedstocks and products. It accepts defined bio-circular wastes and residues and provides chain-of-custody options including mass balance. The plant information system must retain supplier declarations, incoming mass, sustainability characteristics, conversion factors, storage and process losses, outgoing claims and period balances. A batch that fails traceability can still be processed if legally permitted, but its product cannot silently enter the certified inventory.</w:t>
      </w:r>
      <w:r>
        <w:rPr>
          <w:rFonts w:ascii="Calibri" w:hAnsi="Calibri" w:eastAsia="Calibri"/>
          <w:b w:val="0"/>
          <w:i w:val="0"/>
          <w:color w:val="2F5597"/>
          <w:sz w:val="15"/>
          <w:vertAlign w:val="superscript"/>
        </w:rPr>
        <w:t xml:space="preserve"> 8,25,27</w:t>
      </w:r>
    </w:p>
    <w:p>
      <w:pPr>
        <w:widowControl/>
        <w:spacing w:line="269" w:lineRule="auto" w:after="120"/>
      </w:pPr>
      <w:r>
        <w:rPr>
          <w:rFonts w:ascii="Calibri" w:hAnsi="Calibri" w:eastAsia="Calibri"/>
          <w:b w:val="0"/>
          <w:i w:val="0"/>
          <w:color w:val="24282C"/>
          <w:sz w:val="20"/>
        </w:rPr>
        <w:t>Mass balance does not mean that evidence is optional. Physical mixing can occur in a shared system only while bookkeeping remains auditable and claimed output does not exceed eligible input after conversion loss. Supplier contracts need audit access, correction rights and responsibility for misdeclaration. Sales contracts must distinguish physical biogenic carbon from mass-balance attribution so the customer understands the claim being purchased.</w:t>
      </w:r>
    </w:p>
    <w:p>
      <w:pPr>
        <w:pStyle w:val="Heading2"/>
        <w:keepNext/>
        <w:spacing w:before="240" w:after="100"/>
      </w:pPr>
      <w:r>
        <w:rPr>
          <w:rFonts w:ascii="Calibri" w:hAnsi="Calibri" w:eastAsia="Calibri"/>
          <w:b/>
          <w:i w:val="0"/>
          <w:color w:val="2F5597"/>
          <w:sz w:val="26"/>
        </w:rPr>
        <w:t>9.4 EU product premium: market evidence and limits</w:t>
      </w:r>
    </w:p>
    <w:p>
      <w:pPr>
        <w:widowControl/>
        <w:spacing w:line="269" w:lineRule="auto" w:after="120"/>
      </w:pPr>
      <w:r>
        <w:rPr>
          <w:rFonts w:ascii="Calibri" w:hAnsi="Calibri" w:eastAsia="Calibri"/>
          <w:b w:val="0"/>
          <w:i w:val="0"/>
          <w:color w:val="24282C"/>
          <w:sz w:val="20"/>
        </w:rPr>
        <w:t>European chemical producers already market certified biomass-balanced products using renewable feedstocks and ISCC PLUS or equivalent systems. That demonstrates buyer demand for lower-product-carbon-footprint and renewable-attribution products, but public sources generally do not disclose a universal premium. A green-olefin premium is therefore modelled as 10%, 20% and 30% above a China commodity netback, subject to a firm buyer specification and long-term offtake. It is a commercial scenario, not a published exchange price.</w:t>
      </w:r>
      <w:r>
        <w:rPr>
          <w:rFonts w:ascii="Calibri" w:hAnsi="Calibri" w:eastAsia="Calibri"/>
          <w:b w:val="0"/>
          <w:i w:val="0"/>
          <w:color w:val="2F5597"/>
          <w:sz w:val="15"/>
          <w:vertAlign w:val="superscript"/>
        </w:rPr>
        <w:t xml:space="preserve"> 12</w:t>
      </w:r>
    </w:p>
    <w:p>
      <w:pPr>
        <w:widowControl/>
        <w:spacing w:line="269" w:lineRule="auto" w:after="120"/>
      </w:pPr>
      <w:r>
        <w:rPr>
          <w:rFonts w:ascii="Calibri" w:hAnsi="Calibri" w:eastAsia="Calibri"/>
          <w:b w:val="0"/>
          <w:i w:val="0"/>
          <w:color w:val="24282C"/>
          <w:sz w:val="20"/>
        </w:rPr>
        <w:t>The assumed premium must pay for more than certification. Export may add terminal handling, shipping, inventory, product-quality assurance, independent audit and working-capital cost. The economic scenarios add RMB 20–25 million/y to OPEX for the EU cases. A premium should be booked only on the certified volume actually sold into the contract, not on total theoretical product.</w:t>
      </w:r>
    </w:p>
    <w:p>
      <w:pPr>
        <w:keepNext/>
        <w:spacing w:before="60" w:after="60"/>
      </w:pPr>
      <w:r>
        <w:rPr>
          <w:rFonts w:ascii="Calibri" w:hAnsi="Calibri" w:eastAsia="Calibri"/>
          <w:b w:val="0"/>
          <w:i/>
          <w:color w:val="65717C"/>
          <w:sz w:val="17"/>
        </w:rPr>
        <w:t>Table 9.2 — Claim control protects both commercial value and scientific credibility.</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52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Claim</w:t>
            </w:r>
          </w:p>
        </w:tc>
        <w:tc>
          <w:tcPr>
            <w:tcW w:type="dxa" w:w="396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What supports it</w:t>
            </w:r>
          </w:p>
        </w:tc>
        <w:tc>
          <w:tcPr>
            <w:tcW w:type="dxa" w:w="331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What must not be implied</w:t>
            </w:r>
          </w:p>
        </w:tc>
      </w:tr>
      <w:tr>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Certified bio/circular attribution</w:t>
            </w:r>
          </w:p>
        </w:tc>
        <w:tc>
          <w:tcPr>
            <w:tcW w:type="dxa" w:w="39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Eligible feed records and ISCC-compliant chain of custody</w:t>
            </w:r>
          </w:p>
        </w:tc>
        <w:tc>
          <w:tcPr>
            <w:tcW w:type="dxa" w:w="33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That every molecule in the product can be physically traced to one waste batch</w:t>
            </w:r>
          </w:p>
        </w:tc>
      </w:tr>
      <w:tr>
        <w:tc>
          <w:tcPr>
            <w:tcW w:type="dxa" w:w="25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Lower product carbon footprint</w:t>
            </w:r>
          </w:p>
        </w:tc>
        <w:tc>
          <w:tcPr>
            <w:tcW w:type="dxa" w:w="39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Verified ISO-aligned LCA using metered plant data</w:t>
            </w:r>
          </w:p>
        </w:tc>
        <w:tc>
          <w:tcPr>
            <w:tcW w:type="dxa" w:w="33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That waste status automatically gives a zero footprint</w:t>
            </w:r>
          </w:p>
        </w:tc>
      </w:tr>
      <w:tr>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Bauxite-residue treatment</w:t>
            </w:r>
          </w:p>
        </w:tc>
        <w:tc>
          <w:tcPr>
            <w:tcW w:type="dxa" w:w="39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Measured Na/Cl/leaching change and a controlled product or disposal destination</w:t>
            </w:r>
          </w:p>
        </w:tc>
        <w:tc>
          <w:tcPr>
            <w:tcW w:type="dxa" w:w="33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That catalyst use alone eliminates the regional residue inventory</w:t>
            </w:r>
          </w:p>
        </w:tc>
      </w:tr>
      <w:tr>
        <w:tc>
          <w:tcPr>
            <w:tcW w:type="dxa" w:w="25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EU premium</w:t>
            </w:r>
          </w:p>
        </w:tc>
        <w:tc>
          <w:tcPr>
            <w:tcW w:type="dxa" w:w="39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Binding offtake price and volume</w:t>
            </w:r>
          </w:p>
        </w:tc>
        <w:tc>
          <w:tcPr>
            <w:tcW w:type="dxa" w:w="33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That all EU buyers pay the same uplift</w:t>
            </w:r>
          </w:p>
        </w:tc>
      </w:tr>
      <w:tr>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Carbon credit</w:t>
            </w:r>
          </w:p>
        </w:tc>
        <w:tc>
          <w:tcPr>
            <w:tcW w:type="dxa" w:w="39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Approved methodology, additionality, registration, monitoring and title</w:t>
            </w:r>
          </w:p>
        </w:tc>
        <w:tc>
          <w:tcPr>
            <w:tcW w:type="dxa" w:w="33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That avoided emissions and product premium can always be added without double counting</w:t>
            </w:r>
          </w:p>
        </w:tc>
      </w:tr>
    </w:tbl>
    <w:p>
      <w:pPr>
        <w:spacing w:after="20"/>
      </w:pPr>
    </w:p>
    <w:p>
      <w:pPr>
        <w:pStyle w:val="Heading2"/>
        <w:keepNext/>
        <w:spacing w:before="240" w:after="100"/>
      </w:pPr>
      <w:r>
        <w:rPr>
          <w:rFonts w:ascii="Calibri" w:hAnsi="Calibri" w:eastAsia="Calibri"/>
          <w:b/>
          <w:i w:val="0"/>
          <w:color w:val="2F5597"/>
          <w:sz w:val="26"/>
        </w:rPr>
        <w:t>9.5 EU CBAM</w:t>
      </w:r>
    </w:p>
    <w:p>
      <w:pPr>
        <w:widowControl/>
        <w:spacing w:line="269" w:lineRule="auto" w:after="120"/>
      </w:pPr>
      <w:r>
        <w:rPr>
          <w:rFonts w:ascii="Calibri" w:hAnsi="Calibri" w:eastAsia="Calibri"/>
          <w:b w:val="0"/>
          <w:i w:val="0"/>
          <w:color w:val="24282C"/>
          <w:sz w:val="20"/>
        </w:rPr>
        <w:t>The definitive EU Carbon Border Adjustment Mechanism began in 2026 and currently covers cement, aluminium, fertilisers, iron and steel, hydrogen and electricity categories. Light olefins are not currently one of the listed sectors. The premium case is therefore based on voluntary buyer value, renewable-content strategy and Scope 3/product-footprint reduction—not on avoided CBAM certificates. A fertilizer or mineral co-product may have a different customs classification and must be checked separately.</w:t>
      </w:r>
      <w:r>
        <w:rPr>
          <w:rFonts w:ascii="Calibri" w:hAnsi="Calibri" w:eastAsia="Calibri"/>
          <w:b w:val="0"/>
          <w:i w:val="0"/>
          <w:color w:val="2F5597"/>
          <w:sz w:val="15"/>
          <w:vertAlign w:val="superscript"/>
        </w:rPr>
        <w:t xml:space="preserve"> 11,26</w:t>
      </w:r>
    </w:p>
    <w:p>
      <w:pPr>
        <w:pStyle w:val="Heading2"/>
        <w:keepNext/>
        <w:spacing w:before="240" w:after="100"/>
      </w:pPr>
      <w:r>
        <w:rPr>
          <w:rFonts w:ascii="Calibri" w:hAnsi="Calibri" w:eastAsia="Calibri"/>
          <w:b/>
          <w:i w:val="0"/>
          <w:color w:val="2F5597"/>
          <w:sz w:val="26"/>
        </w:rPr>
        <w:t>9.6 China environmental and carbon-market interface</w:t>
      </w:r>
    </w:p>
    <w:p>
      <w:pPr>
        <w:widowControl/>
        <w:spacing w:line="269" w:lineRule="auto" w:after="120"/>
      </w:pPr>
      <w:r>
        <w:rPr>
          <w:rFonts w:ascii="Calibri" w:hAnsi="Calibri" w:eastAsia="Calibri"/>
          <w:b w:val="0"/>
          <w:i w:val="0"/>
          <w:color w:val="24282C"/>
          <w:sz w:val="20"/>
        </w:rPr>
        <w:t>Chinese permits govern waste acceptance, wastewater, air emissions, pressure systems, hazardous chemicals and residue destinations independently of voluntary certification. National ETS or CCER prices can inform sensitivity, but they are not automatic revenue: the project needs a valid methodology, additionality, registered ownership and verified reductions. The economic base therefore excludes carbon-credit revenue. Product premium, gate fee and carbon credit are kept separate to avoid counting the same environmental attribute more than once.</w:t>
      </w:r>
    </w:p>
    <w:p>
      <w:pPr>
        <w:pStyle w:val="Heading2"/>
        <w:keepNext/>
        <w:spacing w:before="240" w:after="100"/>
      </w:pPr>
      <w:r>
        <w:rPr>
          <w:rFonts w:ascii="Calibri" w:hAnsi="Calibri" w:eastAsia="Calibri"/>
          <w:b/>
          <w:i w:val="0"/>
          <w:color w:val="2F5597"/>
          <w:sz w:val="26"/>
        </w:rPr>
        <w:t>9.7 Website presentation</w:t>
      </w:r>
    </w:p>
    <w:p>
      <w:pPr>
        <w:widowControl/>
        <w:spacing w:line="269" w:lineRule="auto" w:after="120"/>
      </w:pPr>
      <w:r>
        <w:rPr>
          <w:rFonts w:ascii="Calibri" w:hAnsi="Calibri" w:eastAsia="Calibri"/>
          <w:b w:val="0"/>
          <w:i w:val="0"/>
          <w:color w:val="24282C"/>
          <w:sz w:val="20"/>
        </w:rPr>
        <w:t>The website version should begin with the waste portfolio and regional map, then show the ten-train process. A standalone certification section should explain three simple ideas: trace the wastes, calculate the product footprint, and sell only the claim that the evidence supports. The EU market discussion should state that a premium is possible and commercially important, while also stating that it requires contracted buyers and does not arise from CBAM coverage of olefins.</w:t>
      </w:r>
    </w:p>
    <w:p>
      <w:pPr>
        <w:pStyle w:val="Heading2"/>
        <w:keepNext/>
        <w:spacing w:before="240" w:after="100"/>
      </w:pPr>
      <w:r>
        <w:rPr>
          <w:rFonts w:ascii="Calibri" w:hAnsi="Calibri" w:eastAsia="Calibri"/>
          <w:b/>
          <w:i w:val="0"/>
          <w:color w:val="2F5597"/>
          <w:sz w:val="26"/>
        </w:rPr>
        <w:t>9.8 Certification ledger and saleable-claim calculation</w:t>
      </w:r>
    </w:p>
    <w:p>
      <w:pPr>
        <w:widowControl/>
        <w:spacing w:line="269" w:lineRule="auto" w:after="120"/>
      </w:pPr>
      <w:r>
        <w:rPr>
          <w:rFonts w:ascii="Calibri" w:hAnsi="Calibri" w:eastAsia="Calibri"/>
          <w:b w:val="0"/>
          <w:i w:val="0"/>
          <w:color w:val="24282C"/>
          <w:sz w:val="20"/>
        </w:rPr>
        <w:t>The certification ledger follows carbon and eligible mass through physical loss. Incoming douzha or co-feed is recorded by supplier, date, wet mass, total solids, eligible status and sustainability characteristics. The system does not issue one tonne of product claim for one tonne of wet input. A conversion factor links eligible dry carbon to certified product after B3/B4 carbon loss, B5 CO2 rejection and B7 purge. If non-certified feed is processed in the same period, the eligible share is allocated under the selected chain-of-custody rule and cannot exceed the verified balance.</w:t>
      </w:r>
    </w:p>
    <w:p>
      <w:pPr>
        <w:keepNext/>
        <w:spacing w:before="60" w:after="60"/>
      </w:pPr>
      <w:r>
        <w:rPr>
          <w:rFonts w:ascii="Calibri" w:hAnsi="Calibri" w:eastAsia="Calibri"/>
          <w:b w:val="0"/>
          <w:i/>
          <w:color w:val="65717C"/>
          <w:sz w:val="17"/>
        </w:rPr>
        <w:t>Table 9.3 — The premium depends on a transaction-ready ledger, not a sustainability paragraph.</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44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Ledger field</w:t>
            </w:r>
          </w:p>
        </w:tc>
        <w:tc>
          <w:tcPr>
            <w:tcW w:type="dxa" w:w="381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Source</w:t>
            </w:r>
          </w:p>
        </w:tc>
        <w:tc>
          <w:tcPr>
            <w:tcW w:type="dxa" w:w="381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Control / reconciliation</w:t>
            </w:r>
          </w:p>
        </w:tc>
      </w:tr>
      <w:tr>
        <w:tc>
          <w:tcPr>
            <w:tcW w:type="dxa" w:w="24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Supplier and point of origin</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Approved supplier declaration and delivery document</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Unique lot ID; audit rights; correction and quarantine workflow</w:t>
            </w:r>
          </w:p>
        </w:tc>
      </w:tr>
      <w:tr>
        <w:tc>
          <w:tcPr>
            <w:tcW w:type="dxa" w:w="244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Wet mass and total solids</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Weighbridge, tank mass and laboratory TS</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Wet-to-dry reconciliation; invoice and eligible-input basis</w:t>
            </w:r>
          </w:p>
        </w:tc>
      </w:tr>
      <w:tr>
        <w:tc>
          <w:tcPr>
            <w:tcW w:type="dxa" w:w="24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Eligible feed category</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Certification evidence and legal waste/by-product status</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No default eligibility from material name alone</w:t>
            </w:r>
          </w:p>
        </w:tc>
      </w:tr>
      <w:tr>
        <w:tc>
          <w:tcPr>
            <w:tcW w:type="dxa" w:w="244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Carbon and conversion factor</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CHNS/TOC balances by accounting period</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Certified output reduced by measured gas, water, solid and purge losses</w:t>
            </w:r>
          </w:p>
        </w:tc>
      </w:tr>
      <w:tr>
        <w:tc>
          <w:tcPr>
            <w:tcW w:type="dxa" w:w="24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Storage and process loss</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Tank, flare/fuel, wastewater and residue records</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Loss entered before output attribution</w:t>
            </w:r>
          </w:p>
        </w:tc>
      </w:tr>
      <w:tr>
        <w:tc>
          <w:tcPr>
            <w:tcW w:type="dxa" w:w="244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Outgoing product</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Tank/line mass, product analysis and sales document</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Claim wording, volume and certificate linked to buyer lot</w:t>
            </w:r>
          </w:p>
        </w:tc>
      </w:tr>
      <w:tr>
        <w:tc>
          <w:tcPr>
            <w:tcW w:type="dxa" w:w="24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Product carbon footprint</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Metered utilities, logistics and allocation model</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Version-controlled ISO-aligned calculation and independent verification</w:t>
            </w:r>
          </w:p>
        </w:tc>
      </w:tr>
    </w:tbl>
    <w:p>
      <w:pPr>
        <w:spacing w:after="20"/>
      </w:pPr>
    </w:p>
    <w:p>
      <w:pPr>
        <w:widowControl/>
        <w:spacing w:line="269" w:lineRule="auto" w:after="120"/>
      </w:pPr>
      <w:r>
        <w:rPr>
          <w:rFonts w:ascii="Calibri" w:hAnsi="Calibri" w:eastAsia="Calibri"/>
          <w:b w:val="0"/>
          <w:i w:val="0"/>
          <w:color w:val="24282C"/>
          <w:sz w:val="20"/>
        </w:rPr>
        <w:t>Commercially, the ledger determines the premium volume. If only 70% of feed carbon is eligible or only 80% of product is sold to an EU certified buyer, premium revenue applies to the lower auditable volume after loss. The economic cases use 100% of product only to show the upper sensitivity; a bank model should use contracted certified tonnes by buyer and deduct unsold or downgraded inventory.</w:t>
      </w:r>
    </w:p>
    <w:p>
      <w:pPr>
        <w:pStyle w:val="Heading2"/>
        <w:keepNext/>
        <w:spacing w:before="240" w:after="100"/>
      </w:pPr>
      <w:r>
        <w:rPr>
          <w:rFonts w:ascii="Calibri" w:hAnsi="Calibri" w:eastAsia="Calibri"/>
          <w:b/>
          <w:i w:val="0"/>
          <w:color w:val="2F5597"/>
          <w:sz w:val="26"/>
        </w:rPr>
        <w:t>9.7 Source-aligned plant carbon accounting</w:t>
      </w:r>
    </w:p>
    <w:p>
      <w:pPr>
        <w:widowControl/>
        <w:spacing w:line="269" w:lineRule="auto" w:after="120"/>
      </w:pPr>
      <w:r>
        <w:rPr>
          <w:rFonts w:ascii="Calibri" w:hAnsi="Calibri" w:eastAsia="Calibri"/>
          <w:b w:val="0"/>
          <w:i w:val="0"/>
          <w:color w:val="24282C"/>
          <w:sz w:val="20"/>
        </w:rPr>
        <w:t>The supplied company method calculates plant emissions as fuel combustion plus process emissions plus net purchased electricity plus purchased heat, less only qualifying recovered carbon dioxide. Process emissions are closed by carbon mass balance: carbon entering in feed minus carbon leaving in methanol or other products, ash/slag, exported carbon streams and measured storage. Internal carbon dioxide recycle is not an avoided emission merely because it circulates inside the plant.</w:t>
      </w:r>
      <w:r>
        <w:rPr>
          <w:rFonts w:ascii="Calibri" w:hAnsi="Calibri" w:eastAsia="Calibri"/>
          <w:b w:val="0"/>
          <w:i w:val="0"/>
          <w:color w:val="2F5597"/>
          <w:sz w:val="15"/>
          <w:vertAlign w:val="superscript"/>
        </w:rPr>
        <w:t xml:space="preserve"> 44</w:t>
      </w:r>
    </w:p>
    <w:p>
      <w:pPr>
        <w:keepLines/>
        <w:spacing w:before="80" w:after="140"/>
        <w:jc w:val="center"/>
      </w:pPr>
      <w:r>
        <w:rPr>
          <w:rFonts w:ascii="Cambria" w:hAnsi="Cambria" w:eastAsia="Cambria"/>
          <w:b w:val="0"/>
          <w:i/>
          <w:color w:val="17365D"/>
          <w:sz w:val="22"/>
        </w:rPr>
        <w:t>Eplant = Ecombustion + Eprocess + Enet electricity + Epurchased heat − Equalifying recovered CO₂</w:t>
      </w:r>
    </w:p>
    <w:p>
      <w:pPr>
        <w:keepNext/>
        <w:spacing w:before="60" w:after="60"/>
      </w:pPr>
      <w:r>
        <w:rPr>
          <w:rFonts w:ascii="Calibri" w:hAnsi="Calibri" w:eastAsia="Calibri"/>
          <w:b w:val="0"/>
          <w:i/>
          <w:color w:val="65717C"/>
          <w:sz w:val="17"/>
        </w:rPr>
        <w:t>Table 9.7 — Source-aligned greenhouse-gas accounting controls.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7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Accounting item</w:t>
            </w:r>
          </w:p>
        </w:tc>
        <w:tc>
          <w:tcPr>
            <w:tcW w:type="dxa" w:w="352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Supplied reference method</w:t>
            </w:r>
          </w:p>
        </w:tc>
        <w:tc>
          <w:tcPr>
            <w:tcW w:type="dxa" w:w="432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Towngas implementation</w:t>
            </w:r>
          </w:p>
        </w:tc>
      </w:tr>
      <w:tr>
        <w:tc>
          <w:tcPr>
            <w:tcW w:type="dxa" w:w="187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Electricity</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Net purchased MWh × 0.5366 t CO₂/MWh reference factor</w:t>
            </w:r>
          </w:p>
        </w:tc>
        <w:tc>
          <w:tcPr>
            <w:tcW w:type="dxa" w:w="43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Use metered net import and label factor year/region; keep 0.5366 as the source-aligned reference case</w:t>
            </w:r>
          </w:p>
        </w:tc>
      </w:tr>
      <w:tr>
        <w:tc>
          <w:tcPr>
            <w:tcW w:type="dxa" w:w="187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Purchased heat</w:t>
            </w:r>
          </w:p>
        </w:tc>
        <w:tc>
          <w:tcPr>
            <w:tcW w:type="dxa" w:w="35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Purchased GJ × measured factor; 0.11 t CO₂/GJ default when unavailable</w:t>
            </w:r>
          </w:p>
        </w:tc>
        <w:tc>
          <w:tcPr>
            <w:tcW w:type="dxa" w:w="43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Use heat-balance-specific factor where possible; never confuse emission factor with RMB/GJ price</w:t>
            </w:r>
          </w:p>
        </w:tc>
      </w:tr>
      <w:tr>
        <w:tc>
          <w:tcPr>
            <w:tcW w:type="dxa" w:w="187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Process carbon</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Input carbon less carbon in product, ash/slag and other measured exits</w:t>
            </w:r>
          </w:p>
        </w:tc>
        <w:tc>
          <w:tcPr>
            <w:tcW w:type="dxa" w:w="43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Close olefins, CO₂, purge fuel, aqueous carbon, B8 solids and exported by-products</w:t>
            </w:r>
          </w:p>
        </w:tc>
      </w:tr>
      <w:tr>
        <w:tc>
          <w:tcPr>
            <w:tcW w:type="dxa" w:w="187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Recovered CO₂</w:t>
            </w:r>
          </w:p>
        </w:tc>
        <w:tc>
          <w:tcPr>
            <w:tcW w:type="dxa" w:w="35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Deduct only qualifying recovered/exported quantity</w:t>
            </w:r>
          </w:p>
        </w:tc>
        <w:tc>
          <w:tcPr>
            <w:tcW w:type="dxa" w:w="43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Internal B5-to-B6 recycle is not automatically deducted</w:t>
            </w:r>
          </w:p>
        </w:tc>
      </w:tr>
      <w:tr>
        <w:tc>
          <w:tcPr>
            <w:tcW w:type="dxa" w:w="187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Biogenic carbon</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Identify source and destination</w:t>
            </w:r>
          </w:p>
        </w:tc>
        <w:tc>
          <w:tcPr>
            <w:tcW w:type="dxa" w:w="43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Track eligible biogenic carbon through ISCC mass balance and ISO 14067 product footprint</w:t>
            </w:r>
          </w:p>
        </w:tc>
      </w:tr>
    </w:tbl>
    <w:p>
      <w:pPr>
        <w:spacing w:after="20"/>
      </w:pPr>
    </w:p>
    <w:p>
      <w:pPr>
        <w:pStyle w:val="Heading1"/>
        <w:keepNext/>
        <w:pageBreakBefore/>
        <w:spacing w:after="200"/>
      </w:pPr>
      <w:r>
        <w:rPr>
          <w:rFonts w:ascii="Calibri" w:hAnsi="Calibri" w:eastAsia="Calibri"/>
          <w:b/>
          <w:i w:val="0"/>
          <w:color w:val="17365D"/>
          <w:sz w:val="34"/>
        </w:rPr>
        <w:t>10. China CAPEX, OPEX and 20-year economic evaluation</w:t>
      </w:r>
    </w:p>
    <w:p>
      <w:pPr>
        <w:pStyle w:val="Heading2"/>
        <w:keepNext/>
        <w:spacing w:before="240" w:after="100"/>
      </w:pPr>
      <w:r>
        <w:rPr>
          <w:rFonts w:ascii="Calibri" w:hAnsi="Calibri" w:eastAsia="Calibri"/>
          <w:b/>
          <w:i w:val="0"/>
          <w:color w:val="2F5597"/>
          <w:sz w:val="26"/>
        </w:rPr>
        <w:t>10.1 Cost basis and benchmark</w:t>
      </w:r>
    </w:p>
    <w:p>
      <w:pPr>
        <w:widowControl/>
        <w:spacing w:line="269" w:lineRule="auto" w:after="120"/>
      </w:pPr>
      <w:r>
        <w:rPr>
          <w:rFonts w:ascii="Calibri" w:hAnsi="Calibri" w:eastAsia="Calibri"/>
          <w:b w:val="0"/>
          <w:i w:val="0"/>
          <w:color w:val="24282C"/>
          <w:sz w:val="20"/>
        </w:rPr>
        <w:t>All costs are in 2026 RMB. The company provided a useful benchmark: approximately RMB 1.5 billion for a 300,000 t/y Inner Mongolia methanol plant, equivalent to 5,000 RMB per annual tonne of methanol capacity. That benchmark is an order-of-magnitude comparison, not a direct scale factor. The present plant processes almost one million tonnes per year of dilute slurry through ten 25 MPa trains but produces only 42–55 kt/y of olefins. It also includes hot salt handling, residue washing, Rectisol, reforming, OXZEO and olefin separation. Product-normalised capital must therefore be much higher than the methanol comparator.</w:t>
      </w:r>
    </w:p>
    <w:p>
      <w:pPr>
        <w:widowControl/>
        <w:spacing w:line="269" w:lineRule="auto" w:after="120"/>
      </w:pPr>
      <w:r>
        <w:rPr>
          <w:rFonts w:ascii="Calibri" w:hAnsi="Calibri" w:eastAsia="Calibri"/>
          <w:b w:val="0"/>
          <w:i w:val="0"/>
          <w:color w:val="24282C"/>
          <w:sz w:val="20"/>
        </w:rPr>
        <w:t>July 2026 National Bureau of Statistics market monitoring reported LLDPE around 8,423 RMB/t and polypropylene around 8,875 RMB/t. These are traded resin prices, not mixed-olefin plant-gate prices. The economic model uses a lower 7,500 RMB/t olefin netback after recognising product mix, separation, quality and logistics. A certified EU case adds 10–30% to that netback only as a buyer-contract scenario.</w:t>
      </w:r>
      <w:r>
        <w:rPr>
          <w:rFonts w:ascii="Calibri" w:hAnsi="Calibri" w:eastAsia="Calibri"/>
          <w:b w:val="0"/>
          <w:i w:val="0"/>
          <w:color w:val="2F5597"/>
          <w:sz w:val="15"/>
          <w:vertAlign w:val="superscript"/>
        </w:rPr>
        <w:t xml:space="preserve"> 10</w:t>
      </w:r>
    </w:p>
    <w:p>
      <w:pPr>
        <w:keepNext/>
        <w:spacing w:before="60" w:after="60"/>
      </w:pPr>
      <w:r>
        <w:rPr>
          <w:rFonts w:ascii="Calibri" w:hAnsi="Calibri" w:eastAsia="Calibri"/>
          <w:b w:val="0"/>
          <w:i/>
          <w:color w:val="65717C"/>
          <w:sz w:val="17"/>
        </w:rPr>
        <w:t>Table 10.1 — China price and project-finance assumptions.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59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Economic parameter</w:t>
            </w:r>
          </w:p>
        </w:tc>
        <w:tc>
          <w:tcPr>
            <w:tcW w:type="dxa" w:w="259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Central value</w:t>
            </w:r>
          </w:p>
        </w:tc>
        <w:tc>
          <w:tcPr>
            <w:tcW w:type="dxa" w:w="446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Treatment</w:t>
            </w:r>
          </w:p>
        </w:tc>
      </w:tr>
      <w:tr>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Operating life</w:t>
            </w:r>
          </w:p>
        </w:tc>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20 years</w:t>
            </w:r>
          </w:p>
        </w:tc>
        <w:tc>
          <w:tcPr>
            <w:tcW w:type="dxa" w:w="44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Requested project life; no terminal value</w:t>
            </w:r>
          </w:p>
        </w:tc>
      </w:tr>
      <w:tr>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Discount rate</w:t>
            </w:r>
          </w:p>
        </w:tc>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10% nominal pre-tax unlevered</w:t>
            </w:r>
          </w:p>
        </w:tc>
        <w:tc>
          <w:tcPr>
            <w:tcW w:type="dxa" w:w="44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20-year annuity factor 8.5136</w:t>
            </w:r>
          </w:p>
        </w:tc>
      </w:tr>
      <w:tr>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Total capital</w:t>
            </w:r>
          </w:p>
        </w:tc>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RMB 2.814 billion</w:t>
            </w:r>
          </w:p>
        </w:tc>
        <w:tc>
          <w:tcPr>
            <w:tcW w:type="dxa" w:w="44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China Class 4 screen; range RMB 2.2–4.0 billion</w:t>
            </w:r>
          </w:p>
        </w:tc>
      </w:tr>
      <w:tr>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Current conversion</w:t>
            </w:r>
          </w:p>
        </w:tc>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42% feed C to olefin</w:t>
            </w:r>
          </w:p>
        </w:tc>
        <w:tc>
          <w:tcPr>
            <w:tcW w:type="dxa" w:w="44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42.35 kt/y</w:t>
            </w:r>
          </w:p>
        </w:tc>
      </w:tr>
      <w:tr>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Improved target</w:t>
            </w:r>
          </w:p>
        </w:tc>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55% feed C to olefin</w:t>
            </w:r>
          </w:p>
        </w:tc>
        <w:tc>
          <w:tcPr>
            <w:tcW w:type="dxa" w:w="44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55.45 kt/y</w:t>
            </w:r>
          </w:p>
        </w:tc>
      </w:tr>
      <w:tr>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Commodity netback</w:t>
            </w:r>
          </w:p>
        </w:tc>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7,500 RMB/t</w:t>
            </w:r>
          </w:p>
        </w:tc>
        <w:tc>
          <w:tcPr>
            <w:tcW w:type="dxa" w:w="44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Mixed light-olefin plant-gate screen, below NBS resin observations</w:t>
            </w:r>
          </w:p>
        </w:tc>
      </w:tr>
      <w:tr>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EU premium</w:t>
            </w:r>
          </w:p>
        </w:tc>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+10%, +20%, +30%</w:t>
            </w:r>
          </w:p>
        </w:tc>
        <w:tc>
          <w:tcPr>
            <w:tcW w:type="dxa" w:w="44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Not guaranteed; requires certified volume and offtake</w:t>
            </w:r>
          </w:p>
        </w:tc>
      </w:tr>
      <w:tr>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Base feed-service fees</w:t>
            </w:r>
          </w:p>
        </w:tc>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RMB 83.6m/y</w:t>
            </w:r>
          </w:p>
        </w:tc>
        <w:tc>
          <w:tcPr>
            <w:tcW w:type="dxa" w:w="44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70 RMB/t douzha; 150 RMB/t added wet wastes; 160 RMB/t bauxite residue</w:t>
            </w:r>
          </w:p>
        </w:tc>
      </w:tr>
      <w:tr>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Contracted circular fees</w:t>
            </w:r>
          </w:p>
        </w:tc>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RMB 203.5m/y</w:t>
            </w:r>
          </w:p>
        </w:tc>
        <w:tc>
          <w:tcPr>
            <w:tcW w:type="dxa" w:w="44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250 RMB/t eligible wet organics; 160 RMB/t bauxite residue</w:t>
            </w:r>
          </w:p>
        </w:tc>
      </w:tr>
      <w:tr>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Carbon credits / scandium</w:t>
            </w:r>
          </w:p>
        </w:tc>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Zero</w:t>
            </w:r>
          </w:p>
        </w:tc>
        <w:tc>
          <w:tcPr>
            <w:tcW w:type="dxa" w:w="44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Excluded until methodology, recovery and contract exist</w:t>
            </w:r>
          </w:p>
        </w:tc>
      </w:tr>
    </w:tbl>
    <w:p>
      <w:pPr>
        <w:spacing w:after="20"/>
      </w:pPr>
    </w:p>
    <w:p>
      <w:pPr>
        <w:pStyle w:val="Heading2"/>
        <w:keepNext/>
        <w:spacing w:before="240" w:after="100"/>
      </w:pPr>
      <w:r>
        <w:rPr>
          <w:rFonts w:ascii="Calibri" w:hAnsi="Calibri" w:eastAsia="Calibri"/>
          <w:b/>
          <w:i w:val="0"/>
          <w:color w:val="2F5597"/>
          <w:sz w:val="26"/>
        </w:rPr>
        <w:t>10.2 CAPEX</w:t>
      </w:r>
    </w:p>
    <w:p>
      <w:pPr>
        <w:keepNext/>
        <w:spacing w:before="60" w:after="60"/>
      </w:pPr>
      <w:r>
        <w:rPr>
          <w:rFonts w:ascii="Calibri" w:hAnsi="Calibri" w:eastAsia="Calibri"/>
          <w:b w:val="0"/>
          <w:i/>
          <w:color w:val="65717C"/>
          <w:sz w:val="17"/>
        </w:rPr>
        <w:t>Table 10.2 — Central ten-train Class 4 capital estimate.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633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6"/>
              </w:rPr>
              <w:t>CAPEX area</w:t>
            </w:r>
          </w:p>
        </w:tc>
        <w:tc>
          <w:tcPr>
            <w:tcW w:type="dxa" w:w="172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6"/>
              </w:rPr>
              <w:t>RMB million</w:t>
            </w:r>
          </w:p>
        </w:tc>
        <w:tc>
          <w:tcPr>
            <w:tcW w:type="dxa" w:w="129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6"/>
              </w:rPr>
              <w:t>Share</w:t>
            </w:r>
          </w:p>
        </w:tc>
      </w:tr>
      <w:tr>
        <w:tc>
          <w:tcPr>
            <w:tcW w:type="dxa" w:w="633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B1 receiving, preparation and HP feed</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140</w:t>
            </w:r>
          </w:p>
        </w:tc>
        <w:tc>
          <w:tcPr>
            <w:tcW w:type="dxa" w:w="12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5.0%</w:t>
            </w:r>
          </w:p>
        </w:tc>
      </w:tr>
      <w:tr>
        <w:tc>
          <w:tcPr>
            <w:tcW w:type="dxa" w:w="633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B2 ten-train SCWG island</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880</w:t>
            </w:r>
          </w:p>
        </w:tc>
        <w:tc>
          <w:tcPr>
            <w:tcW w:type="dxa" w:w="12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31.3%</w:t>
            </w:r>
          </w:p>
        </w:tc>
      </w:tr>
      <w:tr>
        <w:tc>
          <w:tcPr>
            <w:tcW w:type="dxa" w:w="633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B3/B4 salt, heat recovery, letdown and water</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330</w:t>
            </w:r>
          </w:p>
        </w:tc>
        <w:tc>
          <w:tcPr>
            <w:tcW w:type="dxa" w:w="12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11.7%</w:t>
            </w:r>
          </w:p>
        </w:tc>
      </w:tr>
      <w:tr>
        <w:tc>
          <w:tcPr>
            <w:tcW w:type="dxa" w:w="633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B5 shared Rectisol, ZnO and sulfur recovery</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250</w:t>
            </w:r>
          </w:p>
        </w:tc>
        <w:tc>
          <w:tcPr>
            <w:tcW w:type="dxa" w:w="12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8.9%</w:t>
            </w:r>
          </w:p>
        </w:tc>
      </w:tr>
      <w:tr>
        <w:tc>
          <w:tcPr>
            <w:tcW w:type="dxa" w:w="633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B6 shared bi-reformer and steam integration</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260</w:t>
            </w:r>
          </w:p>
        </w:tc>
        <w:tc>
          <w:tcPr>
            <w:tcW w:type="dxa" w:w="12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9.2%</w:t>
            </w:r>
          </w:p>
        </w:tc>
      </w:tr>
      <w:tr>
        <w:tc>
          <w:tcPr>
            <w:tcW w:type="dxa" w:w="633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B7 OXZEO, recycle and product recovery</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390</w:t>
            </w:r>
          </w:p>
        </w:tc>
        <w:tc>
          <w:tcPr>
            <w:tcW w:type="dxa" w:w="12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13.9%</w:t>
            </w:r>
          </w:p>
        </w:tc>
      </w:tr>
      <w:tr>
        <w:tc>
          <w:tcPr>
            <w:tcW w:type="dxa" w:w="633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B8 residue and nitrogen recovery</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150</w:t>
            </w:r>
          </w:p>
        </w:tc>
        <w:tc>
          <w:tcPr>
            <w:tcW w:type="dxa" w:w="12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5.3%</w:t>
            </w:r>
          </w:p>
        </w:tc>
      </w:tr>
      <w:tr>
        <w:tc>
          <w:tcPr>
            <w:tcW w:type="dxa" w:w="633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Utilities and offsites</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260</w:t>
            </w:r>
          </w:p>
        </w:tc>
        <w:tc>
          <w:tcPr>
            <w:tcW w:type="dxa" w:w="12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9.2%</w:t>
            </w:r>
          </w:p>
        </w:tc>
      </w:tr>
      <w:tr>
        <w:tc>
          <w:tcPr>
            <w:tcW w:type="dxa" w:w="633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Buildings, owner/EPCM and residual contingency</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154</w:t>
            </w:r>
          </w:p>
        </w:tc>
        <w:tc>
          <w:tcPr>
            <w:tcW w:type="dxa" w:w="12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5.5%</w:t>
            </w:r>
          </w:p>
        </w:tc>
      </w:tr>
      <w:tr>
        <w:tc>
          <w:tcPr>
            <w:tcW w:type="dxa" w:w="633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Total capital investment</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2,814</w:t>
            </w:r>
          </w:p>
        </w:tc>
        <w:tc>
          <w:tcPr>
            <w:tcW w:type="dxa" w:w="12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100.0%</w:t>
            </w:r>
          </w:p>
        </w:tc>
      </w:tr>
    </w:tbl>
    <w:p>
      <w:pPr>
        <w:spacing w:after="20"/>
      </w:pPr>
    </w:p>
    <w:p>
      <w:pPr>
        <w:widowControl/>
        <w:spacing w:line="269" w:lineRule="auto" w:after="120"/>
      </w:pPr>
      <w:r>
        <w:rPr>
          <w:rFonts w:ascii="Calibri" w:hAnsi="Calibri" w:eastAsia="Calibri"/>
          <w:b w:val="0"/>
          <w:i w:val="0"/>
          <w:color w:val="24282C"/>
          <w:sz w:val="20"/>
        </w:rPr>
        <w:t>The Class 4 range is approximately RMB 2.2–4.0 billion. B2 receives the largest uncertainty because no mature commercial reference combines this slurry, pressure, temperature and salt duty. B3/B4 are also high-risk because availability depends on online withdrawal and cleanability, not just vessel size. B7 includes a licensed/reactor allowance and product recovery, but catalyst royalty and imported package exposure require vendor quotation. The estimate excludes downstream polymerisation, financing during construction and recoverable VAT.</w:t>
      </w:r>
    </w:p>
    <w:tbl>
      <w:tblPr>
        <w:tblW w:type="auto" w:w="0"/>
        <w:jc w:val="center"/>
        <w:tblLook w:firstColumn="1" w:firstRow="1" w:lastColumn="0" w:lastRow="0" w:noHBand="0" w:noVBand="1" w:val="04A0"/>
      </w:tblPr>
      <w:tblGrid>
        <w:gridCol w:w="9878"/>
      </w:tblGrid>
      <w:tr>
        <w:tc>
          <w:tcPr>
            <w:tcW w:type="dxa" w:w="9878"/>
            <w:shd w:fill="FFF4D8"/>
            <w:tcMar>
              <w:top w:w="130" w:type="dxa"/>
              <w:start w:w="150" w:type="dxa"/>
              <w:bottom w:w="130" w:type="dxa"/>
              <w:end w:w="150" w:type="dxa"/>
            </w:tcMar>
          </w:tcPr>
          <w:p>
            <w:pPr>
              <w:spacing w:line="259" w:lineRule="auto" w:after="0"/>
            </w:pPr>
            <w:r>
              <w:rPr>
                <w:rFonts w:ascii="Calibri" w:hAnsi="Calibri" w:eastAsia="Calibri"/>
                <w:b/>
                <w:i w:val="0"/>
                <w:color w:val="B1842F"/>
                <w:sz w:val="20"/>
              </w:rPr>
              <w:t xml:space="preserve">MAIN COST DRIVER: </w:t>
            </w:r>
            <w:r>
              <w:rPr>
                <w:rFonts w:ascii="Calibri" w:hAnsi="Calibri" w:eastAsia="Calibri"/>
                <w:b w:val="0"/>
                <w:i w:val="0"/>
                <w:color w:val="24282C"/>
                <w:sz w:val="20"/>
              </w:rPr>
              <w:t>The high-pressure hydrothermal island and its salt-resistant feed/heat/separation equipment are sized by almost 1.0 million t/y of watery slurry, while revenue is generated by only about 42–55 thousand t/y of olefins. This capital dilution—not the OXZEO catalyst price alone—is the main reason the plant struggles financially.</w:t>
            </w:r>
          </w:p>
        </w:tc>
      </w:tr>
    </w:tbl>
    <w:p>
      <w:pPr>
        <w:spacing w:after="20"/>
      </w:pPr>
    </w:p>
    <w:p>
      <w:pPr>
        <w:pStyle w:val="Heading2"/>
        <w:keepNext/>
        <w:spacing w:before="240" w:after="100"/>
      </w:pPr>
      <w:r>
        <w:rPr>
          <w:rFonts w:ascii="Calibri" w:hAnsi="Calibri" w:eastAsia="Calibri"/>
          <w:b/>
          <w:i w:val="0"/>
          <w:color w:val="2F5597"/>
          <w:sz w:val="26"/>
        </w:rPr>
        <w:t>10.3 OPEX</w:t>
      </w:r>
    </w:p>
    <w:p>
      <w:pPr>
        <w:keepNext/>
        <w:spacing w:before="60" w:after="60"/>
      </w:pPr>
      <w:r>
        <w:rPr>
          <w:rFonts w:ascii="Calibri" w:hAnsi="Calibri" w:eastAsia="Calibri"/>
          <w:b w:val="0"/>
          <w:i/>
          <w:color w:val="65717C"/>
          <w:sz w:val="17"/>
        </w:rPr>
        <w:t>Table 10.3 — Annual cash OPEX before EU export/compliance increment.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446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Cash OPEX</w:t>
            </w:r>
          </w:p>
        </w:tc>
        <w:tc>
          <w:tcPr>
            <w:tcW w:type="dxa" w:w="172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RMB million/y</w:t>
            </w:r>
          </w:p>
        </w:tc>
        <w:tc>
          <w:tcPr>
            <w:tcW w:type="dxa" w:w="316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Basis</w:t>
            </w:r>
          </w:p>
        </w:tc>
      </w:tr>
      <w:tr>
        <w:tc>
          <w:tcPr>
            <w:tcW w:type="dxa" w:w="3293"/>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Electricity</w:t>
            </w:r>
          </w:p>
        </w:tc>
        <w:tc>
          <w:tcPr>
            <w:tcW w:type="dxa" w:w="3293"/>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18.8</w:t>
            </w:r>
          </w:p>
        </w:tc>
        <w:tc>
          <w:tcPr>
            <w:tcW w:type="dxa" w:w="3293"/>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≈50.9 GWh/y at supplied 0.37 RMB/kWh</w:t>
            </w:r>
          </w:p>
        </w:tc>
      </w:tr>
      <w:tr>
        <w:tc>
          <w:tcPr>
            <w:tcW w:type="dxa" w:w="3293"/>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4"/>
              </w:rPr>
              <w:t>Biomass thermal energy</w:t>
            </w:r>
          </w:p>
        </w:tc>
        <w:tc>
          <w:tcPr>
            <w:tcW w:type="dxa" w:w="3293"/>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4"/>
              </w:rPr>
              <w:t>31.0</w:t>
            </w:r>
          </w:p>
        </w:tc>
        <w:tc>
          <w:tcPr>
            <w:tcW w:type="dxa" w:w="3293"/>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4"/>
              </w:rPr>
              <w:t>≈682,650 GJ/y; 600 RMB/t pellets; stated LHV/efficiency assumptions</w:t>
            </w:r>
          </w:p>
        </w:tc>
      </w:tr>
      <w:tr>
        <w:tc>
          <w:tcPr>
            <w:tcW w:type="dxa" w:w="3293"/>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Maintenance and inspection</w:t>
            </w:r>
          </w:p>
        </w:tc>
        <w:tc>
          <w:tcPr>
            <w:tcW w:type="dxa" w:w="3293"/>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70.0</w:t>
            </w:r>
          </w:p>
        </w:tc>
        <w:tc>
          <w:tcPr>
            <w:tcW w:type="dxa" w:w="3293"/>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High-pressure/salt/cold/reformer project allowance; methanol reference is 54.0m/y</w:t>
            </w:r>
          </w:p>
        </w:tc>
      </w:tr>
      <w:tr>
        <w:tc>
          <w:tcPr>
            <w:tcW w:type="dxa" w:w="3293"/>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4"/>
              </w:rPr>
              <w:t>Labour and site services</w:t>
            </w:r>
          </w:p>
        </w:tc>
        <w:tc>
          <w:tcPr>
            <w:tcW w:type="dxa" w:w="3293"/>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4"/>
              </w:rPr>
              <w:t>32.0</w:t>
            </w:r>
          </w:p>
        </w:tc>
        <w:tc>
          <w:tcPr>
            <w:tcW w:type="dxa" w:w="3293"/>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4"/>
              </w:rPr>
              <w:t>Project headcount allowance; source cost note intentionally excludes HR</w:t>
            </w:r>
          </w:p>
        </w:tc>
      </w:tr>
      <w:tr>
        <w:tc>
          <w:tcPr>
            <w:tcW w:type="dxa" w:w="3293"/>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Catalysts, ZnO, methanol and chemicals</w:t>
            </w:r>
          </w:p>
        </w:tc>
        <w:tc>
          <w:tcPr>
            <w:tcW w:type="dxa" w:w="3293"/>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32.0</w:t>
            </w:r>
          </w:p>
        </w:tc>
        <w:tc>
          <w:tcPr>
            <w:tcW w:type="dxa" w:w="3293"/>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Project-specific allowance; methanol reference is 26.1m/y</w:t>
            </w:r>
          </w:p>
        </w:tc>
      </w:tr>
      <w:tr>
        <w:tc>
          <w:tcPr>
            <w:tcW w:type="dxa" w:w="3293"/>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4"/>
              </w:rPr>
              <w:t>Water, purge treatment and disposal</w:t>
            </w:r>
          </w:p>
        </w:tc>
        <w:tc>
          <w:tcPr>
            <w:tcW w:type="dxa" w:w="3293"/>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4"/>
              </w:rPr>
              <w:t>15.0</w:t>
            </w:r>
          </w:p>
        </w:tc>
        <w:tc>
          <w:tcPr>
            <w:tcW w:type="dxa" w:w="3293"/>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4"/>
              </w:rPr>
              <w:t>Purchase tariff separated from treatment and concentrate disposal</w:t>
            </w:r>
          </w:p>
        </w:tc>
      </w:tr>
      <w:tr>
        <w:tc>
          <w:tcPr>
            <w:tcW w:type="dxa" w:w="3293"/>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Insurance, administration and certification</w:t>
            </w:r>
          </w:p>
        </w:tc>
        <w:tc>
          <w:tcPr>
            <w:tcW w:type="dxa" w:w="3293"/>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15.0</w:t>
            </w:r>
          </w:p>
        </w:tc>
        <w:tc>
          <w:tcPr>
            <w:tcW w:type="dxa" w:w="3293"/>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Owner cost, assurance and routine audits</w:t>
            </w:r>
          </w:p>
        </w:tc>
      </w:tr>
      <w:tr>
        <w:tc>
          <w:tcPr>
            <w:tcW w:type="dxa" w:w="3293"/>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4"/>
              </w:rPr>
              <w:t>Subtotal before product tax</w:t>
            </w:r>
          </w:p>
        </w:tc>
        <w:tc>
          <w:tcPr>
            <w:tcW w:type="dxa" w:w="3293"/>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4"/>
              </w:rPr>
              <w:t>213.9</w:t>
            </w:r>
          </w:p>
        </w:tc>
        <w:tc>
          <w:tcPr>
            <w:tcW w:type="dxa" w:w="3293"/>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4"/>
              </w:rPr>
              <w:t>Source-aligned central utility prices</w:t>
            </w:r>
          </w:p>
        </w:tc>
      </w:tr>
      <w:tr>
        <w:tc>
          <w:tcPr>
            <w:tcW w:type="dxa" w:w="3293"/>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Operating tax at 55% product case</w:t>
            </w:r>
          </w:p>
        </w:tc>
        <w:tc>
          <w:tcPr>
            <w:tcW w:type="dxa" w:w="3293"/>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1.7</w:t>
            </w:r>
          </w:p>
        </w:tc>
        <w:tc>
          <w:tcPr>
            <w:tcW w:type="dxa" w:w="3293"/>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30 RMB/t product, transferred from supplied methanol cost convention</w:t>
            </w:r>
          </w:p>
        </w:tc>
      </w:tr>
      <w:tr>
        <w:tc>
          <w:tcPr>
            <w:tcW w:type="dxa" w:w="3293"/>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4"/>
              </w:rPr>
              <w:t>Total annual cash OPEX</w:t>
            </w:r>
          </w:p>
        </w:tc>
        <w:tc>
          <w:tcPr>
            <w:tcW w:type="dxa" w:w="3293"/>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4"/>
              </w:rPr>
              <w:t>215.5</w:t>
            </w:r>
          </w:p>
        </w:tc>
        <w:tc>
          <w:tcPr>
            <w:tcW w:type="dxa" w:w="3293"/>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4"/>
              </w:rPr>
              <w:t>Improved-conversion central case before EU increment</w:t>
            </w:r>
          </w:p>
        </w:tc>
      </w:tr>
    </w:tbl>
    <w:p>
      <w:pPr>
        <w:spacing w:after="20"/>
      </w:pPr>
    </w:p>
    <w:p>
      <w:pPr>
        <w:widowControl/>
        <w:spacing w:line="269" w:lineRule="auto" w:after="120"/>
      </w:pPr>
      <w:r>
        <w:rPr>
          <w:rFonts w:ascii="Calibri" w:hAnsi="Calibri" w:eastAsia="Calibri"/>
          <w:b w:val="0"/>
          <w:i w:val="0"/>
          <w:color w:val="24282C"/>
          <w:sz w:val="20"/>
        </w:rPr>
        <w:t>Maintenance is intentionally substantial. Ten pumps, reactors and twin separator sets create many isolation and inspection points; high alloys, reformer tubes, refrigeration and synthesis catalyst remain specialised even with domestic fabrication. Purchased energy is the largest variable cost, driven chiefly by the endothermic reformer and gas compression/refrigeration. Higher carbon feed can lower cost per tonne of product, but it does not reduce the absolute water throughput unless the final solids limit also rises.</w:t>
      </w:r>
    </w:p>
    <w:p>
      <w:pPr>
        <w:pStyle w:val="Heading2"/>
        <w:keepNext/>
        <w:spacing w:before="240" w:after="100"/>
      </w:pPr>
      <w:r>
        <w:rPr>
          <w:rFonts w:ascii="Calibri" w:hAnsi="Calibri" w:eastAsia="Calibri"/>
          <w:b/>
          <w:i w:val="0"/>
          <w:color w:val="2F5597"/>
          <w:sz w:val="26"/>
        </w:rPr>
        <w:t>10.4 Revenue and waste-service value</w:t>
      </w:r>
    </w:p>
    <w:p>
      <w:pPr>
        <w:keepNext/>
        <w:spacing w:before="60" w:after="60"/>
      </w:pPr>
      <w:r>
        <w:rPr>
          <w:rFonts w:ascii="Calibri" w:hAnsi="Calibri" w:eastAsia="Calibri"/>
          <w:b w:val="0"/>
          <w:i/>
          <w:color w:val="65717C"/>
          <w:sz w:val="17"/>
        </w:rPr>
        <w:t>Table 10.4 — Product and service value. Gate fees and premiums are contracts, not assumed market facts.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01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Revenue / credit</w:t>
            </w:r>
          </w:p>
        </w:tc>
        <w:tc>
          <w:tcPr>
            <w:tcW w:type="dxa" w:w="266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Current 42% commodity case</w:t>
            </w:r>
          </w:p>
        </w:tc>
        <w:tc>
          <w:tcPr>
            <w:tcW w:type="dxa" w:w="28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Improved 55% contracted case</w:t>
            </w:r>
          </w:p>
        </w:tc>
        <w:tc>
          <w:tcPr>
            <w:tcW w:type="dxa" w:w="237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Basis</w:t>
            </w:r>
          </w:p>
        </w:tc>
      </w:tr>
      <w:tr>
        <w:tc>
          <w:tcPr>
            <w:tcW w:type="dxa" w:w="20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Light olefins</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42.35 kt/y; RMB 317.6m</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55.45 kt/y; RMB 415.9m</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7,500 RMB/t netback</w:t>
            </w:r>
          </w:p>
        </w:tc>
      </w:tr>
      <w:tr>
        <w:tc>
          <w:tcPr>
            <w:tcW w:type="dxa" w:w="20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Organic-waste service</w:t>
            </w:r>
          </w:p>
        </w:tc>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Included in RMB 83.6m total fees</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~RMB 199.8m</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Supplier contracts; competing uses may create purchase cost</w:t>
            </w:r>
          </w:p>
        </w:tc>
      </w:tr>
      <w:tr>
        <w:tc>
          <w:tcPr>
            <w:tcW w:type="dxa" w:w="20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Bauxite-residue service</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RMB 3.7m</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RMB 3.7m</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160 RMB/t screening fee</w:t>
            </w:r>
          </w:p>
        </w:tc>
      </w:tr>
      <w:tr>
        <w:tc>
          <w:tcPr>
            <w:tcW w:type="dxa" w:w="20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Salt/residue by-products</w:t>
            </w:r>
          </w:p>
        </w:tc>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RMB 5m</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RMB 5m</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Low combined value; destination qualification required</w:t>
            </w:r>
          </w:p>
        </w:tc>
      </w:tr>
      <w:tr>
        <w:tc>
          <w:tcPr>
            <w:tcW w:type="dxa" w:w="20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Ammonium sulfate</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Excluded</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Excluded from central; RMB 34–45m gross upside</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75% N recovery and 900–1,200 RMB/t only after qualification</w:t>
            </w:r>
          </w:p>
        </w:tc>
      </w:tr>
      <w:tr>
        <w:tc>
          <w:tcPr>
            <w:tcW w:type="dxa" w:w="20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EU premium</w:t>
            </w:r>
          </w:p>
        </w:tc>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Excluded</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Analysed separately</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10–30% scenario on certified contracted volume</w:t>
            </w:r>
          </w:p>
        </w:tc>
      </w:tr>
      <w:tr>
        <w:tc>
          <w:tcPr>
            <w:tcW w:type="dxa" w:w="20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Carbon credits / scandium</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Excluded</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Excluded</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No methodology or recovery/offtake basis</w:t>
            </w:r>
          </w:p>
        </w:tc>
      </w:tr>
    </w:tbl>
    <w:p>
      <w:pPr>
        <w:spacing w:after="20"/>
      </w:pPr>
    </w:p>
    <w:p>
      <w:pPr>
        <w:widowControl/>
        <w:spacing w:line="269" w:lineRule="auto" w:after="120"/>
      </w:pPr>
      <w:r>
        <w:rPr>
          <w:rFonts w:ascii="Calibri" w:hAnsi="Calibri" w:eastAsia="Calibri"/>
          <w:b w:val="0"/>
          <w:i w:val="0"/>
          <w:color w:val="24282C"/>
          <w:sz w:val="20"/>
        </w:rPr>
        <w:t>Douzha may already have animal-feed or local disposal outlets. A positive gate fee cannot be assumed for every supplier, and a cleaner co-feed may need to be purchased. The contracted case therefore requires a portfolio of long-term terms with minimum volume, moisture/carbon adjustment, contamination liability and transport allocation. Counting a high gate fee and a high product premium is legitimate only if separate counterparties sign both; otherwise the economic bridge is a spreadsheet assumption.</w:t>
      </w:r>
    </w:p>
    <w:p>
      <w:pPr>
        <w:pStyle w:val="Heading2"/>
        <w:keepNext/>
        <w:spacing w:before="240" w:after="100"/>
      </w:pPr>
      <w:r>
        <w:rPr>
          <w:rFonts w:ascii="Calibri" w:hAnsi="Calibri" w:eastAsia="Calibri"/>
          <w:b/>
          <w:i w:val="0"/>
          <w:color w:val="2F5597"/>
          <w:sz w:val="26"/>
        </w:rPr>
        <w:t>10.5 Twenty-year scenario results</w:t>
      </w:r>
    </w:p>
    <w:p>
      <w:pPr>
        <w:widowControl/>
        <w:spacing w:line="269" w:lineRule="auto" w:after="120"/>
      </w:pPr>
      <w:r>
        <w:rPr>
          <w:rFonts w:ascii="Calibri" w:hAnsi="Calibri" w:eastAsia="Calibri"/>
          <w:b w:val="0"/>
          <w:i w:val="0"/>
          <w:color w:val="24282C"/>
          <w:sz w:val="20"/>
        </w:rPr>
        <w:t>All four scenarios use 20 operating years, a 10% pre-tax unlevered discount rate, RMB 2.814 billion initial capital, ten-train feed rate, 333 operating days per full-rate year and RMB 5 million/y of qualified salt/residue value. Electricity is priced at the supplied RMB 0.37/kWh. Thermal cost uses the supplied RMB 600/t pellet price with an explicit 16.5 GJ/t LHV and 80% useful-heat assumption. An operating-tax allowance of RMB 30/t product is included. The cases exclude debt, income tax, depreciation, working capital, terminal value, carbon credits, scandium and ammonium-sulfate income; a separate ramp screen uses 70% output in year 1 and 90% in year 2.</w:t>
      </w:r>
    </w:p>
    <w:p>
      <w:pPr>
        <w:keepNext/>
        <w:spacing w:before="60" w:after="60"/>
      </w:pPr>
      <w:r>
        <w:rPr>
          <w:rFonts w:ascii="Calibri" w:hAnsi="Calibri" w:eastAsia="Calibri"/>
          <w:b w:val="0"/>
          <w:i/>
          <w:color w:val="65717C"/>
          <w:sz w:val="17"/>
        </w:rPr>
        <w:t>Table 10.5 — Definition of the four 20-year cases. Each row is a complete alternative project case, not a chronological construction stage.</w:t>
      </w:r>
    </w:p>
    <w:tbl>
      <w:tblPr>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64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Case</w:t>
            </w:r>
          </w:p>
        </w:tc>
        <w:tc>
          <w:tcPr>
            <w:tcW w:type="dxa" w:w="144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Feed-C efficiency</w:t>
            </w:r>
          </w:p>
        </w:tc>
        <w:tc>
          <w:tcPr>
            <w:tcW w:type="dxa" w:w="194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Feed-service fees</w:t>
            </w:r>
          </w:p>
        </w:tc>
        <w:tc>
          <w:tcPr>
            <w:tcW w:type="dxa" w:w="194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Olefin netback</w:t>
            </w:r>
          </w:p>
        </w:tc>
        <w:tc>
          <w:tcPr>
            <w:tcW w:type="dxa" w:w="144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Cash OPEX</w:t>
            </w:r>
          </w:p>
        </w:tc>
        <w:tc>
          <w:tcPr>
            <w:tcW w:type="dxa" w:w="309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Question being tested</w:t>
            </w:r>
          </w:p>
        </w:tc>
      </w:tr>
      <w:tr>
        <w:tc>
          <w:tcPr>
            <w:tcW w:type="dxa" w:w="6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A</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42%</w:t>
            </w:r>
          </w:p>
        </w:tc>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Base: RMB 83.6m/y</w:t>
            </w:r>
          </w:p>
        </w:tc>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7,500 RMB/t; no premium</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RMB 215.1m/y</w:t>
            </w:r>
          </w:p>
        </w:tc>
        <w:tc>
          <w:tcPr>
            <w:tcW w:type="dxa" w:w="30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Current technical and weak commercial baseline</w:t>
            </w:r>
          </w:p>
        </w:tc>
      </w:tr>
      <w:tr>
        <w:tc>
          <w:tcPr>
            <w:tcW w:type="dxa" w:w="64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w:t>
            </w:r>
          </w:p>
        </w:tc>
        <w:tc>
          <w:tcPr>
            <w:tcW w:type="dxa" w:w="14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42%</w:t>
            </w:r>
          </w:p>
        </w:tc>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Contracted: RMB 203.5m/y</w:t>
            </w:r>
          </w:p>
        </w:tc>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9,000 RMB/t; EU +20%</w:t>
            </w:r>
          </w:p>
        </w:tc>
        <w:tc>
          <w:tcPr>
            <w:tcW w:type="dxa" w:w="14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RMB 237.1m/y</w:t>
            </w:r>
          </w:p>
        </w:tc>
        <w:tc>
          <w:tcPr>
            <w:tcW w:type="dxa" w:w="30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Commercial rescue at unchanged conversion</w:t>
            </w:r>
          </w:p>
        </w:tc>
      </w:tr>
      <w:tr>
        <w:tc>
          <w:tcPr>
            <w:tcW w:type="dxa" w:w="6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55%</w:t>
            </w:r>
          </w:p>
        </w:tc>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Contracted: RMB 203.5m/y</w:t>
            </w:r>
          </w:p>
        </w:tc>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7,500 RMB/t; no premium</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RMB 215.5m/y</w:t>
            </w:r>
          </w:p>
        </w:tc>
        <w:tc>
          <w:tcPr>
            <w:tcW w:type="dxa" w:w="30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Technical improvement without premium</w:t>
            </w:r>
          </w:p>
        </w:tc>
      </w:tr>
      <w:tr>
        <w:tc>
          <w:tcPr>
            <w:tcW w:type="dxa" w:w="64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D</w:t>
            </w:r>
          </w:p>
        </w:tc>
        <w:tc>
          <w:tcPr>
            <w:tcW w:type="dxa" w:w="14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55%</w:t>
            </w:r>
          </w:p>
        </w:tc>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Contracted: RMB 203.5m/y</w:t>
            </w:r>
          </w:p>
        </w:tc>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9,000 RMB/t; EU +20%</w:t>
            </w:r>
          </w:p>
        </w:tc>
        <w:tc>
          <w:tcPr>
            <w:tcW w:type="dxa" w:w="14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RMB 237.5m/y</w:t>
            </w:r>
          </w:p>
        </w:tc>
        <w:tc>
          <w:tcPr>
            <w:tcW w:type="dxa" w:w="30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Technical and commercial improvement together</w:t>
            </w:r>
          </w:p>
        </w:tc>
      </w:tr>
    </w:tbl>
    <w:p>
      <w:pPr>
        <w:spacing w:after="20"/>
      </w:pPr>
    </w:p>
    <w:tbl>
      <w:tblPr>
        <w:tblW w:type="auto" w:w="0"/>
        <w:jc w:val="center"/>
        <w:tblLook w:firstColumn="1" w:firstRow="1" w:lastColumn="0" w:lastRow="0" w:noHBand="0" w:noVBand="1" w:val="04A0"/>
      </w:tblPr>
      <w:tblGrid>
        <w:gridCol w:w="9878"/>
      </w:tblGrid>
      <w:tr>
        <w:tc>
          <w:tcPr>
            <w:tcW w:type="dxa" w:w="9878"/>
            <w:shd w:fill="EAF1F8"/>
            <w:tcMar>
              <w:top w:w="130" w:type="dxa"/>
              <w:start w:w="150" w:type="dxa"/>
              <w:bottom w:w="130" w:type="dxa"/>
              <w:end w:w="150" w:type="dxa"/>
            </w:tcMar>
          </w:tcPr>
          <w:p>
            <w:pPr>
              <w:spacing w:line="259" w:lineRule="auto" w:after="0"/>
            </w:pPr>
            <w:r>
              <w:rPr>
                <w:rFonts w:ascii="Calibri" w:hAnsi="Calibri" w:eastAsia="Calibri"/>
                <w:b/>
                <w:i w:val="0"/>
                <w:color w:val="2F5597"/>
                <w:sz w:val="20"/>
              </w:rPr>
              <w:t xml:space="preserve">HOW TO READ THE CASES: </w:t>
            </w:r>
            <w:r>
              <w:rPr>
                <w:rFonts w:ascii="Calibri" w:hAnsi="Calibri" w:eastAsia="Calibri"/>
                <w:b w:val="0"/>
                <w:i w:val="0"/>
                <w:color w:val="24282C"/>
                <w:sz w:val="20"/>
              </w:rPr>
              <w:t>A is the baseline. B and C are two different ways to move away from A: B improves the commercial package while holding conversion at 42%; C improves conversion and service contracts but deliberately removes the EU premium. D then adds the EU premium to C. Therefore C should not be read as the next chronological step after B.</w:t>
            </w:r>
          </w:p>
        </w:tc>
      </w:tr>
    </w:tbl>
    <w:p>
      <w:pPr>
        <w:spacing w:after="20"/>
      </w:pPr>
    </w:p>
    <w:p>
      <w:pPr>
        <w:keepNext/>
        <w:spacing w:before="60" w:after="40"/>
        <w:jc w:val="center"/>
      </w:pPr>
      <w:r>
        <w:drawing>
          <wp:inline xmlns:a="http://schemas.openxmlformats.org/drawingml/2006/main" xmlns:pic="http://schemas.openxmlformats.org/drawingml/2006/picture">
            <wp:extent cx="6172200" cy="3488635"/>
            <wp:docPr id="5" name="Picture 5"/>
            <wp:cNvGraphicFramePr>
              <a:graphicFrameLocks noChangeAspect="1"/>
            </wp:cNvGraphicFramePr>
            <a:graphic>
              <a:graphicData uri="http://schemas.openxmlformats.org/drawingml/2006/picture">
                <pic:pic>
                  <pic:nvPicPr>
                    <pic:cNvPr id="0" name="economics_v6.png"/>
                    <pic:cNvPicPr/>
                  </pic:nvPicPr>
                  <pic:blipFill>
                    <a:blip r:embed="rId15"/>
                    <a:stretch>
                      <a:fillRect/>
                    </a:stretch>
                  </pic:blipFill>
                  <pic:spPr>
                    <a:xfrm>
                      <a:off x="0" y="0"/>
                      <a:ext cx="6172200" cy="3488635"/>
                    </a:xfrm>
                    <a:prstGeom prst="rect"/>
                  </pic:spPr>
                </pic:pic>
              </a:graphicData>
            </a:graphic>
          </wp:inline>
        </w:drawing>
      </w:r>
    </w:p>
    <w:p>
      <w:pPr>
        <w:keepLines/>
        <w:spacing w:after="120"/>
        <w:jc w:val="center"/>
      </w:pPr>
      <w:r>
        <w:rPr>
          <w:rFonts w:ascii="Calibri" w:hAnsi="Calibri" w:eastAsia="Calibri"/>
          <w:b w:val="0"/>
          <w:i/>
          <w:color w:val="65717C"/>
          <w:sz w:val="17"/>
        </w:rPr>
        <w:t>Figure 10.1 — Revised source-aligned pre-tax unlevered NPV at 10% over 20 operating years. Electricity is priced at RMB 0.37/kWh and biomass pellets at RMB 600/t; project conversion assumptions are stated in Section 10.11.</w:t>
      </w:r>
    </w:p>
    <w:p>
      <w:pPr>
        <w:keepNext/>
        <w:spacing w:before="60" w:after="60"/>
      </w:pPr>
      <w:r>
        <w:rPr>
          <w:rFonts w:ascii="Calibri" w:hAnsi="Calibri" w:eastAsia="Calibri"/>
          <w:b w:val="0"/>
          <w:i/>
          <w:color w:val="65717C"/>
          <w:sz w:val="17"/>
        </w:rPr>
        <w:t>Table 10.6 — Twenty-year economic results; no taxes, financing, ramp-up or terminal value.</w:t>
      </w:r>
    </w:p>
    <w:tbl>
      <w:tblPr>
        <w:tblW w:type="auto" w:w="0"/>
        <w:jc w:val="center"/>
        <w:tblLayout w:type="fixed"/>
        <w:tblLook w:firstColumn="1" w:firstRow="1" w:lastColumn="0" w:lastRow="0" w:noHBand="0" w:noVBand="1" w:val="04A0"/>
      </w:tblPr>
      <w:tblGrid>
        <w:gridCol w:w="1411"/>
        <w:gridCol w:w="1411"/>
        <w:gridCol w:w="1411"/>
        <w:gridCol w:w="1411"/>
        <w:gridCol w:w="1411"/>
        <w:gridCol w:w="1411"/>
        <w:gridCol w:w="1411"/>
      </w:tblGrid>
      <w:tr>
        <w:trPr>
          <w:tblHeader w:val="true"/>
        </w:trPr>
        <w:tc>
          <w:tcPr>
            <w:tcW w:type="dxa" w:w="280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Scenario</w:t>
            </w:r>
          </w:p>
        </w:tc>
        <w:tc>
          <w:tcPr>
            <w:tcW w:type="dxa" w:w="100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Olefin kt/y</w:t>
            </w:r>
          </w:p>
        </w:tc>
        <w:tc>
          <w:tcPr>
            <w:tcW w:type="dxa" w:w="144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Revenue RMB m/y</w:t>
            </w:r>
          </w:p>
        </w:tc>
        <w:tc>
          <w:tcPr>
            <w:tcW w:type="dxa" w:w="144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EBITDA RMB m/y</w:t>
            </w:r>
          </w:p>
        </w:tc>
        <w:tc>
          <w:tcPr>
            <w:tcW w:type="dxa" w:w="122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NPV RMB m</w:t>
            </w:r>
          </w:p>
        </w:tc>
        <w:tc>
          <w:tcPr>
            <w:tcW w:type="dxa" w:w="79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IRR</w:t>
            </w:r>
          </w:p>
        </w:tc>
        <w:tc>
          <w:tcPr>
            <w:tcW w:type="dxa" w:w="115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Simple payback</w:t>
            </w:r>
          </w:p>
        </w:tc>
      </w:tr>
      <w:tr>
        <w:tc>
          <w:tcPr>
            <w:tcW w:type="dxa" w:w="28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A — Current-performance commodity</w:t>
            </w:r>
          </w:p>
        </w:tc>
        <w:tc>
          <w:tcPr>
            <w:tcW w:type="dxa" w:w="10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42.35</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406.2</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191.1</w:t>
            </w:r>
          </w:p>
        </w:tc>
        <w:tc>
          <w:tcPr>
            <w:tcW w:type="dxa" w:w="12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-1187.0</w:t>
            </w:r>
          </w:p>
        </w:tc>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3.1%</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14.7 y</w:t>
            </w:r>
          </w:p>
        </w:tc>
      </w:tr>
      <w:tr>
        <w:tc>
          <w:tcPr>
            <w:tcW w:type="dxa" w:w="28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 — Current-performance + EU 20%</w:t>
            </w:r>
          </w:p>
        </w:tc>
        <w:tc>
          <w:tcPr>
            <w:tcW w:type="dxa" w:w="10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42.35</w:t>
            </w:r>
          </w:p>
        </w:tc>
        <w:tc>
          <w:tcPr>
            <w:tcW w:type="dxa" w:w="14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589.6</w:t>
            </w:r>
          </w:p>
        </w:tc>
        <w:tc>
          <w:tcPr>
            <w:tcW w:type="dxa" w:w="14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352.5</w:t>
            </w:r>
          </w:p>
        </w:tc>
        <w:tc>
          <w:tcPr>
            <w:tcW w:type="dxa" w:w="12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+187.1</w:t>
            </w:r>
          </w:p>
        </w:tc>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11.0%</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8.0 y</w:t>
            </w:r>
          </w:p>
        </w:tc>
      </w:tr>
      <w:tr>
        <w:tc>
          <w:tcPr>
            <w:tcW w:type="dxa" w:w="28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 — Improved conversion + contracts</w:t>
            </w:r>
          </w:p>
        </w:tc>
        <w:tc>
          <w:tcPr>
            <w:tcW w:type="dxa" w:w="10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55.45</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624.4</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408.9</w:t>
            </w:r>
          </w:p>
        </w:tc>
        <w:tc>
          <w:tcPr>
            <w:tcW w:type="dxa" w:w="12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+667.1</w:t>
            </w:r>
          </w:p>
        </w:tc>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13.3%</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6.9 y</w:t>
            </w:r>
          </w:p>
        </w:tc>
      </w:tr>
      <w:tr>
        <w:tc>
          <w:tcPr>
            <w:tcW w:type="dxa" w:w="28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D — Improved conversion + EU 20%</w:t>
            </w:r>
          </w:p>
        </w:tc>
        <w:tc>
          <w:tcPr>
            <w:tcW w:type="dxa" w:w="10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55.45</w:t>
            </w:r>
          </w:p>
        </w:tc>
        <w:tc>
          <w:tcPr>
            <w:tcW w:type="dxa" w:w="14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707.6</w:t>
            </w:r>
          </w:p>
        </w:tc>
        <w:tc>
          <w:tcPr>
            <w:tcW w:type="dxa" w:w="14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470.1</w:t>
            </w:r>
          </w:p>
        </w:tc>
        <w:tc>
          <w:tcPr>
            <w:tcW w:type="dxa" w:w="12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+1188.0</w:t>
            </w:r>
          </w:p>
        </w:tc>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15.8%</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6.0 y</w:t>
            </w:r>
          </w:p>
        </w:tc>
      </w:tr>
    </w:tbl>
    <w:p>
      <w:pPr>
        <w:spacing w:after="20"/>
      </w:pPr>
    </w:p>
    <w:p>
      <w:pPr>
        <w:pStyle w:val="Heading3"/>
        <w:keepNext/>
        <w:spacing w:before="160" w:after="80"/>
      </w:pPr>
      <w:r>
        <w:rPr>
          <w:rFonts w:ascii="Calibri" w:hAnsi="Calibri" w:eastAsia="Calibri"/>
          <w:b/>
          <w:i w:val="0"/>
          <w:color w:val="40566C"/>
          <w:sz w:val="22"/>
        </w:rPr>
        <w:t>10.5.1 Scenario A — current performance and base commercial terms</w:t>
      </w:r>
    </w:p>
    <w:p>
      <w:pPr>
        <w:widowControl/>
        <w:spacing w:line="269" w:lineRule="auto" w:after="120"/>
      </w:pPr>
      <w:r>
        <w:rPr>
          <w:rFonts w:ascii="Calibri" w:hAnsi="Calibri" w:eastAsia="Calibri"/>
          <w:b w:val="0"/>
          <w:i w:val="0"/>
          <w:color w:val="24282C"/>
          <w:sz w:val="20"/>
        </w:rPr>
        <w:t>Scenario A is the reference case: 42% feed-carbon efficiency, 42.35 kt/y of olefins, a 7,500 RMB/t commodity netback, base service fees of RMB 83.6 million/y and source-aligned OPEX of RMB 215.1 million/y. EBITDA is RMB 191.1 million/y and 20-year NPV is RMB -1187.0 million. Correct Chinese utility prices improve the case, but weak product output and weak service income still cannot repay the hydrothermal capital at a 10% hurdle rate.</w:t>
      </w:r>
    </w:p>
    <w:p>
      <w:pPr>
        <w:pStyle w:val="Heading3"/>
        <w:keepNext/>
        <w:spacing w:before="160" w:after="80"/>
      </w:pPr>
      <w:r>
        <w:rPr>
          <w:rFonts w:ascii="Calibri" w:hAnsi="Calibri" w:eastAsia="Calibri"/>
          <w:b/>
          <w:i w:val="0"/>
          <w:color w:val="40566C"/>
          <w:sz w:val="22"/>
        </w:rPr>
        <w:t>10.5.2 Scenario B — current conversion with stronger contracts and EU premium</w:t>
      </w:r>
    </w:p>
    <w:p>
      <w:pPr>
        <w:widowControl/>
        <w:spacing w:line="269" w:lineRule="auto" w:after="120"/>
      </w:pPr>
      <w:r>
        <w:rPr>
          <w:rFonts w:ascii="Calibri" w:hAnsi="Calibri" w:eastAsia="Calibri"/>
          <w:b w:val="0"/>
          <w:i w:val="0"/>
          <w:color w:val="24282C"/>
          <w:sz w:val="20"/>
        </w:rPr>
        <w:t>Scenario B holds technical performance at 42%, so output remains 42.35 kt/y. Service fees rise to RMB 203.5 million/y, netback rises to 9,000 RMB/t and OPEX rises to RMB 237.1 million/y after the export/compliance increment. Level annual NPV becomes RMB 187.1 million; the two-year ramp screen reduces it to approximately RMB 20.2 million. The commercial package can therefore rescue current conversion only narrowly, leaving limited tolerance for capital overrun or lost availability.</w:t>
      </w:r>
    </w:p>
    <w:p>
      <w:pPr>
        <w:pStyle w:val="Heading3"/>
        <w:keepNext/>
        <w:spacing w:before="160" w:after="80"/>
      </w:pPr>
      <w:r>
        <w:rPr>
          <w:rFonts w:ascii="Calibri" w:hAnsi="Calibri" w:eastAsia="Calibri"/>
          <w:b/>
          <w:i w:val="0"/>
          <w:color w:val="40566C"/>
          <w:sz w:val="22"/>
        </w:rPr>
        <w:t>10.5.3 Scenario C — improved conversion and contracts without premium</w:t>
      </w:r>
    </w:p>
    <w:p>
      <w:pPr>
        <w:widowControl/>
        <w:spacing w:line="269" w:lineRule="auto" w:after="120"/>
      </w:pPr>
      <w:r>
        <w:rPr>
          <w:rFonts w:ascii="Calibri" w:hAnsi="Calibri" w:eastAsia="Calibri"/>
          <w:b w:val="0"/>
          <w:i w:val="0"/>
          <w:color w:val="24282C"/>
          <w:sz w:val="20"/>
        </w:rPr>
        <w:t>Scenario C is an alternative to B, not the next chronological step. Carbon efficiency rises to 55% and contracted service fees remain, but product sells at the 7,500 RMB/t commodity netback. Source-aligned OPEX is RMB 215.5 million/y, level annual NPV is RMB 667.1 million and ramp-adjusted NPV is approximately RMB 480.3 million. The result shows that sustained carbon recovery is more robust than relying solely on an export premium.</w:t>
      </w:r>
    </w:p>
    <w:p>
      <w:pPr>
        <w:pStyle w:val="Heading3"/>
        <w:keepNext/>
        <w:spacing w:before="160" w:after="80"/>
      </w:pPr>
      <w:r>
        <w:rPr>
          <w:rFonts w:ascii="Calibri" w:hAnsi="Calibri" w:eastAsia="Calibri"/>
          <w:b/>
          <w:i w:val="0"/>
          <w:color w:val="40566C"/>
          <w:sz w:val="22"/>
        </w:rPr>
        <w:t>10.5.4 Scenario D — improved conversion plus EU premium</w:t>
      </w:r>
    </w:p>
    <w:p>
      <w:pPr>
        <w:widowControl/>
        <w:spacing w:line="269" w:lineRule="auto" w:after="120"/>
      </w:pPr>
      <w:r>
        <w:rPr>
          <w:rFonts w:ascii="Calibri" w:hAnsi="Calibri" w:eastAsia="Calibri"/>
          <w:b w:val="0"/>
          <w:i w:val="0"/>
          <w:color w:val="24282C"/>
          <w:sz w:val="20"/>
        </w:rPr>
        <w:t>Scenario D differs from C only by adding the 20% certified premium and RMB 22 million/y export/compliance increment. Level annual NPV rises to RMB 1188.0 million; the two-year ramp screen gives approximately RMB 979.4 million. This is the strongest case, but its premium and eligible volume still require a binding ISCC-aligned offtake rather than a generic market assumption.</w:t>
      </w:r>
    </w:p>
    <w:p>
      <w:pPr>
        <w:pStyle w:val="Heading2"/>
        <w:keepNext/>
        <w:spacing w:before="240" w:after="100"/>
      </w:pPr>
      <w:r>
        <w:rPr>
          <w:rFonts w:ascii="Calibri" w:hAnsi="Calibri" w:eastAsia="Calibri"/>
          <w:b/>
          <w:i w:val="0"/>
          <w:color w:val="2F5597"/>
          <w:sz w:val="26"/>
        </w:rPr>
        <w:t>10.6 Premium and conversion thresholds</w:t>
      </w:r>
    </w:p>
    <w:p>
      <w:pPr>
        <w:keepNext/>
        <w:spacing w:before="60" w:after="60"/>
      </w:pPr>
      <w:r>
        <w:rPr>
          <w:rFonts w:ascii="Calibri" w:hAnsi="Calibri" w:eastAsia="Calibri"/>
          <w:b w:val="0"/>
          <w:i/>
          <w:color w:val="65717C"/>
          <w:sz w:val="17"/>
        </w:rPr>
        <w:t>Table 10.7 — Premium sensitivity with contracted circular-service fees.</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15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Premium</w:t>
            </w:r>
          </w:p>
        </w:tc>
        <w:tc>
          <w:tcPr>
            <w:tcW w:type="dxa" w:w="187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Netback RMB/t</w:t>
            </w:r>
          </w:p>
        </w:tc>
        <w:tc>
          <w:tcPr>
            <w:tcW w:type="dxa" w:w="208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Break-even product kt/y</w:t>
            </w:r>
          </w:p>
        </w:tc>
        <w:tc>
          <w:tcPr>
            <w:tcW w:type="dxa" w:w="237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Break-even feed-C efficiency</w:t>
            </w:r>
          </w:p>
        </w:tc>
        <w:tc>
          <w:tcPr>
            <w:tcW w:type="dxa" w:w="172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NPV at 55% RMB m</w:t>
            </w:r>
          </w:p>
        </w:tc>
      </w:tr>
      <w:tr>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0%</w:t>
            </w:r>
          </w:p>
        </w:tc>
        <w:tc>
          <w:tcPr>
            <w:tcW w:type="dxa" w:w="187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7,500</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44.96</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44.6%</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+667</w:t>
            </w:r>
          </w:p>
        </w:tc>
      </w:tr>
      <w:tr>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10%</w:t>
            </w:r>
          </w:p>
        </w:tc>
        <w:tc>
          <w:tcPr>
            <w:tcW w:type="dxa" w:w="187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8,250</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43.29</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42.9%</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+851</w:t>
            </w:r>
          </w:p>
        </w:tc>
      </w:tr>
      <w:tr>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20%</w:t>
            </w:r>
          </w:p>
        </w:tc>
        <w:tc>
          <w:tcPr>
            <w:tcW w:type="dxa" w:w="187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9,000</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39.90</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39.6%</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+1188</w:t>
            </w:r>
          </w:p>
        </w:tc>
      </w:tr>
      <w:tr>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30%</w:t>
            </w:r>
          </w:p>
        </w:tc>
        <w:tc>
          <w:tcPr>
            <w:tcW w:type="dxa" w:w="187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9,750</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37.13</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36.8%</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+1517</w:t>
            </w:r>
          </w:p>
        </w:tc>
      </w:tr>
    </w:tbl>
    <w:p>
      <w:pPr>
        <w:spacing w:after="20"/>
      </w:pPr>
    </w:p>
    <w:p>
      <w:pPr>
        <w:widowControl/>
        <w:spacing w:line="269" w:lineRule="auto" w:after="120"/>
      </w:pPr>
      <w:r>
        <w:rPr>
          <w:rFonts w:ascii="Calibri" w:hAnsi="Calibri" w:eastAsia="Calibri"/>
          <w:b w:val="0"/>
          <w:i w:val="0"/>
          <w:color w:val="24282C"/>
          <w:sz w:val="20"/>
        </w:rPr>
        <w:t>With source-aligned utilities, the contracted case reaches level annual break-even at approximately 44.6% feed-carbon efficiency without a premium and about 39.6% with a 20% premium. This does not make 42% conversion comfortable: the two-year ramp, capital uncertainty and availability can consume the small positive margin in Scenario B. The 55% target remains the appropriate technical design point.</w:t>
      </w:r>
    </w:p>
    <w:p>
      <w:pPr>
        <w:pStyle w:val="Heading2"/>
        <w:keepNext/>
        <w:spacing w:before="240" w:after="100"/>
      </w:pPr>
      <w:r>
        <w:rPr>
          <w:rFonts w:ascii="Calibri" w:hAnsi="Calibri" w:eastAsia="Calibri"/>
          <w:b/>
          <w:i w:val="0"/>
          <w:color w:val="2F5597"/>
          <w:sz w:val="26"/>
        </w:rPr>
        <w:t>10.7 CAPEX and availability sensitivity</w:t>
      </w:r>
    </w:p>
    <w:p>
      <w:pPr>
        <w:keepNext/>
        <w:spacing w:before="60" w:after="60"/>
      </w:pPr>
      <w:r>
        <w:rPr>
          <w:rFonts w:ascii="Calibri" w:hAnsi="Calibri" w:eastAsia="Calibri"/>
          <w:b w:val="0"/>
          <w:i/>
          <w:color w:val="65717C"/>
          <w:sz w:val="17"/>
        </w:rPr>
        <w:t>Table 10.8 — Capital, availability and contracts dominate smaller consumable optimisations.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16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Change from improved + EU 20% case</w:t>
            </w:r>
          </w:p>
        </w:tc>
        <w:tc>
          <w:tcPr>
            <w:tcW w:type="dxa" w:w="237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Approximate NPV effect</w:t>
            </w:r>
          </w:p>
        </w:tc>
        <w:tc>
          <w:tcPr>
            <w:tcW w:type="dxa" w:w="432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Interpretation</w:t>
            </w:r>
          </w:p>
        </w:tc>
      </w:tr>
      <w:tr>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TCI rises from RMB 2.814bn to RMB 4.0bn</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−RMB 1.186bn</w:t>
            </w:r>
          </w:p>
        </w:tc>
        <w:tc>
          <w:tcPr>
            <w:tcW w:type="dxa" w:w="43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Destroys project value unless grants/off-balance waste-service structures compensate</w:t>
            </w:r>
          </w:p>
        </w:tc>
      </w:tr>
      <w:tr>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TCI falls to RMB 2.2bn</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+RMB 0.614bn</w:t>
            </w:r>
          </w:p>
        </w:tc>
        <w:tc>
          <w:tcPr>
            <w:tcW w:type="dxa" w:w="43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Domestic modularisation and proven salt system are high-value</w:t>
            </w:r>
          </w:p>
        </w:tc>
      </w:tr>
      <w:tr>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Availability falls 10% with largely fixed OPEX</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Roughly −RMB 0.5–0.7bn</w:t>
            </w:r>
          </w:p>
        </w:tc>
        <w:tc>
          <w:tcPr>
            <w:tcW w:type="dxa" w:w="43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Salt separator and train turnaround are commercial variables, not maintenance detail</w:t>
            </w:r>
          </w:p>
        </w:tc>
      </w:tr>
      <w:tr>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Olefin netback falls 1,000 RMB/t</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About −RMB 472m NPV</w:t>
            </w:r>
          </w:p>
        </w:tc>
        <w:tc>
          <w:tcPr>
            <w:tcW w:type="dxa" w:w="43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55.45 kt/y × 1,000 × annuity factor</w:t>
            </w:r>
          </w:p>
        </w:tc>
      </w:tr>
      <w:tr>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Weighted organic gate fee falls 100 RMB/t</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About −RMB 680m NPV</w:t>
            </w:r>
          </w:p>
        </w:tc>
        <w:tc>
          <w:tcPr>
            <w:tcW w:type="dxa" w:w="43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799.2 kt/y eligible wet feed × 100 × annuity factor</w:t>
            </w:r>
          </w:p>
        </w:tc>
      </w:tr>
      <w:tr>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Qualified ammonium sulfate adds RMB 30m/y net</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+RMB 255m NPV</w:t>
            </w:r>
          </w:p>
        </w:tc>
        <w:tc>
          <w:tcPr>
            <w:tcW w:type="dxa" w:w="43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Useful upside but cannot rescue current 42% case alone</w:t>
            </w:r>
          </w:p>
        </w:tc>
      </w:tr>
    </w:tbl>
    <w:p>
      <w:pPr>
        <w:spacing w:after="20"/>
      </w:pPr>
    </w:p>
    <w:p>
      <w:pPr>
        <w:pStyle w:val="Heading2"/>
        <w:keepNext/>
        <w:spacing w:before="240" w:after="100"/>
      </w:pPr>
      <w:r>
        <w:rPr>
          <w:rFonts w:ascii="Calibri" w:hAnsi="Calibri" w:eastAsia="Calibri"/>
          <w:b/>
          <w:i w:val="0"/>
          <w:color w:val="2F5597"/>
          <w:sz w:val="26"/>
        </w:rPr>
        <w:t>10.8 Economic conclusion</w:t>
      </w:r>
    </w:p>
    <w:p>
      <w:pPr>
        <w:widowControl/>
        <w:spacing w:line="269" w:lineRule="auto" w:after="120"/>
      </w:pPr>
      <w:r>
        <w:rPr>
          <w:rFonts w:ascii="Calibri" w:hAnsi="Calibri" w:eastAsia="Calibri"/>
          <w:b w:val="0"/>
          <w:i w:val="0"/>
          <w:color w:val="24282C"/>
          <w:sz w:val="20"/>
        </w:rPr>
        <w:t>The original OXZEO route is not near-impossible, but it is not a normal commodity-chemical project. Ten trains create enough scale for a shared back end, yet scale alone cannot overcome low product carbon. A financeable configuration needs four conditions simultaneously: total capital near the central RMB 2.8 billion rather than the high end of the range; sustained feed-carbon efficiency above roughly 45–52% depending on premium; weighted long-term waste-service fees; and reliable online salt removal so annual production is actually achieved.</w:t>
      </w:r>
    </w:p>
    <w:p>
      <w:pPr>
        <w:widowControl/>
        <w:spacing w:line="269" w:lineRule="auto" w:after="120"/>
      </w:pPr>
      <w:r>
        <w:rPr>
          <w:rFonts w:ascii="Calibri" w:hAnsi="Calibri" w:eastAsia="Calibri"/>
          <w:b w:val="0"/>
          <w:i w:val="0"/>
          <w:color w:val="24282C"/>
          <w:sz w:val="20"/>
        </w:rPr>
        <w:t>If those conditions cannot be contracted and demonstrated, the appropriate correction is a simpler product route—renewable methane or methanol—not another increase in slurry capacity. Direct methanol would remove OXZEO and deep olefin fractionation but would not remove SCWG, gas cleanup or the need to reform methane into CO/H2. It may reduce technical and market risk, but it also sells a lower-value product. The route decision should therefore compare complete licensed packages on the same feed, gate-fee, capital and 20-year basis.</w:t>
      </w:r>
    </w:p>
    <w:p>
      <w:pPr>
        <w:pStyle w:val="Heading2"/>
        <w:keepNext/>
        <w:spacing w:before="240" w:after="100"/>
      </w:pPr>
      <w:r>
        <w:rPr>
          <w:rFonts w:ascii="Calibri" w:hAnsi="Calibri" w:eastAsia="Calibri"/>
          <w:b/>
          <w:i w:val="0"/>
          <w:color w:val="2F5597"/>
          <w:sz w:val="26"/>
        </w:rPr>
        <w:t>10.9 Methanol and renewable-methane comparators</w:t>
      </w:r>
    </w:p>
    <w:p>
      <w:pPr>
        <w:pStyle w:val="Heading3"/>
        <w:keepNext/>
        <w:spacing w:before="160" w:after="80"/>
      </w:pPr>
      <w:r>
        <w:rPr>
          <w:rFonts w:ascii="Calibri" w:hAnsi="Calibri" w:eastAsia="Calibri"/>
          <w:b/>
          <w:i w:val="0"/>
          <w:color w:val="40566C"/>
          <w:sz w:val="22"/>
        </w:rPr>
        <w:t>10.9.1 Why direct methanol does not automatically remove B6</w:t>
      </w:r>
    </w:p>
    <w:p>
      <w:pPr>
        <w:widowControl/>
        <w:spacing w:line="269" w:lineRule="auto" w:after="120"/>
      </w:pPr>
      <w:r>
        <w:rPr>
          <w:rFonts w:ascii="Calibri" w:hAnsi="Calibri" w:eastAsia="Calibri"/>
          <w:b w:val="0"/>
          <w:i w:val="0"/>
          <w:color w:val="24282C"/>
          <w:sz w:val="20"/>
        </w:rPr>
        <w:t>A methanol loop consumes CO/CO2 and H2, not a methane-rich B2 gas. Replacing OXZEO with methanol synthesis therefore removes the bifunctional olefin reactor, synthesis recycle conditions and deep C2–C4 separation, but it does not automatically remove bi-reforming. B6 can be deleted only if SCWG or another upstream unit directly supplies a methanol-grade synthesis gas with the correct stoichiometric number, sulfur specification and acceptably low methane. Hotter SCWG may move the gas in that direction; the corrected methanation discussion in Section 5.2.3 explains why that result must be measured rather than assumed.</w:t>
      </w:r>
    </w:p>
    <w:p>
      <w:pPr>
        <w:keepLines/>
        <w:spacing w:before="80" w:after="140"/>
        <w:jc w:val="center"/>
      </w:pPr>
      <w:r>
        <w:rPr>
          <w:rFonts w:ascii="Cambria" w:hAnsi="Cambria" w:eastAsia="Cambria"/>
          <w:b w:val="0"/>
          <w:i/>
          <w:color w:val="17365D"/>
          <w:sz w:val="22"/>
        </w:rPr>
        <w:t>CO + 2H₂ ⇌ CH₃OH        and        CO₂ + 3H₂ ⇌ CH₃OH + H₂O</w:t>
      </w:r>
    </w:p>
    <w:p>
      <w:pPr>
        <w:widowControl/>
        <w:spacing w:line="269" w:lineRule="auto" w:after="120"/>
      </w:pPr>
      <w:r>
        <w:rPr>
          <w:rFonts w:ascii="Calibri" w:hAnsi="Calibri" w:eastAsia="Calibri"/>
          <w:b w:val="0"/>
          <w:i w:val="0"/>
          <w:color w:val="24282C"/>
          <w:sz w:val="20"/>
        </w:rPr>
        <w:t>Methanol nevertheless has practical advantages. The synthesis loop and distillation are mature, the liquid product is easier to store and ship than mixed light olefins, and marine/chemical buyers may accept certified renewable methanol. Its disadvantage is value density: the July 2026 NBS methanol observation was about 2,491 RMB/t, far below the 7,500 RMB/t mixed-olefin netback. Whether simpler equipment compensates for the lower price depends on carbon recovery, contracted gate fees and the actual renewable-methanol offtake.</w:t>
      </w:r>
    </w:p>
    <w:p>
      <w:pPr>
        <w:pStyle w:val="Heading3"/>
        <w:keepNext/>
        <w:spacing w:before="160" w:after="80"/>
      </w:pPr>
      <w:r>
        <w:rPr>
          <w:rFonts w:ascii="Calibri" w:hAnsi="Calibri" w:eastAsia="Calibri"/>
          <w:b/>
          <w:i w:val="0"/>
          <w:color w:val="40566C"/>
          <w:sz w:val="22"/>
        </w:rPr>
        <w:t>10.9.2 Carbon-limited methanol capacity</w:t>
      </w:r>
    </w:p>
    <w:p>
      <w:pPr>
        <w:widowControl/>
        <w:spacing w:line="269" w:lineRule="auto" w:after="120"/>
      </w:pPr>
      <w:r>
        <w:rPr>
          <w:rFonts w:ascii="Calibri" w:hAnsi="Calibri" w:eastAsia="Calibri"/>
          <w:b w:val="0"/>
          <w:i w:val="0"/>
          <w:color w:val="24282C"/>
          <w:sz w:val="20"/>
        </w:rPr>
        <w:t>The ten-train B1 feed contains 86,404 t/y carbon. Because methanol is 37.5 wt% carbon, the absolute stoichiometric maximum is 230.4 kt/y if every carbon atom becomes product. At a 60% overall feed-carbon efficiency, a more defensible route-screen basis is 138.2 kt/y. This is well below the owner's 300 kt/y Inner Mongolia comparator, so the RMB 1.5 billion benchmark still cannot be scaled solely by product name. Reaching 300 kt/y would require substantially more feed carbon or an external carbon/syngas source.</w:t>
      </w:r>
    </w:p>
    <w:p>
      <w:pPr>
        <w:pStyle w:val="Heading3"/>
        <w:keepNext/>
        <w:spacing w:before="160" w:after="80"/>
      </w:pPr>
      <w:r>
        <w:rPr>
          <w:rFonts w:ascii="Calibri" w:hAnsi="Calibri" w:eastAsia="Calibri"/>
          <w:b/>
          <w:i w:val="0"/>
          <w:color w:val="40566C"/>
          <w:sz w:val="22"/>
        </w:rPr>
        <w:t>10.9.3 Screening comparison</w:t>
      </w:r>
    </w:p>
    <w:p>
      <w:pPr>
        <w:keepNext/>
        <w:spacing w:before="60" w:after="60"/>
      </w:pPr>
      <w:r>
        <w:rPr>
          <w:rFonts w:ascii="Calibri" w:hAnsi="Calibri" w:eastAsia="Calibri"/>
          <w:b w:val="0"/>
          <w:i/>
          <w:color w:val="65717C"/>
          <w:sz w:val="17"/>
        </w:rPr>
        <w:t>Table 10.9 — Product-route comparison on the same B1 feed and contracted-fee basis. Methanol capital/OPEX and 60% carbon efficiency are route-screen assumptions, not vendor quotes.</w:t>
      </w:r>
    </w:p>
    <w:tbl>
      <w:tblPr>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259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Route screen</w:t>
            </w:r>
          </w:p>
        </w:tc>
        <w:tc>
          <w:tcPr>
            <w:tcW w:type="dxa" w:w="115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Product kt/y</w:t>
            </w:r>
          </w:p>
        </w:tc>
        <w:tc>
          <w:tcPr>
            <w:tcW w:type="dxa" w:w="144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Netback RMB/t</w:t>
            </w:r>
          </w:p>
        </w:tc>
        <w:tc>
          <w:tcPr>
            <w:tcW w:type="dxa" w:w="122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TCI RMB bn</w:t>
            </w:r>
          </w:p>
        </w:tc>
        <w:tc>
          <w:tcPr>
            <w:tcW w:type="dxa" w:w="144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OPEX RMB m/y</w:t>
            </w:r>
          </w:p>
        </w:tc>
        <w:tc>
          <w:tcPr>
            <w:tcW w:type="dxa" w:w="151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20-y NPV RMB m</w:t>
            </w:r>
          </w:p>
        </w:tc>
      </w:tr>
      <w:tr>
        <w:tc>
          <w:tcPr>
            <w:tcW w:type="dxa" w:w="164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OXZEO commodity, improved conversion</w:t>
            </w:r>
          </w:p>
        </w:tc>
        <w:tc>
          <w:tcPr>
            <w:tcW w:type="dxa" w:w="164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55.5</w:t>
            </w:r>
          </w:p>
        </w:tc>
        <w:tc>
          <w:tcPr>
            <w:tcW w:type="dxa" w:w="164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7,500</w:t>
            </w:r>
          </w:p>
        </w:tc>
        <w:tc>
          <w:tcPr>
            <w:tcW w:type="dxa" w:w="164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2.81</w:t>
            </w:r>
          </w:p>
        </w:tc>
        <w:tc>
          <w:tcPr>
            <w:tcW w:type="dxa" w:w="164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215.5</w:t>
            </w:r>
          </w:p>
        </w:tc>
        <w:tc>
          <w:tcPr>
            <w:tcW w:type="dxa" w:w="164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+667</w:t>
            </w:r>
          </w:p>
        </w:tc>
      </w:tr>
      <w:tr>
        <w:tc>
          <w:tcPr>
            <w:tcW w:type="dxa" w:w="1646"/>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3"/>
              </w:rPr>
              <w:t>OXZEO EU 20%, improved conversion</w:t>
            </w:r>
          </w:p>
        </w:tc>
        <w:tc>
          <w:tcPr>
            <w:tcW w:type="dxa" w:w="1646"/>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3"/>
              </w:rPr>
              <w:t>55.5</w:t>
            </w:r>
          </w:p>
        </w:tc>
        <w:tc>
          <w:tcPr>
            <w:tcW w:type="dxa" w:w="1646"/>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3"/>
              </w:rPr>
              <w:t>9,000</w:t>
            </w:r>
          </w:p>
        </w:tc>
        <w:tc>
          <w:tcPr>
            <w:tcW w:type="dxa" w:w="1646"/>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3"/>
              </w:rPr>
              <w:t>2.81</w:t>
            </w:r>
          </w:p>
        </w:tc>
        <w:tc>
          <w:tcPr>
            <w:tcW w:type="dxa" w:w="1646"/>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3"/>
              </w:rPr>
              <w:t>237.5</w:t>
            </w:r>
          </w:p>
        </w:tc>
        <w:tc>
          <w:tcPr>
            <w:tcW w:type="dxa" w:w="1646"/>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3"/>
              </w:rPr>
              <w:t>+1188</w:t>
            </w:r>
          </w:p>
        </w:tc>
      </w:tr>
      <w:tr>
        <w:tc>
          <w:tcPr>
            <w:tcW w:type="dxa" w:w="164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Reference methanol plant</w:t>
            </w:r>
          </w:p>
        </w:tc>
        <w:tc>
          <w:tcPr>
            <w:tcW w:type="dxa" w:w="164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300.0</w:t>
            </w:r>
          </w:p>
        </w:tc>
        <w:tc>
          <w:tcPr>
            <w:tcW w:type="dxa" w:w="164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Not disclosed</w:t>
            </w:r>
          </w:p>
        </w:tc>
        <w:tc>
          <w:tcPr>
            <w:tcW w:type="dxa" w:w="164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1.50 owner benchmark</w:t>
            </w:r>
          </w:p>
        </w:tc>
        <w:tc>
          <w:tcPr>
            <w:tcW w:type="dxa" w:w="164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326.25 disclosed</w:t>
            </w:r>
          </w:p>
        </w:tc>
        <w:tc>
          <w:tcPr>
            <w:tcW w:type="dxa" w:w="164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Not calculable without revenue/feed/labour</w:t>
            </w:r>
          </w:p>
        </w:tc>
      </w:tr>
      <w:tr>
        <w:tc>
          <w:tcPr>
            <w:tcW w:type="dxa" w:w="1646"/>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3"/>
              </w:rPr>
              <w:t>Towngas-feed methanol screen</w:t>
            </w:r>
          </w:p>
        </w:tc>
        <w:tc>
          <w:tcPr>
            <w:tcW w:type="dxa" w:w="1646"/>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3"/>
              </w:rPr>
              <w:t>138.2</w:t>
            </w:r>
          </w:p>
        </w:tc>
        <w:tc>
          <w:tcPr>
            <w:tcW w:type="dxa" w:w="1646"/>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3"/>
              </w:rPr>
              <w:t>Scenario only</w:t>
            </w:r>
          </w:p>
        </w:tc>
        <w:tc>
          <w:tcPr>
            <w:tcW w:type="dxa" w:w="1646"/>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3"/>
              </w:rPr>
              <w:t>Vendor quote required</w:t>
            </w:r>
          </w:p>
        </w:tc>
        <w:tc>
          <w:tcPr>
            <w:tcW w:type="dxa" w:w="1646"/>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3"/>
              </w:rPr>
              <w:t>150.3 analogue + feed/labour</w:t>
            </w:r>
          </w:p>
        </w:tc>
        <w:tc>
          <w:tcPr>
            <w:tcW w:type="dxa" w:w="1646"/>
            <w:vAlign w:val="center"/>
            <w:tcMar>
              <w:top w:w="85" w:type="dxa"/>
              <w:start w:w="95" w:type="dxa"/>
              <w:bottom w:w="85" w:type="dxa"/>
              <w:end w:w="95" w:type="dxa"/>
            </w:tcMar>
            <w:shd w:fill="F3F6F8"/>
          </w:tcPr>
          <w:p>
            <w:pPr>
              <w:spacing w:after="0" w:line="240" w:lineRule="auto"/>
            </w:pPr>
            <w:r>
              <w:rPr>
                <w:rFonts w:ascii="Calibri" w:hAnsi="Calibri" w:eastAsia="Calibri"/>
                <w:b w:val="0"/>
                <w:i w:val="0"/>
                <w:color w:val="24282C"/>
                <w:sz w:val="13"/>
              </w:rPr>
              <w:t>Not asserted</w:t>
            </w:r>
          </w:p>
        </w:tc>
      </w:tr>
    </w:tbl>
    <w:p>
      <w:pPr>
        <w:spacing w:after="20"/>
      </w:pPr>
    </w:p>
    <w:p>
      <w:pPr>
        <w:widowControl/>
        <w:spacing w:line="269" w:lineRule="auto" w:after="120"/>
      </w:pPr>
      <w:r>
        <w:rPr>
          <w:rFonts w:ascii="Calibri" w:hAnsi="Calibri" w:eastAsia="Calibri"/>
          <w:b w:val="0"/>
          <w:i w:val="0"/>
          <w:color w:val="24282C"/>
          <w:sz w:val="20"/>
        </w:rPr>
        <w:t>The supplied reference confirms that mature methanol production can operate with a disclosed cash-cost subtotal of RMB 1,087.5/t before raw feed, labour, depreciation and fixed investment. It does not by itself prove profitability for the Towngas feed. Applying the disclosed subtotal mechanically to the 138.2 kt/y carbon-limited screen gives about RMB 150.3 million/y before feed and labour, but SCWG, gas cleanup and reforming duties differ from the reference plant. A comparable vendor scope, product offtake and full feed/logistics cost are therefore required before assigning methanol NPV.</w:t>
      </w:r>
    </w:p>
    <w:p>
      <w:pPr>
        <w:pStyle w:val="Heading3"/>
        <w:keepNext/>
        <w:spacing w:before="160" w:after="80"/>
      </w:pPr>
      <w:r>
        <w:rPr>
          <w:rFonts w:ascii="Calibri" w:hAnsi="Calibri" w:eastAsia="Calibri"/>
          <w:b/>
          <w:i w:val="0"/>
          <w:color w:val="40566C"/>
          <w:sz w:val="22"/>
        </w:rPr>
        <w:t>10.9.4 Renewable methane</w:t>
      </w:r>
    </w:p>
    <w:p>
      <w:pPr>
        <w:widowControl/>
        <w:spacing w:line="269" w:lineRule="auto" w:after="120"/>
      </w:pPr>
      <w:r>
        <w:rPr>
          <w:rFonts w:ascii="Calibri" w:hAnsi="Calibri" w:eastAsia="Calibri"/>
          <w:b w:val="0"/>
          <w:i w:val="0"/>
          <w:color w:val="24282C"/>
          <w:sz w:val="20"/>
        </w:rPr>
        <w:t>A renewable-methane route is mechanically simplest because much of the B2 methane can be purified rather than reformed. B6 and B7 could be replaced by CO2 removal, drying, compression and gas-grid or LNG conditioning. This avoids the methane round-trip and should have the lowest conversion-island capital, but product value is tied to gas markets and certification, and methane slip becomes a critical greenhouse-gas risk. The route may be the best fallback where a nearby grid, industrial fuel buyer or bio-LNG terminal offers a firm premium.</w:t>
      </w:r>
    </w:p>
    <w:p>
      <w:pPr>
        <w:keepNext/>
        <w:spacing w:before="60" w:after="60"/>
      </w:pPr>
      <w:r>
        <w:rPr>
          <w:rFonts w:ascii="Calibri" w:hAnsi="Calibri" w:eastAsia="Calibri"/>
          <w:b w:val="0"/>
          <w:i/>
          <w:color w:val="65717C"/>
          <w:sz w:val="17"/>
        </w:rPr>
        <w:t>Table 10.10 — Product-route decision should follow complete battery-limit economics.</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80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Route</w:t>
            </w:r>
          </w:p>
        </w:tc>
        <w:tc>
          <w:tcPr>
            <w:tcW w:type="dxa" w:w="230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Units retained</w:t>
            </w:r>
          </w:p>
        </w:tc>
        <w:tc>
          <w:tcPr>
            <w:tcW w:type="dxa" w:w="244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Units removed / simplified</w:t>
            </w:r>
          </w:p>
        </w:tc>
        <w:tc>
          <w:tcPr>
            <w:tcW w:type="dxa" w:w="252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Commercial strength</w:t>
            </w:r>
          </w:p>
        </w:tc>
        <w:tc>
          <w:tcPr>
            <w:tcW w:type="dxa" w:w="244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Principal weakness</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OXZEO olefins</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B1–B6 plus B7</w:t>
            </w:r>
          </w:p>
        </w:tc>
        <w:tc>
          <w:tcPr>
            <w:tcW w:type="dxa" w:w="24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None</w:t>
            </w:r>
          </w:p>
        </w:tc>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Highest product value and EU chemical-market differentiation</w:t>
            </w:r>
          </w:p>
        </w:tc>
        <w:tc>
          <w:tcPr>
            <w:tcW w:type="dxa" w:w="24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Catalyst/scale risk, reformer duty and product separation</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Methanol</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B1–B6 plus methanol loop</w:t>
            </w:r>
          </w:p>
        </w:tc>
        <w:tc>
          <w:tcPr>
            <w:tcW w:type="dxa" w:w="244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OXZEO and C2–C4 fractionation</w:t>
            </w:r>
          </w:p>
        </w:tc>
        <w:tc>
          <w:tcPr>
            <w:tcW w:type="dxa" w:w="25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Mature liquid synthesis and logistics; renewable-methanol buyers</w:t>
            </w:r>
          </w:p>
        </w:tc>
        <w:tc>
          <w:tcPr>
            <w:tcW w:type="dxa" w:w="244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Lower commodity price; B6 usually still required</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Renewable methane</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B1–B5 plus gas conditioning</w:t>
            </w:r>
          </w:p>
        </w:tc>
        <w:tc>
          <w:tcPr>
            <w:tcW w:type="dxa" w:w="24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B6/B7 largely removed</w:t>
            </w:r>
          </w:p>
        </w:tc>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Lowest downstream complexity; avoids methane round-trip</w:t>
            </w:r>
          </w:p>
        </w:tc>
        <w:tc>
          <w:tcPr>
            <w:tcW w:type="dxa" w:w="24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Gas offtake/premium, compression and methane-emission control</w:t>
            </w:r>
          </w:p>
        </w:tc>
      </w:tr>
    </w:tbl>
    <w:p>
      <w:pPr>
        <w:spacing w:after="20"/>
      </w:pPr>
    </w:p>
    <w:p>
      <w:pPr>
        <w:pStyle w:val="Heading2"/>
        <w:keepNext/>
        <w:spacing w:before="240" w:after="100"/>
      </w:pPr>
      <w:r>
        <w:rPr>
          <w:rFonts w:ascii="Calibri" w:hAnsi="Calibri" w:eastAsia="Calibri"/>
          <w:b/>
          <w:i w:val="0"/>
          <w:color w:val="2F5597"/>
          <w:sz w:val="26"/>
        </w:rPr>
        <w:t>10.11 Authoritative cost reconciliation and ramp sensitivity</w:t>
      </w:r>
    </w:p>
    <w:p>
      <w:pPr>
        <w:widowControl/>
        <w:spacing w:line="269" w:lineRule="auto" w:after="120"/>
      </w:pPr>
      <w:r>
        <w:rPr>
          <w:rFonts w:ascii="Calibri" w:hAnsi="Calibri" w:eastAsia="Calibri"/>
          <w:b w:val="0"/>
          <w:i w:val="0"/>
          <w:color w:val="24282C"/>
          <w:sz w:val="20"/>
        </w:rPr>
        <w:t>The supplied 300 kt/y methanol reference discloses RMB 1,087.5/t, or RMB 326.25 million/y, before raw material, labour, depreciation and fixed investment. It is an authoritative cash-cost comparator, not a complete project NPV. The company separately provided RMB 1.5 billion as the plant capital benchmark. Keeping these two sources separate prevents undisclosed depreciation from being reverse-engineered or falsely attributed to the cost note.</w:t>
      </w:r>
      <w:r>
        <w:rPr>
          <w:rFonts w:ascii="Calibri" w:hAnsi="Calibri" w:eastAsia="Calibri"/>
          <w:b w:val="0"/>
          <w:i w:val="0"/>
          <w:color w:val="2F5597"/>
          <w:sz w:val="15"/>
          <w:vertAlign w:val="superscript"/>
        </w:rPr>
        <w:t xml:space="preserve"> 36</w:t>
      </w:r>
    </w:p>
    <w:p>
      <w:pPr>
        <w:keepNext/>
        <w:spacing w:before="60" w:after="60"/>
      </w:pPr>
      <w:r>
        <w:rPr>
          <w:rFonts w:ascii="Calibri" w:hAnsi="Calibri" w:eastAsia="Calibri"/>
          <w:b w:val="0"/>
          <w:i/>
          <w:color w:val="65717C"/>
          <w:sz w:val="17"/>
        </w:rPr>
        <w:t>Table 10.11 — Authoritative disclosed methanol cash-cost basis; excluding raw feed, HR, depreciation and fixed investment.</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338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Reference cost item</w:t>
            </w:r>
          </w:p>
        </w:tc>
        <w:tc>
          <w:tcPr>
            <w:tcW w:type="dxa" w:w="180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Consumption</w:t>
            </w:r>
          </w:p>
        </w:tc>
        <w:tc>
          <w:tcPr>
            <w:tcW w:type="dxa" w:w="172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Unit price</w:t>
            </w:r>
          </w:p>
        </w:tc>
        <w:tc>
          <w:tcPr>
            <w:tcW w:type="dxa" w:w="144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RMB/t methanol</w:t>
            </w:r>
          </w:p>
        </w:tc>
        <w:tc>
          <w:tcPr>
            <w:tcW w:type="dxa" w:w="158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RMB m/y at 300 kt/y</w:t>
            </w:r>
          </w:p>
        </w:tc>
      </w:tr>
      <w:tr>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Biomass pellets for ASU and all plant steam</w:t>
            </w:r>
          </w:p>
        </w:tc>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0.6 t/t methanol</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600 RMB/t</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360.0</w:t>
            </w:r>
          </w:p>
        </w:tc>
        <w:tc>
          <w:tcPr>
            <w:tcW w:type="dxa" w:w="15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108.00</w:t>
            </w:r>
          </w:p>
        </w:tc>
      </w:tr>
      <w:tr>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Catalysts and chemical auxiliaries</w:t>
            </w:r>
          </w:p>
        </w:tc>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w:t>
            </w:r>
          </w:p>
        </w:tc>
        <w:tc>
          <w:tcPr>
            <w:tcW w:type="dxa" w:w="14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87.0</w:t>
            </w:r>
          </w:p>
        </w:tc>
        <w:tc>
          <w:tcPr>
            <w:tcW w:type="dxa" w:w="15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26.10</w:t>
            </w:r>
          </w:p>
        </w:tc>
      </w:tr>
      <w:tr>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Production water</w:t>
            </w:r>
          </w:p>
        </w:tc>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9 t/t methanol</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17 RMB/t</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153.0</w:t>
            </w:r>
          </w:p>
        </w:tc>
        <w:tc>
          <w:tcPr>
            <w:tcW w:type="dxa" w:w="15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45.90</w:t>
            </w:r>
          </w:p>
        </w:tc>
      </w:tr>
      <w:tr>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Production electricity</w:t>
            </w:r>
          </w:p>
        </w:tc>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750 kWh/t methanol</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0.37 RMB/kWh</w:t>
            </w:r>
          </w:p>
        </w:tc>
        <w:tc>
          <w:tcPr>
            <w:tcW w:type="dxa" w:w="14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277.5</w:t>
            </w:r>
          </w:p>
        </w:tc>
        <w:tc>
          <w:tcPr>
            <w:tcW w:type="dxa" w:w="15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83.25</w:t>
            </w:r>
          </w:p>
        </w:tc>
      </w:tr>
      <w:tr>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Maintenance</w:t>
            </w:r>
          </w:p>
        </w:tc>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180.0</w:t>
            </w:r>
          </w:p>
        </w:tc>
        <w:tc>
          <w:tcPr>
            <w:tcW w:type="dxa" w:w="15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54.00</w:t>
            </w:r>
          </w:p>
        </w:tc>
      </w:tr>
      <w:tr>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Operating taxes</w:t>
            </w:r>
          </w:p>
        </w:tc>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w:t>
            </w:r>
          </w:p>
        </w:tc>
        <w:tc>
          <w:tcPr>
            <w:tcW w:type="dxa" w:w="14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30.0</w:t>
            </w:r>
          </w:p>
        </w:tc>
        <w:tc>
          <w:tcPr>
            <w:tcW w:type="dxa" w:w="15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9.00</w:t>
            </w:r>
          </w:p>
        </w:tc>
      </w:tr>
      <w:tr>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Disclosed subtotal</w:t>
            </w:r>
          </w:p>
        </w:tc>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1087.5</w:t>
            </w:r>
          </w:p>
        </w:tc>
        <w:tc>
          <w:tcPr>
            <w:tcW w:type="dxa" w:w="15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326.25</w:t>
            </w:r>
          </w:p>
        </w:tc>
      </w:tr>
    </w:tbl>
    <w:p>
      <w:pPr>
        <w:spacing w:after="20"/>
      </w:pPr>
    </w:p>
    <w:p>
      <w:pPr>
        <w:keepNext/>
        <w:spacing w:before="60" w:after="60"/>
      </w:pPr>
      <w:r>
        <w:rPr>
          <w:rFonts w:ascii="Calibri" w:hAnsi="Calibri" w:eastAsia="Calibri"/>
          <w:b w:val="0"/>
          <w:i/>
          <w:color w:val="65717C"/>
          <w:sz w:val="17"/>
        </w:rPr>
        <w:t>Table 10.12 — Effect of a two-year operating ramp. Fixed OPEX remains; revenue and variable OPEX scale with throughput.</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00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Case</w:t>
            </w:r>
          </w:p>
        </w:tc>
        <w:tc>
          <w:tcPr>
            <w:tcW w:type="dxa" w:w="22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Level annual NPV RMB m</w:t>
            </w:r>
          </w:p>
        </w:tc>
        <w:tc>
          <w:tcPr>
            <w:tcW w:type="dxa" w:w="244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NPV with 70%/90% ramp RMB m</w:t>
            </w:r>
          </w:p>
        </w:tc>
        <w:tc>
          <w:tcPr>
            <w:tcW w:type="dxa" w:w="40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Interpretation</w:t>
            </w:r>
          </w:p>
        </w:tc>
      </w:tr>
      <w:tr>
        <w:tc>
          <w:tcPr>
            <w:tcW w:type="dxa" w:w="10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-1187.0</w:t>
            </w:r>
          </w:p>
        </w:tc>
        <w:tc>
          <w:tcPr>
            <w:tcW w:type="dxa" w:w="24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-1296.5</w:t>
            </w:r>
          </w:p>
        </w:tc>
        <w:tc>
          <w:tcPr>
            <w:tcW w:type="dxa" w:w="40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Commodity/base-fee case remains structurally negative</w:t>
            </w:r>
          </w:p>
        </w:tc>
      </w:tr>
      <w:tr>
        <w:tc>
          <w:tcPr>
            <w:tcW w:type="dxa" w:w="10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+187.1</w:t>
            </w:r>
          </w:p>
        </w:tc>
        <w:tc>
          <w:tcPr>
            <w:tcW w:type="dxa" w:w="244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+20.2</w:t>
            </w:r>
          </w:p>
        </w:tc>
        <w:tc>
          <w:tcPr>
            <w:tcW w:type="dxa" w:w="40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Current conversion becomes only marginally positive after ramp</w:t>
            </w:r>
          </w:p>
        </w:tc>
      </w:tr>
      <w:tr>
        <w:tc>
          <w:tcPr>
            <w:tcW w:type="dxa" w:w="10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+667.1</w:t>
            </w:r>
          </w:p>
        </w:tc>
        <w:tc>
          <w:tcPr>
            <w:tcW w:type="dxa" w:w="24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+480.3</w:t>
            </w:r>
          </w:p>
        </w:tc>
        <w:tc>
          <w:tcPr>
            <w:tcW w:type="dxa" w:w="40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Conversion + contracts works without premium</w:t>
            </w:r>
          </w:p>
        </w:tc>
      </w:tr>
      <w:tr>
        <w:tc>
          <w:tcPr>
            <w:tcW w:type="dxa" w:w="10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D</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+1188.0</w:t>
            </w:r>
          </w:p>
        </w:tc>
        <w:tc>
          <w:tcPr>
            <w:tcW w:type="dxa" w:w="244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+979.4</w:t>
            </w:r>
          </w:p>
        </w:tc>
        <w:tc>
          <w:tcPr>
            <w:tcW w:type="dxa" w:w="40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Strongest case; premium still requires contract</w:t>
            </w:r>
          </w:p>
        </w:tc>
      </w:tr>
    </w:tbl>
    <w:p>
      <w:pPr>
        <w:spacing w:after="20"/>
      </w:pPr>
    </w:p>
    <w:p>
      <w:pPr>
        <w:pStyle w:val="Heading1"/>
        <w:keepNext/>
        <w:pageBreakBefore/>
        <w:spacing w:after="200"/>
      </w:pPr>
      <w:r>
        <w:rPr>
          <w:rFonts w:ascii="Calibri" w:hAnsi="Calibri" w:eastAsia="Calibri"/>
          <w:b/>
          <w:i w:val="0"/>
          <w:color w:val="17365D"/>
          <w:sz w:val="34"/>
        </w:rPr>
        <w:t>11. Discussion and conclusions</w:t>
      </w:r>
    </w:p>
    <w:p>
      <w:pPr>
        <w:pStyle w:val="Heading2"/>
        <w:keepNext/>
        <w:spacing w:before="240" w:after="100"/>
      </w:pPr>
      <w:r>
        <w:rPr>
          <w:rFonts w:ascii="Calibri" w:hAnsi="Calibri" w:eastAsia="Calibri"/>
          <w:b/>
          <w:i w:val="0"/>
          <w:color w:val="2F5597"/>
          <w:sz w:val="26"/>
        </w:rPr>
        <w:t>11.1 What the feed strategy changes</w:t>
      </w:r>
    </w:p>
    <w:p>
      <w:pPr>
        <w:widowControl/>
        <w:spacing w:line="269" w:lineRule="auto" w:after="120"/>
      </w:pPr>
      <w:r>
        <w:rPr>
          <w:rFonts w:ascii="Calibri" w:hAnsi="Calibri" w:eastAsia="Calibri"/>
          <w:b w:val="0"/>
          <w:i w:val="0"/>
          <w:color w:val="24282C"/>
          <w:sz w:val="20"/>
        </w:rPr>
        <w:t>The revised feed strategy does not abandon douzha. It treats douzha as the stable wet matrix and uses regional residues to adjust carbon, nitrogen and rheology. The balanced B1 design raises feed carbon from the douzha-rich control while preserving margin below the higher-carbon solids ceiling. This strengthens product output without making one speculative feedstock responsible for the plant. The same approach supports the website claim that many wet organic wastes can be converted: the core hydrothermal chemistry is shared, while the recipe and pretreatment respond to carbon density, pumpability and contaminant load.</w:t>
      </w:r>
    </w:p>
    <w:p>
      <w:pPr>
        <w:pStyle w:val="Heading2"/>
        <w:keepNext/>
        <w:spacing w:before="240" w:after="100"/>
      </w:pPr>
      <w:r>
        <w:rPr>
          <w:rFonts w:ascii="Calibri" w:hAnsi="Calibri" w:eastAsia="Calibri"/>
          <w:b/>
          <w:i w:val="0"/>
          <w:color w:val="2F5597"/>
          <w:sz w:val="26"/>
        </w:rPr>
        <w:t>11.2 What the bauxite-residue strategy changes</w:t>
      </w:r>
    </w:p>
    <w:p>
      <w:pPr>
        <w:widowControl/>
        <w:spacing w:line="269" w:lineRule="auto" w:after="120"/>
      </w:pPr>
      <w:r>
        <w:rPr>
          <w:rFonts w:ascii="Calibri" w:hAnsi="Calibri" w:eastAsia="Calibri"/>
          <w:b w:val="0"/>
          <w:i w:val="0"/>
          <w:color w:val="24282C"/>
          <w:sz w:val="20"/>
        </w:rPr>
        <w:t>Bauxite residue is treated as a waste that needs an outlet, not only as a catalytic additive. Purposeful B3 precipitation and B4/B8 washing remove soluble species into controlled streams. The design no longer depends on complete one-pass dealkalization or a large permanent recycle. A one-pass qualified product leaves the plant; off-specification material receives a second wash or defined retreatment. This makes residue throughput, chloride and final responsibility auditable.</w:t>
      </w:r>
    </w:p>
    <w:p>
      <w:pPr>
        <w:pStyle w:val="Heading2"/>
        <w:keepNext/>
        <w:spacing w:before="240" w:after="100"/>
      </w:pPr>
      <w:r>
        <w:rPr>
          <w:rFonts w:ascii="Calibri" w:hAnsi="Calibri" w:eastAsia="Calibri"/>
          <w:b/>
          <w:i w:val="0"/>
          <w:color w:val="2F5597"/>
          <w:sz w:val="26"/>
        </w:rPr>
        <w:t>11.3 What remains scientifically difficult</w:t>
      </w:r>
    </w:p>
    <w:p>
      <w:pPr>
        <w:widowControl/>
        <w:spacing w:line="269" w:lineRule="auto" w:after="120"/>
      </w:pPr>
      <w:r>
        <w:rPr>
          <w:rFonts w:ascii="Calibri" w:hAnsi="Calibri" w:eastAsia="Calibri"/>
          <w:b w:val="0"/>
          <w:i w:val="0"/>
          <w:color w:val="24282C"/>
          <w:sz w:val="20"/>
        </w:rPr>
        <w:t>Salt remains the largest technical availability risk. The project wants precipitation for residue treatment, but it must force that precipitation into B3 and keep H-101/B2 surfaces clean. The second difficulty is the methane round-trip. SCWG can produce methane efficiently, whereas OXZEO needs CO/H2; bi-reforming reverses methane formation with a large endotherm. The third difficulty is not a separate slogan but a consequence of the same integration: OXZEO laboratory selectivity must translate into long-duration conversion, catalyst life and product quality on real waste-derived gas.</w:t>
      </w:r>
    </w:p>
    <w:p>
      <w:pPr>
        <w:pStyle w:val="Heading2"/>
        <w:keepNext/>
        <w:spacing w:before="240" w:after="100"/>
      </w:pPr>
      <w:r>
        <w:rPr>
          <w:rFonts w:ascii="Calibri" w:hAnsi="Calibri" w:eastAsia="Calibri"/>
          <w:b/>
          <w:i w:val="0"/>
          <w:color w:val="2F5597"/>
          <w:sz w:val="26"/>
        </w:rPr>
        <w:t>11.4 Main financial conclusion</w:t>
      </w:r>
    </w:p>
    <w:p>
      <w:pPr>
        <w:widowControl/>
        <w:spacing w:line="269" w:lineRule="auto" w:after="120"/>
      </w:pPr>
      <w:r>
        <w:rPr>
          <w:rFonts w:ascii="Calibri" w:hAnsi="Calibri" w:eastAsia="Calibri"/>
          <w:b w:val="0"/>
          <w:i w:val="0"/>
          <w:color w:val="24282C"/>
          <w:sz w:val="20"/>
        </w:rPr>
        <w:t>The plant remains capital-intensive because ten high-pressure, salt-resistant hydrothermal trains handle nearly one million tonnes per year of watery slurry while only 42–55 kt/y becomes saleable olefins. The supplied Chinese electricity and biomass-fuel prices reduce the screened operating cost materially, but they do not remove the capital-dilution problem. With the corrected prices, current conversion plus contracted service fees and a 20% certified premium is only marginally positive after a two-year ramp; improved 55% carbon efficiency is substantially stronger. Profitability therefore still requires high availability, controlled capital, contracted waste-service revenue and verified product value together.</w:t>
      </w:r>
    </w:p>
    <w:p>
      <w:pPr>
        <w:pStyle w:val="Heading2"/>
        <w:keepNext/>
        <w:spacing w:before="240" w:after="100"/>
      </w:pPr>
      <w:r>
        <w:rPr>
          <w:rFonts w:ascii="Calibri" w:hAnsi="Calibri" w:eastAsia="Calibri"/>
          <w:b/>
          <w:i w:val="0"/>
          <w:color w:val="2F5597"/>
          <w:sz w:val="26"/>
        </w:rPr>
        <w:t>11.5 Final design position</w:t>
      </w:r>
    </w:p>
    <w:p>
      <w:pPr>
        <w:keepNext/>
        <w:spacing w:before="60" w:after="60"/>
      </w:pPr>
      <w:r>
        <w:rPr>
          <w:rFonts w:ascii="Calibri" w:hAnsi="Calibri" w:eastAsia="Calibri"/>
          <w:b w:val="0"/>
          <w:i/>
          <w:color w:val="65717C"/>
          <w:sz w:val="17"/>
        </w:rPr>
        <w:t>Table 11.1 — Consolidated outcome of the complete rewrite.</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16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Decision</w:t>
            </w:r>
          </w:p>
        </w:tc>
        <w:tc>
          <w:tcPr>
            <w:tcW w:type="dxa" w:w="734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Revised position</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Feed</w:t>
            </w:r>
          </w:p>
        </w:tc>
        <w:tc>
          <w:tcPr>
            <w:tcW w:type="dxa" w:w="73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Keep douzha as anchor; use cassava, clean pulp/liquor and controlled straw as optional carbon adjustment; manure only after separate qualification</w:t>
            </w:r>
          </w:p>
        </w:tc>
      </w:tr>
      <w:tr>
        <w:tc>
          <w:tcPr>
            <w:tcW w:type="dxa" w:w="21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Location</w:t>
            </w:r>
          </w:p>
        </w:tc>
        <w:tc>
          <w:tcPr>
            <w:tcW w:type="dxa" w:w="73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Treat the Guangxi–Guangdong/Beibu Gulf corridor as an opportunity; decide from supplier-level delivered dry-carbon and utility/product logistics</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Scale</w:t>
            </w:r>
          </w:p>
        </w:tc>
        <w:tc>
          <w:tcPr>
            <w:tcW w:type="dxa" w:w="73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Ten 300 t/d B1–B4 trains merging after B4 into shared B5–B7</w:t>
            </w:r>
          </w:p>
        </w:tc>
      </w:tr>
      <w:tr>
        <w:tc>
          <w:tcPr>
            <w:tcW w:type="dxa" w:w="21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Salt</w:t>
            </w:r>
          </w:p>
        </w:tc>
        <w:tc>
          <w:tcPr>
            <w:tcW w:type="dxa" w:w="73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Desired separation product and primary availability risk; twin continuous B3 separators with flush and underflow</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Bauxite residue</w:t>
            </w:r>
          </w:p>
        </w:tc>
        <w:tc>
          <w:tcPr>
            <w:tcW w:type="dxa" w:w="73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One-pass product target plus off-spec second wash/retreatment; no blanket full-dealkalization claim</w:t>
            </w:r>
          </w:p>
        </w:tc>
      </w:tr>
      <w:tr>
        <w:tc>
          <w:tcPr>
            <w:tcW w:type="dxa" w:w="21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Chloride</w:t>
            </w:r>
          </w:p>
        </w:tc>
        <w:tc>
          <w:tcPr>
            <w:tcW w:type="dxa" w:w="73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Supplier segregation, washing, recycle limit and controlled aqueous purge based on measured inventory</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Nitrogen</w:t>
            </w:r>
          </w:p>
        </w:tc>
        <w:tc>
          <w:tcPr>
            <w:tcW w:type="dxa" w:w="73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Recover aqueous ammonia to ammonium sulfate after qualification; do not leave protein nitrogen in indefinite water recycle</w:t>
            </w:r>
          </w:p>
        </w:tc>
      </w:tr>
      <w:tr>
        <w:tc>
          <w:tcPr>
            <w:tcW w:type="dxa" w:w="21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Bi-reforming</w:t>
            </w:r>
          </w:p>
        </w:tc>
        <w:tc>
          <w:tcPr>
            <w:tcW w:type="dxa" w:w="73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Retain; strongly endothermic; optimise B2 to reduce methane only when full carbon efficiency improves</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OXZEO</w:t>
            </w:r>
          </w:p>
        </w:tc>
        <w:tc>
          <w:tcPr>
            <w:tcW w:type="dxa" w:w="73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Use simplified chemistry narrative but require licensed real-gas conversion, selectivity and life</w:t>
            </w:r>
          </w:p>
        </w:tc>
      </w:tr>
      <w:tr>
        <w:tc>
          <w:tcPr>
            <w:tcW w:type="dxa" w:w="21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Certification</w:t>
            </w:r>
          </w:p>
        </w:tc>
        <w:tc>
          <w:tcPr>
            <w:tcW w:type="dxa" w:w="73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Standalone ISCC/ISO/market section; EU premium is contractual and olefins are not currently CBAM goods</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Economics</w:t>
            </w:r>
          </w:p>
        </w:tc>
        <w:tc>
          <w:tcPr>
            <w:tcW w:type="dxa" w:w="73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Current 42% case is not financeable; improved 50–55% conversion plus contracts can make the ten-train case profitable</w:t>
            </w:r>
          </w:p>
        </w:tc>
      </w:tr>
    </w:tbl>
    <w:p>
      <w:pPr>
        <w:spacing w:after="20"/>
      </w:pPr>
    </w:p>
    <w:tbl>
      <w:tblPr>
        <w:tblW w:type="auto" w:w="0"/>
        <w:jc w:val="center"/>
        <w:tblLook w:firstColumn="1" w:firstRow="1" w:lastColumn="0" w:lastRow="0" w:noHBand="0" w:noVBand="1" w:val="04A0"/>
      </w:tblPr>
      <w:tblGrid>
        <w:gridCol w:w="9878"/>
      </w:tblGrid>
      <w:tr>
        <w:tc>
          <w:tcPr>
            <w:tcW w:type="dxa" w:w="9878"/>
            <w:shd w:fill="EAF3EC"/>
            <w:tcMar>
              <w:top w:w="130" w:type="dxa"/>
              <w:start w:w="150" w:type="dxa"/>
              <w:bottom w:w="130" w:type="dxa"/>
              <w:end w:w="150" w:type="dxa"/>
            </w:tcMar>
          </w:tcPr>
          <w:p>
            <w:pPr>
              <w:spacing w:line="259" w:lineRule="auto" w:after="0"/>
            </w:pPr>
            <w:r>
              <w:rPr>
                <w:rFonts w:ascii="Calibri" w:hAnsi="Calibri" w:eastAsia="Calibri"/>
                <w:b/>
                <w:i w:val="0"/>
                <w:color w:val="2F6B45"/>
                <w:sz w:val="20"/>
              </w:rPr>
              <w:t xml:space="preserve">FINAL CONCLUSION: </w:t>
            </w:r>
            <w:r>
              <w:rPr>
                <w:rFonts w:ascii="Calibri" w:hAnsi="Calibri" w:eastAsia="Calibri"/>
                <w:b w:val="0"/>
                <w:i w:val="0"/>
                <w:color w:val="24282C"/>
                <w:sz w:val="20"/>
              </w:rPr>
              <w:t>The process is technically coherent and can become commercially credible, but only as an integrated waste-service and certified-carbon project. It should not be presented as a commodity-olefin plant that happens to use waste.</w:t>
            </w:r>
          </w:p>
        </w:tc>
      </w:tr>
    </w:tbl>
    <w:p>
      <w:pPr>
        <w:spacing w:after="20"/>
      </w:pPr>
    </w:p>
    <w:p>
      <w:pPr>
        <w:pStyle w:val="Heading1"/>
        <w:keepNext/>
        <w:pageBreakBefore/>
        <w:spacing w:after="200"/>
      </w:pPr>
      <w:r>
        <w:rPr>
          <w:rFonts w:ascii="Calibri" w:hAnsi="Calibri" w:eastAsia="Calibri"/>
          <w:b/>
          <w:i w:val="0"/>
          <w:color w:val="17365D"/>
          <w:sz w:val="34"/>
        </w:rPr>
        <w:t>References</w:t>
      </w:r>
    </w:p>
    <w:p>
      <w:pPr>
        <w:spacing w:line="252" w:lineRule="auto" w:after="80"/>
        <w:ind w:left="360" w:hanging="360"/>
      </w:pPr>
      <w:r>
        <w:rPr>
          <w:rFonts w:ascii="Calibri" w:hAnsi="Calibri" w:eastAsia="Calibri"/>
          <w:b/>
          <w:i w:val="0"/>
          <w:color w:val="2F5597"/>
          <w:sz w:val="17"/>
        </w:rPr>
        <w:t xml:space="preserve">1. </w:t>
      </w:r>
      <w:r>
        <w:rPr>
          <w:rFonts w:ascii="Calibri" w:hAnsi="Calibri" w:eastAsia="Calibri"/>
          <w:b w:val="0"/>
          <w:i w:val="0"/>
          <w:color w:val="24282C"/>
          <w:sz w:val="17"/>
        </w:rPr>
        <w:t>International Aluminium Institute. Updated Sustainable Bauxite Residue Management Guidance. https://international-aluminium.org/iai-releases-updated-sustainable-bauxite-residue-management-guidance/</w:t>
      </w:r>
    </w:p>
    <w:p>
      <w:pPr>
        <w:spacing w:line="252" w:lineRule="auto" w:after="80"/>
        <w:ind w:left="360" w:hanging="360"/>
      </w:pPr>
      <w:r>
        <w:rPr>
          <w:rFonts w:ascii="Calibri" w:hAnsi="Calibri" w:eastAsia="Calibri"/>
          <w:b/>
          <w:i w:val="0"/>
          <w:color w:val="2F5597"/>
          <w:sz w:val="17"/>
        </w:rPr>
        <w:t xml:space="preserve">2. </w:t>
      </w:r>
      <w:r>
        <w:rPr>
          <w:rFonts w:ascii="Calibri" w:hAnsi="Calibri" w:eastAsia="Calibri"/>
          <w:b w:val="0"/>
          <w:i w:val="0"/>
          <w:color w:val="24282C"/>
          <w:sz w:val="17"/>
        </w:rPr>
        <w:t>International Aluminium Institute. Bauxite Residue Use. https://international-aluminium.org/work-areas/bauxite-residue-use/</w:t>
      </w:r>
    </w:p>
    <w:p>
      <w:pPr>
        <w:spacing w:line="252" w:lineRule="auto" w:after="80"/>
        <w:ind w:left="360" w:hanging="360"/>
      </w:pPr>
      <w:r>
        <w:rPr>
          <w:rFonts w:ascii="Calibri" w:hAnsi="Calibri" w:eastAsia="Calibri"/>
          <w:b/>
          <w:i w:val="0"/>
          <w:color w:val="2F5597"/>
          <w:sz w:val="17"/>
        </w:rPr>
        <w:t xml:space="preserve">3. </w:t>
      </w:r>
      <w:r>
        <w:rPr>
          <w:rFonts w:ascii="Calibri" w:hAnsi="Calibri" w:eastAsia="Calibri"/>
          <w:b w:val="0"/>
          <w:i w:val="0"/>
          <w:color w:val="24282C"/>
          <w:sz w:val="17"/>
        </w:rPr>
        <w:t>Current review of bauxite residue generation, storage, alkalinity and valorisation. Science of the Total Environment, 2024. https://www.sciencedirect.com/science/article/abs/pii/S0048969724049064</w:t>
      </w:r>
    </w:p>
    <w:p>
      <w:pPr>
        <w:spacing w:line="252" w:lineRule="auto" w:after="80"/>
        <w:ind w:left="360" w:hanging="360"/>
      </w:pPr>
      <w:r>
        <w:rPr>
          <w:rFonts w:ascii="Calibri" w:hAnsi="Calibri" w:eastAsia="Calibri"/>
          <w:b/>
          <w:i w:val="0"/>
          <w:color w:val="2F5597"/>
          <w:sz w:val="17"/>
        </w:rPr>
        <w:t xml:space="preserve">4. </w:t>
      </w:r>
      <w:r>
        <w:rPr>
          <w:rFonts w:ascii="Calibri" w:hAnsi="Calibri" w:eastAsia="Calibri"/>
          <w:b w:val="0"/>
          <w:i w:val="0"/>
          <w:color w:val="24282C"/>
          <w:sz w:val="17"/>
        </w:rPr>
        <w:t>Hydrothermal/supercritical-water dealkalization of bauxite residue and structural sodium phases. Journal of Environmental Management, 2023. https://www.sciencedirect.com/science/article/pii/S0301479723012574</w:t>
      </w:r>
    </w:p>
    <w:p>
      <w:pPr>
        <w:spacing w:line="252" w:lineRule="auto" w:after="80"/>
        <w:ind w:left="360" w:hanging="360"/>
      </w:pPr>
      <w:r>
        <w:rPr>
          <w:rFonts w:ascii="Calibri" w:hAnsi="Calibri" w:eastAsia="Calibri"/>
          <w:b/>
          <w:i w:val="0"/>
          <w:color w:val="2F5597"/>
          <w:sz w:val="17"/>
        </w:rPr>
        <w:t xml:space="preserve">5. </w:t>
      </w:r>
      <w:r>
        <w:rPr>
          <w:rFonts w:ascii="Calibri" w:hAnsi="Calibri" w:eastAsia="Calibri"/>
          <w:b w:val="0"/>
          <w:i w:val="0"/>
          <w:color w:val="24282C"/>
          <w:sz w:val="17"/>
        </w:rPr>
        <w:t>Bauxite-residue washing and removal of soluble components. Journal of Environmental Sciences, 2020. https://www.sciencedirect.com/science/article/pii/S1001074220300346</w:t>
      </w:r>
    </w:p>
    <w:p>
      <w:pPr>
        <w:spacing w:line="252" w:lineRule="auto" w:after="80"/>
        <w:ind w:left="360" w:hanging="360"/>
      </w:pPr>
      <w:r>
        <w:rPr>
          <w:rFonts w:ascii="Calibri" w:hAnsi="Calibri" w:eastAsia="Calibri"/>
          <w:b/>
          <w:i w:val="0"/>
          <w:color w:val="2F5597"/>
          <w:sz w:val="17"/>
        </w:rPr>
        <w:t xml:space="preserve">6. </w:t>
      </w:r>
      <w:r>
        <w:rPr>
          <w:rFonts w:ascii="Calibri" w:hAnsi="Calibri" w:eastAsia="Calibri"/>
          <w:b w:val="0"/>
          <w:i w:val="0"/>
          <w:color w:val="24282C"/>
          <w:sz w:val="17"/>
        </w:rPr>
        <w:t>Marrone, P. A.; Hodes, M. Salt precipitation and deposition in supercritical water oxidation/gasification systems. General mixed-salt phase-behaviour basis.</w:t>
      </w:r>
    </w:p>
    <w:p>
      <w:pPr>
        <w:spacing w:line="252" w:lineRule="auto" w:after="80"/>
        <w:ind w:left="360" w:hanging="360"/>
      </w:pPr>
      <w:r>
        <w:rPr>
          <w:rFonts w:ascii="Calibri" w:hAnsi="Calibri" w:eastAsia="Calibri"/>
          <w:b/>
          <w:i w:val="0"/>
          <w:color w:val="2F5597"/>
          <w:sz w:val="17"/>
        </w:rPr>
        <w:t xml:space="preserve">7. </w:t>
      </w:r>
      <w:r>
        <w:rPr>
          <w:rFonts w:ascii="Calibri" w:hAnsi="Calibri" w:eastAsia="Calibri"/>
          <w:b w:val="0"/>
          <w:i w:val="0"/>
          <w:color w:val="24282C"/>
          <w:sz w:val="17"/>
        </w:rPr>
        <w:t>Schubert, M. et al. Continuous salt separation concepts for supercritical-water systems. Industrial hydrothermal separation literature.</w:t>
      </w:r>
    </w:p>
    <w:p>
      <w:pPr>
        <w:spacing w:line="252" w:lineRule="auto" w:after="80"/>
        <w:ind w:left="360" w:hanging="360"/>
      </w:pPr>
      <w:r>
        <w:rPr>
          <w:rFonts w:ascii="Calibri" w:hAnsi="Calibri" w:eastAsia="Calibri"/>
          <w:b/>
          <w:i w:val="0"/>
          <w:color w:val="2F5597"/>
          <w:sz w:val="17"/>
        </w:rPr>
        <w:t xml:space="preserve">8. </w:t>
      </w:r>
      <w:r>
        <w:rPr>
          <w:rFonts w:ascii="Calibri" w:hAnsi="Calibri" w:eastAsia="Calibri"/>
          <w:b w:val="0"/>
          <w:i w:val="0"/>
          <w:color w:val="24282C"/>
          <w:sz w:val="17"/>
        </w:rPr>
        <w:t>ISCC. ISCC PLUS certification scheme and alternative feedstock categories. https://iscc-system.org/certification/certification-schemes/iscc-plus/</w:t>
      </w:r>
    </w:p>
    <w:p>
      <w:pPr>
        <w:spacing w:line="252" w:lineRule="auto" w:after="80"/>
        <w:ind w:left="360" w:hanging="360"/>
      </w:pPr>
      <w:r>
        <w:rPr>
          <w:rFonts w:ascii="Calibri" w:hAnsi="Calibri" w:eastAsia="Calibri"/>
          <w:b/>
          <w:i w:val="0"/>
          <w:color w:val="2F5597"/>
          <w:sz w:val="17"/>
        </w:rPr>
        <w:t xml:space="preserve">9. </w:t>
      </w:r>
      <w:r>
        <w:rPr>
          <w:rFonts w:ascii="Calibri" w:hAnsi="Calibri" w:eastAsia="Calibri"/>
          <w:b w:val="0"/>
          <w:i w:val="0"/>
          <w:color w:val="24282C"/>
          <w:sz w:val="17"/>
        </w:rPr>
        <w:t>ISO. ISO 14067:2018 Greenhouse gases — Carbon footprint of products. Confirmed 2024. https://www.iso.org/standard/71206.html</w:t>
      </w:r>
    </w:p>
    <w:p>
      <w:pPr>
        <w:spacing w:line="252" w:lineRule="auto" w:after="80"/>
        <w:ind w:left="360" w:hanging="360"/>
      </w:pPr>
      <w:r>
        <w:rPr>
          <w:rFonts w:ascii="Calibri" w:hAnsi="Calibri" w:eastAsia="Calibri"/>
          <w:b/>
          <w:i w:val="0"/>
          <w:color w:val="2F5597"/>
          <w:sz w:val="17"/>
        </w:rPr>
        <w:t xml:space="preserve">10. </w:t>
      </w:r>
      <w:r>
        <w:rPr>
          <w:rFonts w:ascii="Calibri" w:hAnsi="Calibri" w:eastAsia="Calibri"/>
          <w:b w:val="0"/>
          <w:i w:val="0"/>
          <w:color w:val="24282C"/>
          <w:sz w:val="17"/>
        </w:rPr>
        <w:t>National Bureau of Statistics of China. Market prices of important means of production, mid-July 2026. https://www.stats.gov.cn/sj/zxfbhjd/202607/t20260723_1964185.html</w:t>
      </w:r>
    </w:p>
    <w:p>
      <w:pPr>
        <w:spacing w:line="252" w:lineRule="auto" w:after="80"/>
        <w:ind w:left="360" w:hanging="360"/>
      </w:pPr>
      <w:r>
        <w:rPr>
          <w:rFonts w:ascii="Calibri" w:hAnsi="Calibri" w:eastAsia="Calibri"/>
          <w:b/>
          <w:i w:val="0"/>
          <w:color w:val="2F5597"/>
          <w:sz w:val="17"/>
        </w:rPr>
        <w:t xml:space="preserve">11. </w:t>
      </w:r>
      <w:r>
        <w:rPr>
          <w:rFonts w:ascii="Calibri" w:hAnsi="Calibri" w:eastAsia="Calibri"/>
          <w:b w:val="0"/>
          <w:i w:val="0"/>
          <w:color w:val="24282C"/>
          <w:sz w:val="17"/>
        </w:rPr>
        <w:t>European Commission. CBAM sectors. https://taxation-customs.ec.europa.eu/carbon-border-adjustment-mechanism/cbam-sectors_en</w:t>
      </w:r>
    </w:p>
    <w:p>
      <w:pPr>
        <w:spacing w:line="252" w:lineRule="auto" w:after="80"/>
        <w:ind w:left="360" w:hanging="360"/>
      </w:pPr>
      <w:r>
        <w:rPr>
          <w:rFonts w:ascii="Calibri" w:hAnsi="Calibri" w:eastAsia="Calibri"/>
          <w:b/>
          <w:i w:val="0"/>
          <w:color w:val="2F5597"/>
          <w:sz w:val="17"/>
        </w:rPr>
        <w:t xml:space="preserve">12. </w:t>
      </w:r>
      <w:r>
        <w:rPr>
          <w:rFonts w:ascii="Calibri" w:hAnsi="Calibri" w:eastAsia="Calibri"/>
          <w:b w:val="0"/>
          <w:i w:val="0"/>
          <w:color w:val="24282C"/>
          <w:sz w:val="17"/>
        </w:rPr>
        <w:t>BASF. The Biomass Balance Approach and ISCC PLUS-certified products. https://www.basf.com/global/en/who-we-are/sustainability/our-contributions-to-enabling-the-green-transformation/circular-economy/circular-feedstocks/mass-balance/the-biomass-balance-approach</w:t>
      </w:r>
    </w:p>
    <w:p>
      <w:pPr>
        <w:spacing w:line="252" w:lineRule="auto" w:after="80"/>
        <w:ind w:left="360" w:hanging="360"/>
      </w:pPr>
      <w:r>
        <w:rPr>
          <w:rFonts w:ascii="Calibri" w:hAnsi="Calibri" w:eastAsia="Calibri"/>
          <w:b/>
          <w:i w:val="0"/>
          <w:color w:val="2F5597"/>
          <w:sz w:val="17"/>
        </w:rPr>
        <w:t xml:space="preserve">13. </w:t>
      </w:r>
      <w:r>
        <w:rPr>
          <w:rFonts w:ascii="Calibri" w:hAnsi="Calibri" w:eastAsia="Calibri"/>
          <w:b w:val="0"/>
          <w:i w:val="0"/>
          <w:color w:val="24282C"/>
          <w:sz w:val="17"/>
        </w:rPr>
        <w:t>Pan, X.; Jiao, F.; Miao, D.; Bao, X. Oxide–zeolite-based composite catalyst concept that enables syngas chemistry beyond Fischer–Tropsch synthesis. Chemical Reviews, 2021. https://pubmed.ncbi.nlm.nih.gov/34032417/</w:t>
      </w:r>
    </w:p>
    <w:p>
      <w:pPr>
        <w:spacing w:line="252" w:lineRule="auto" w:after="80"/>
        <w:ind w:left="360" w:hanging="360"/>
      </w:pPr>
      <w:r>
        <w:rPr>
          <w:rFonts w:ascii="Calibri" w:hAnsi="Calibri" w:eastAsia="Calibri"/>
          <w:b/>
          <w:i w:val="0"/>
          <w:color w:val="2F5597"/>
          <w:sz w:val="17"/>
        </w:rPr>
        <w:t xml:space="preserve">14. </w:t>
      </w:r>
      <w:r>
        <w:rPr>
          <w:rFonts w:ascii="Calibri" w:hAnsi="Calibri" w:eastAsia="Calibri"/>
          <w:b w:val="0"/>
          <w:i w:val="0"/>
          <w:color w:val="24282C"/>
          <w:sz w:val="17"/>
        </w:rPr>
        <w:t>Dalian Institute of Chemical Physics. Jiao Feng research profile; OXZEO concept and kilotonne-scale pilot participation. https://english.dicp.cas.cn/sourcedb/ra/cc/202310/t20231031_462539.html</w:t>
      </w:r>
    </w:p>
    <w:p>
      <w:pPr>
        <w:spacing w:line="252" w:lineRule="auto" w:after="80"/>
        <w:ind w:left="360" w:hanging="360"/>
      </w:pPr>
      <w:r>
        <w:rPr>
          <w:rFonts w:ascii="Calibri" w:hAnsi="Calibri" w:eastAsia="Calibri"/>
          <w:b/>
          <w:i w:val="0"/>
          <w:color w:val="2F5597"/>
          <w:sz w:val="17"/>
        </w:rPr>
        <w:t xml:space="preserve">15. </w:t>
      </w:r>
      <w:r>
        <w:rPr>
          <w:rFonts w:ascii="Calibri" w:hAnsi="Calibri" w:eastAsia="Calibri"/>
          <w:b w:val="0"/>
          <w:i w:val="0"/>
          <w:color w:val="24282C"/>
          <w:sz w:val="17"/>
        </w:rPr>
        <w:t>Feng, J. et al. Stability of ZnMOx–SAPO-11 OXZEO composite catalysts. Catalysis Science &amp; Technology, 2024, 14, 1209–1215. https://pubs.rsc.org/en/content/articlehtml/2024/cy/d3cy01166f</w:t>
      </w:r>
    </w:p>
    <w:p>
      <w:pPr>
        <w:spacing w:line="252" w:lineRule="auto" w:after="80"/>
        <w:ind w:left="360" w:hanging="360"/>
      </w:pPr>
      <w:r>
        <w:rPr>
          <w:rFonts w:ascii="Calibri" w:hAnsi="Calibri" w:eastAsia="Calibri"/>
          <w:b/>
          <w:i w:val="0"/>
          <w:color w:val="2F5597"/>
          <w:sz w:val="17"/>
        </w:rPr>
        <w:t xml:space="preserve">16. </w:t>
      </w:r>
      <w:r>
        <w:rPr>
          <w:rFonts w:ascii="Calibri" w:hAnsi="Calibri" w:eastAsia="Calibri"/>
          <w:b w:val="0"/>
          <w:i w:val="0"/>
          <w:color w:val="24282C"/>
          <w:sz w:val="17"/>
        </w:rPr>
        <w:t>Olah, G. A. et al. Bi-reforming of methane with steam and carbon dioxide to metgas. Journal of the American Chemical Society, 2013. https://pubmed.ncbi.nlm.nih.gov/23256664/</w:t>
      </w:r>
    </w:p>
    <w:p>
      <w:pPr>
        <w:spacing w:line="252" w:lineRule="auto" w:after="80"/>
        <w:ind w:left="360" w:hanging="360"/>
      </w:pPr>
      <w:r>
        <w:rPr>
          <w:rFonts w:ascii="Calibri" w:hAnsi="Calibri" w:eastAsia="Calibri"/>
          <w:b/>
          <w:i w:val="0"/>
          <w:color w:val="2F5597"/>
          <w:sz w:val="17"/>
        </w:rPr>
        <w:t xml:space="preserve">17. </w:t>
      </w:r>
      <w:r>
        <w:rPr>
          <w:rFonts w:ascii="Calibri" w:hAnsi="Calibri" w:eastAsia="Calibri"/>
          <w:b w:val="0"/>
          <w:i w:val="0"/>
          <w:color w:val="24282C"/>
          <w:sz w:val="17"/>
        </w:rPr>
        <w:t>Kumar, N.; Shojaee, M.; Spivey, J. J. Catalytic bi-reforming of methane. https://www.osti.gov/servlets/purl/1369696</w:t>
      </w:r>
    </w:p>
    <w:p>
      <w:pPr>
        <w:spacing w:line="252" w:lineRule="auto" w:after="80"/>
        <w:ind w:left="360" w:hanging="360"/>
      </w:pPr>
      <w:r>
        <w:rPr>
          <w:rFonts w:ascii="Calibri" w:hAnsi="Calibri" w:eastAsia="Calibri"/>
          <w:b/>
          <w:i w:val="0"/>
          <w:color w:val="2F5597"/>
          <w:sz w:val="17"/>
        </w:rPr>
        <w:t xml:space="preserve">18. </w:t>
      </w:r>
      <w:r>
        <w:rPr>
          <w:rFonts w:ascii="Calibri" w:hAnsi="Calibri" w:eastAsia="Calibri"/>
          <w:b w:val="0"/>
          <w:i w:val="0"/>
          <w:color w:val="24282C"/>
          <w:sz w:val="17"/>
        </w:rPr>
        <w:t>Ammonia removal and recovery from hydrothermal aqueous streams with acid absorption to ammonium sulfate. Chemical Engineering Journal, 2024. https://www.sciencedirect.com/science/article/pii/S1385894724052045</w:t>
      </w:r>
    </w:p>
    <w:p>
      <w:pPr>
        <w:spacing w:line="252" w:lineRule="auto" w:after="80"/>
        <w:ind w:left="360" w:hanging="360"/>
      </w:pPr>
      <w:r>
        <w:rPr>
          <w:rFonts w:ascii="Calibri" w:hAnsi="Calibri" w:eastAsia="Calibri"/>
          <w:b/>
          <w:i w:val="0"/>
          <w:color w:val="2F5597"/>
          <w:sz w:val="17"/>
        </w:rPr>
        <w:t xml:space="preserve">19. </w:t>
      </w:r>
      <w:r>
        <w:rPr>
          <w:rFonts w:ascii="Calibri" w:hAnsi="Calibri" w:eastAsia="Calibri"/>
          <w:b w:val="0"/>
          <w:i w:val="0"/>
          <w:color w:val="24282C"/>
          <w:sz w:val="17"/>
        </w:rPr>
        <w:t>Gas-permeable membrane recovery of ammonia nitrogen from hydrothermal-liquefaction aqueous phase. Journal of Environmental Management, 2023. https://pubmed.ncbi.nlm.nih.gov/37769474/</w:t>
      </w:r>
    </w:p>
    <w:p>
      <w:pPr>
        <w:spacing w:line="252" w:lineRule="auto" w:after="80"/>
        <w:ind w:left="360" w:hanging="360"/>
      </w:pPr>
      <w:r>
        <w:rPr>
          <w:rFonts w:ascii="Calibri" w:hAnsi="Calibri" w:eastAsia="Calibri"/>
          <w:b/>
          <w:i w:val="0"/>
          <w:color w:val="2F5597"/>
          <w:sz w:val="17"/>
        </w:rPr>
        <w:t xml:space="preserve">20. </w:t>
      </w:r>
      <w:r>
        <w:rPr>
          <w:rFonts w:ascii="Calibri" w:hAnsi="Calibri" w:eastAsia="Calibri"/>
          <w:b w:val="0"/>
          <w:i w:val="0"/>
          <w:color w:val="24282C"/>
          <w:sz w:val="17"/>
        </w:rPr>
        <w:t>Hydrothermal conversion of protein and nitrogen distribution; ammonia from deamination. ACS Sustainable Chemistry &amp; Engineering. https://pubs.acs.org/doi/10.1021/acssuschemeng.7b02854</w:t>
      </w:r>
    </w:p>
    <w:p>
      <w:pPr>
        <w:spacing w:line="252" w:lineRule="auto" w:after="80"/>
        <w:ind w:left="360" w:hanging="360"/>
      </w:pPr>
      <w:r>
        <w:rPr>
          <w:rFonts w:ascii="Calibri" w:hAnsi="Calibri" w:eastAsia="Calibri"/>
          <w:b/>
          <w:i w:val="0"/>
          <w:color w:val="2F5597"/>
          <w:sz w:val="17"/>
        </w:rPr>
        <w:t xml:space="preserve">21. </w:t>
      </w:r>
      <w:r>
        <w:rPr>
          <w:rFonts w:ascii="Calibri" w:hAnsi="Calibri" w:eastAsia="Calibri"/>
          <w:b w:val="0"/>
          <w:i w:val="0"/>
          <w:color w:val="24282C"/>
          <w:sz w:val="17"/>
        </w:rPr>
        <w:t>Guangxi Department of Agriculture and Rural Affairs. Regional agricultural and processing-sector planning materials. https://nynct.gxzf.gov.cn/</w:t>
      </w:r>
    </w:p>
    <w:p>
      <w:pPr>
        <w:spacing w:line="252" w:lineRule="auto" w:after="80"/>
        <w:ind w:left="360" w:hanging="360"/>
      </w:pPr>
      <w:r>
        <w:rPr>
          <w:rFonts w:ascii="Calibri" w:hAnsi="Calibri" w:eastAsia="Calibri"/>
          <w:b/>
          <w:i w:val="0"/>
          <w:color w:val="2F5597"/>
          <w:sz w:val="17"/>
        </w:rPr>
        <w:t xml:space="preserve">22. </w:t>
      </w:r>
      <w:r>
        <w:rPr>
          <w:rFonts w:ascii="Calibri" w:hAnsi="Calibri" w:eastAsia="Calibri"/>
          <w:b w:val="0"/>
          <w:i w:val="0"/>
          <w:color w:val="24282C"/>
          <w:sz w:val="17"/>
        </w:rPr>
        <w:t>Guangdong Provincial Bureau of Statistics. Provincial statistical data and industrial/agricultural activity. https://stats.gd.gov.cn/attachment/0/588/588488/4757585.pdf</w:t>
      </w:r>
    </w:p>
    <w:p>
      <w:pPr>
        <w:spacing w:line="252" w:lineRule="auto" w:after="80"/>
        <w:ind w:left="360" w:hanging="360"/>
      </w:pPr>
      <w:r>
        <w:rPr>
          <w:rFonts w:ascii="Calibri" w:hAnsi="Calibri" w:eastAsia="Calibri"/>
          <w:b/>
          <w:i w:val="0"/>
          <w:color w:val="2F5597"/>
          <w:sz w:val="17"/>
        </w:rPr>
        <w:t xml:space="preserve">23. </w:t>
      </w:r>
      <w:r>
        <w:rPr>
          <w:rFonts w:ascii="Calibri" w:hAnsi="Calibri" w:eastAsia="Calibri"/>
          <w:b w:val="0"/>
          <w:i w:val="0"/>
          <w:color w:val="24282C"/>
          <w:sz w:val="17"/>
        </w:rPr>
        <w:t>Guangxi Department of Agriculture and Rural Affairs. Lingshan cassava area and processing report, 2025. https://nynct.gxzf.gov.cn/xwdt/gxlb/qz/t27187328.shtml</w:t>
      </w:r>
    </w:p>
    <w:p>
      <w:pPr>
        <w:spacing w:line="252" w:lineRule="auto" w:after="80"/>
        <w:ind w:left="360" w:hanging="360"/>
      </w:pPr>
      <w:r>
        <w:rPr>
          <w:rFonts w:ascii="Calibri" w:hAnsi="Calibri" w:eastAsia="Calibri"/>
          <w:b/>
          <w:i w:val="0"/>
          <w:color w:val="2F5597"/>
          <w:sz w:val="17"/>
        </w:rPr>
        <w:t xml:space="preserve">24. </w:t>
      </w:r>
      <w:r>
        <w:rPr>
          <w:rFonts w:ascii="Calibri" w:hAnsi="Calibri" w:eastAsia="Calibri"/>
          <w:b w:val="0"/>
          <w:i w:val="0"/>
          <w:color w:val="24282C"/>
          <w:sz w:val="17"/>
        </w:rPr>
        <w:t>Guangxi sugar-industry planning document. https://nynct.gxzf.gov.cn/xxgk/jcxxgk/wjzl/gntf/P020221206603177735473.pdf</w:t>
      </w:r>
    </w:p>
    <w:p>
      <w:pPr>
        <w:spacing w:line="252" w:lineRule="auto" w:after="80"/>
        <w:ind w:left="360" w:hanging="360"/>
      </w:pPr>
      <w:r>
        <w:rPr>
          <w:rFonts w:ascii="Calibri" w:hAnsi="Calibri" w:eastAsia="Calibri"/>
          <w:b/>
          <w:i w:val="0"/>
          <w:color w:val="2F5597"/>
          <w:sz w:val="17"/>
        </w:rPr>
        <w:t xml:space="preserve">25. </w:t>
      </w:r>
      <w:r>
        <w:rPr>
          <w:rFonts w:ascii="Calibri" w:hAnsi="Calibri" w:eastAsia="Calibri"/>
          <w:b w:val="0"/>
          <w:i w:val="0"/>
          <w:color w:val="24282C"/>
          <w:sz w:val="17"/>
        </w:rPr>
        <w:t>ISCC. Mass-balance requirements and transition information. https://contact.iscc-system.org/support/solutions/articles/103000349237-where-do-i-find-information-on-the-requirements-related-to-mass-balance-</w:t>
      </w:r>
    </w:p>
    <w:p>
      <w:pPr>
        <w:spacing w:line="252" w:lineRule="auto" w:after="80"/>
        <w:ind w:left="360" w:hanging="360"/>
      </w:pPr>
      <w:r>
        <w:rPr>
          <w:rFonts w:ascii="Calibri" w:hAnsi="Calibri" w:eastAsia="Calibri"/>
          <w:b/>
          <w:i w:val="0"/>
          <w:color w:val="2F5597"/>
          <w:sz w:val="17"/>
        </w:rPr>
        <w:t xml:space="preserve">26. </w:t>
      </w:r>
      <w:r>
        <w:rPr>
          <w:rFonts w:ascii="Calibri" w:hAnsi="Calibri" w:eastAsia="Calibri"/>
          <w:b w:val="0"/>
          <w:i w:val="0"/>
          <w:color w:val="24282C"/>
          <w:sz w:val="17"/>
        </w:rPr>
        <w:t>European Commission. CBAM definitive regime from 2026. https://taxation-customs.ec.europa.eu/carbon-border-adjustment-mechanism/cbam-definitive-regime_en</w:t>
      </w:r>
    </w:p>
    <w:p>
      <w:pPr>
        <w:spacing w:line="252" w:lineRule="auto" w:after="80"/>
        <w:ind w:left="360" w:hanging="360"/>
      </w:pPr>
      <w:r>
        <w:rPr>
          <w:rFonts w:ascii="Calibri" w:hAnsi="Calibri" w:eastAsia="Calibri"/>
          <w:b/>
          <w:i w:val="0"/>
          <w:color w:val="2F5597"/>
          <w:sz w:val="17"/>
        </w:rPr>
        <w:t xml:space="preserve">27. </w:t>
      </w:r>
      <w:r>
        <w:rPr>
          <w:rFonts w:ascii="Calibri" w:hAnsi="Calibri" w:eastAsia="Calibri"/>
          <w:b w:val="0"/>
          <w:i w:val="0"/>
          <w:color w:val="24282C"/>
          <w:sz w:val="17"/>
        </w:rPr>
        <w:t>ISCC. Mass Balance Guidance, 2026. https://iscc-system.org/wp-content/uploads/2026/02/Mass-Balance-Guidance-document.pdf</w:t>
      </w:r>
    </w:p>
    <w:p>
      <w:pPr>
        <w:spacing w:line="252" w:lineRule="auto" w:after="80"/>
        <w:ind w:left="360" w:hanging="360"/>
      </w:pPr>
      <w:r>
        <w:rPr>
          <w:rFonts w:ascii="Calibri" w:hAnsi="Calibri" w:eastAsia="Calibri"/>
          <w:b/>
          <w:i w:val="0"/>
          <w:color w:val="2F5597"/>
          <w:sz w:val="17"/>
        </w:rPr>
        <w:t xml:space="preserve">28. </w:t>
      </w:r>
      <w:r>
        <w:rPr>
          <w:rFonts w:ascii="Calibri" w:hAnsi="Calibri" w:eastAsia="Calibri"/>
          <w:b w:val="0"/>
          <w:i w:val="0"/>
          <w:color w:val="24282C"/>
          <w:sz w:val="17"/>
        </w:rPr>
        <w:t>Ministry of Ecology and Environment of China. National carbon market and CCER information. https://www.mee.gov.cn/</w:t>
      </w:r>
    </w:p>
    <w:p>
      <w:pPr>
        <w:spacing w:line="252" w:lineRule="auto" w:after="80"/>
        <w:ind w:left="360" w:hanging="360"/>
      </w:pPr>
      <w:r>
        <w:rPr>
          <w:rFonts w:ascii="Calibri" w:hAnsi="Calibri" w:eastAsia="Calibri"/>
          <w:b/>
          <w:i w:val="0"/>
          <w:color w:val="2F5597"/>
          <w:sz w:val="17"/>
        </w:rPr>
        <w:t xml:space="preserve">29. </w:t>
      </w:r>
      <w:r>
        <w:rPr>
          <w:rFonts w:ascii="Calibri" w:hAnsi="Calibri" w:eastAsia="Calibri"/>
          <w:b w:val="0"/>
          <w:i w:val="0"/>
          <w:color w:val="24282C"/>
          <w:sz w:val="17"/>
        </w:rPr>
        <w:t>ISO. ISO 14040 and ISO 14044 life-cycle assessment principles and requirements. https://www.iso.org/</w:t>
      </w:r>
    </w:p>
    <w:p>
      <w:pPr>
        <w:spacing w:line="252" w:lineRule="auto" w:after="80"/>
        <w:ind w:left="360" w:hanging="360"/>
      </w:pPr>
      <w:r>
        <w:rPr>
          <w:rFonts w:ascii="Calibri" w:hAnsi="Calibri" w:eastAsia="Calibri"/>
          <w:b/>
          <w:i w:val="0"/>
          <w:color w:val="2F5597"/>
          <w:sz w:val="17"/>
        </w:rPr>
        <w:t xml:space="preserve">30. </w:t>
      </w:r>
      <w:r>
        <w:rPr>
          <w:rFonts w:ascii="Calibri" w:hAnsi="Calibri" w:eastAsia="Calibri"/>
          <w:b w:val="0"/>
          <w:i w:val="0"/>
          <w:color w:val="24282C"/>
          <w:sz w:val="17"/>
        </w:rPr>
        <w:t>National Bureau of Statistics of China. Explanatory notes for monitored production-material market prices, 2026.</w:t>
      </w:r>
    </w:p>
    <w:p>
      <w:pPr>
        <w:spacing w:line="252" w:lineRule="auto" w:after="80"/>
        <w:ind w:left="360" w:hanging="360"/>
      </w:pPr>
      <w:r>
        <w:rPr>
          <w:rFonts w:ascii="Calibri" w:hAnsi="Calibri" w:eastAsia="Calibri"/>
          <w:b/>
          <w:i w:val="0"/>
          <w:color w:val="2F5597"/>
          <w:sz w:val="17"/>
        </w:rPr>
        <w:t xml:space="preserve">31. </w:t>
      </w:r>
      <w:r>
        <w:rPr>
          <w:rFonts w:ascii="Calibri" w:hAnsi="Calibri" w:eastAsia="Calibri"/>
          <w:b w:val="0"/>
          <w:i w:val="0"/>
          <w:color w:val="24282C"/>
          <w:sz w:val="17"/>
        </w:rPr>
        <w:t>Supercritical-water gasification of soybean straw: feed characterisation, gas yields and inorganic effects. Published SCWG literature used for the dry-fibre screen.</w:t>
      </w:r>
    </w:p>
    <w:p>
      <w:pPr>
        <w:spacing w:line="252" w:lineRule="auto" w:after="80"/>
        <w:ind w:left="360" w:hanging="360"/>
      </w:pPr>
      <w:r>
        <w:rPr>
          <w:rFonts w:ascii="Calibri" w:hAnsi="Calibri" w:eastAsia="Calibri"/>
          <w:b/>
          <w:i w:val="0"/>
          <w:color w:val="2F5597"/>
          <w:sz w:val="17"/>
        </w:rPr>
        <w:t xml:space="preserve">32. </w:t>
      </w:r>
      <w:r>
        <w:rPr>
          <w:rFonts w:ascii="Calibri" w:hAnsi="Calibri" w:eastAsia="Calibri"/>
          <w:b w:val="0"/>
          <w:i w:val="0"/>
          <w:color w:val="24282C"/>
          <w:sz w:val="17"/>
        </w:rPr>
        <w:t>General reviews of supercritical-water gasification of wet biomass, reaction pathways, catalysts and process limitations.</w:t>
      </w:r>
    </w:p>
    <w:p>
      <w:pPr>
        <w:spacing w:line="252" w:lineRule="auto" w:after="80"/>
        <w:ind w:left="360" w:hanging="360"/>
      </w:pPr>
      <w:r>
        <w:rPr>
          <w:rFonts w:ascii="Calibri" w:hAnsi="Calibri" w:eastAsia="Calibri"/>
          <w:b/>
          <w:i w:val="0"/>
          <w:color w:val="2F5597"/>
          <w:sz w:val="17"/>
        </w:rPr>
        <w:t xml:space="preserve">33. </w:t>
      </w:r>
      <w:r>
        <w:rPr>
          <w:rFonts w:ascii="Calibri" w:hAnsi="Calibri" w:eastAsia="Calibri"/>
          <w:b w:val="0"/>
          <w:i w:val="0"/>
          <w:color w:val="24282C"/>
          <w:sz w:val="17"/>
        </w:rPr>
        <w:t>Published bauxite-residue composition reviews covering Fe, Al, Ti, Si, sodium and trace-element variability.</w:t>
      </w:r>
    </w:p>
    <w:p>
      <w:pPr>
        <w:spacing w:line="252" w:lineRule="auto" w:after="80"/>
        <w:ind w:left="360" w:hanging="360"/>
      </w:pPr>
      <w:r>
        <w:rPr>
          <w:rFonts w:ascii="Calibri" w:hAnsi="Calibri" w:eastAsia="Calibri"/>
          <w:b/>
          <w:i w:val="0"/>
          <w:color w:val="2F5597"/>
          <w:sz w:val="17"/>
        </w:rPr>
        <w:t xml:space="preserve">34. </w:t>
      </w:r>
      <w:r>
        <w:rPr>
          <w:rFonts w:ascii="Calibri" w:hAnsi="Calibri" w:eastAsia="Calibri"/>
          <w:b w:val="0"/>
          <w:i w:val="0"/>
          <w:color w:val="24282C"/>
          <w:sz w:val="17"/>
        </w:rPr>
        <w:t>Published corrosion literature for nickel alloys and high-alloy steels in hot pressurised water containing chlorides, sulfides and alkali.</w:t>
      </w:r>
    </w:p>
    <w:p>
      <w:pPr>
        <w:spacing w:line="252" w:lineRule="auto" w:after="80"/>
        <w:ind w:left="360" w:hanging="360"/>
      </w:pPr>
      <w:r>
        <w:rPr>
          <w:rFonts w:ascii="Calibri" w:hAnsi="Calibri" w:eastAsia="Calibri"/>
          <w:b/>
          <w:i w:val="0"/>
          <w:color w:val="2F5597"/>
          <w:sz w:val="17"/>
        </w:rPr>
        <w:t xml:space="preserve">35. </w:t>
      </w:r>
      <w:r>
        <w:rPr>
          <w:rFonts w:ascii="Calibri" w:hAnsi="Calibri" w:eastAsia="Calibri"/>
          <w:b w:val="0"/>
          <w:i w:val="0"/>
          <w:color w:val="24282C"/>
          <w:sz w:val="17"/>
        </w:rPr>
        <w:t>Pressure filtration and cake washing of bauxite residue. Minerals Engineering, 2015. https://www.sciencedirect.com/science/article/pii/S0301751615001489</w:t>
      </w:r>
    </w:p>
    <w:p>
      <w:pPr>
        <w:spacing w:line="252" w:lineRule="auto" w:after="80"/>
        <w:ind w:left="360" w:hanging="360"/>
      </w:pPr>
      <w:r>
        <w:rPr>
          <w:rFonts w:ascii="Calibri" w:hAnsi="Calibri" w:eastAsia="Calibri"/>
          <w:b/>
          <w:i w:val="0"/>
          <w:color w:val="2F5597"/>
          <w:sz w:val="17"/>
        </w:rPr>
        <w:t xml:space="preserve">36. </w:t>
      </w:r>
      <w:r>
        <w:rPr>
          <w:rFonts w:ascii="Calibri" w:hAnsi="Calibri" w:eastAsia="Calibri"/>
          <w:b w:val="0"/>
          <w:i w:val="0"/>
          <w:color w:val="24282C"/>
          <w:sz w:val="17"/>
        </w:rPr>
        <w:t>Confidential correspondence, ‘Dear Curtis’, supplied average cash-cost data for a 300,000 t/y methanol plant; access restricted to the project and named supervisors.</w:t>
      </w:r>
    </w:p>
    <w:p>
      <w:pPr>
        <w:spacing w:line="252" w:lineRule="auto" w:after="80"/>
        <w:ind w:left="360" w:hanging="360"/>
      </w:pPr>
      <w:r>
        <w:rPr>
          <w:rFonts w:ascii="Calibri" w:hAnsi="Calibri" w:eastAsia="Calibri"/>
          <w:b/>
          <w:i w:val="0"/>
          <w:color w:val="2F5597"/>
          <w:sz w:val="17"/>
        </w:rPr>
        <w:t xml:space="preserve">37. </w:t>
      </w:r>
      <w:r>
        <w:rPr>
          <w:rFonts w:ascii="Calibri" w:hAnsi="Calibri" w:eastAsia="Calibri"/>
          <w:b w:val="0"/>
          <w:i w:val="0"/>
          <w:color w:val="24282C"/>
          <w:sz w:val="17"/>
        </w:rPr>
        <w:t>Inner Mongolia Sanwei methanol project, Gasification Material Balance Sheet 703, detailed-design stream data for gasifier raw gas, quenched/washed gas and black water. Confidential plant document.</w:t>
      </w:r>
    </w:p>
    <w:p>
      <w:pPr>
        <w:spacing w:line="252" w:lineRule="auto" w:after="80"/>
        <w:ind w:left="360" w:hanging="360"/>
      </w:pPr>
      <w:r>
        <w:rPr>
          <w:rFonts w:ascii="Calibri" w:hAnsi="Calibri" w:eastAsia="Calibri"/>
          <w:b/>
          <w:i w:val="0"/>
          <w:color w:val="2F5597"/>
          <w:sz w:val="17"/>
        </w:rPr>
        <w:t xml:space="preserve">38. </w:t>
      </w:r>
      <w:r>
        <w:rPr>
          <w:rFonts w:ascii="Calibri" w:hAnsi="Calibri" w:eastAsia="Calibri"/>
          <w:b w:val="0"/>
          <w:i w:val="0"/>
          <w:color w:val="24282C"/>
          <w:sz w:val="17"/>
        </w:rPr>
        <w:t>Inner Mongolia methanol project, Shift Material Balance, four-page detailed stream balance for shift inlet/outlet gas and high-/low-temperature condensates. Confidential plant document.</w:t>
      </w:r>
    </w:p>
    <w:p>
      <w:pPr>
        <w:spacing w:line="252" w:lineRule="auto" w:after="80"/>
        <w:ind w:left="360" w:hanging="360"/>
      </w:pPr>
      <w:r>
        <w:rPr>
          <w:rFonts w:ascii="Calibri" w:hAnsi="Calibri" w:eastAsia="Calibri"/>
          <w:b/>
          <w:i w:val="0"/>
          <w:color w:val="2F5597"/>
          <w:sz w:val="17"/>
        </w:rPr>
        <w:t xml:space="preserve">39. </w:t>
      </w:r>
      <w:r>
        <w:rPr>
          <w:rFonts w:ascii="Calibri" w:hAnsi="Calibri" w:eastAsia="Calibri"/>
          <w:b w:val="0"/>
          <w:i w:val="0"/>
          <w:color w:val="24282C"/>
          <w:sz w:val="17"/>
        </w:rPr>
        <w:t>KDON-30000/16160 air-separation material balance and operating information, including oxygen product, main air-compressor, booster, steam and cooling-water data. Confidential plant document.</w:t>
      </w:r>
    </w:p>
    <w:p>
      <w:pPr>
        <w:spacing w:line="252" w:lineRule="auto" w:after="80"/>
        <w:ind w:left="360" w:hanging="360"/>
      </w:pPr>
      <w:r>
        <w:rPr>
          <w:rFonts w:ascii="Calibri" w:hAnsi="Calibri" w:eastAsia="Calibri"/>
          <w:b/>
          <w:i w:val="0"/>
          <w:color w:val="2F5597"/>
          <w:sz w:val="17"/>
        </w:rPr>
        <w:t xml:space="preserve">40. </w:t>
      </w:r>
      <w:r>
        <w:rPr>
          <w:rFonts w:ascii="Calibri" w:hAnsi="Calibri" w:eastAsia="Calibri"/>
          <w:b w:val="0"/>
          <w:i w:val="0"/>
          <w:color w:val="24282C"/>
          <w:sz w:val="17"/>
        </w:rPr>
        <w:t>KDON-12000/5000 air-separation material balance and operating information, including 12,000 Nm³/h oxygen system. Confidential plant document.</w:t>
      </w:r>
    </w:p>
    <w:p>
      <w:pPr>
        <w:spacing w:line="252" w:lineRule="auto" w:after="80"/>
        <w:ind w:left="360" w:hanging="360"/>
      </w:pPr>
      <w:r>
        <w:rPr>
          <w:rFonts w:ascii="Calibri" w:hAnsi="Calibri" w:eastAsia="Calibri"/>
          <w:b/>
          <w:i w:val="0"/>
          <w:color w:val="2F5597"/>
          <w:sz w:val="17"/>
        </w:rPr>
        <w:t xml:space="preserve">41. </w:t>
      </w:r>
      <w:r>
        <w:rPr>
          <w:rFonts w:ascii="Calibri" w:hAnsi="Calibri" w:eastAsia="Calibri"/>
          <w:b w:val="0"/>
          <w:i w:val="0"/>
          <w:color w:val="24282C"/>
          <w:sz w:val="17"/>
        </w:rPr>
        <w:t>Gasification and shift safety operating procedures, upper volume, controlled copy; process ratios, condensate washing, ammonia control and reuse practices. Confidential plant document.</w:t>
      </w:r>
    </w:p>
    <w:p>
      <w:pPr>
        <w:spacing w:line="252" w:lineRule="auto" w:after="80"/>
        <w:ind w:left="360" w:hanging="360"/>
      </w:pPr>
      <w:r>
        <w:rPr>
          <w:rFonts w:ascii="Calibri" w:hAnsi="Calibri" w:eastAsia="Calibri"/>
          <w:b/>
          <w:i w:val="0"/>
          <w:color w:val="2F5597"/>
          <w:sz w:val="17"/>
        </w:rPr>
        <w:t xml:space="preserve">42. </w:t>
      </w:r>
      <w:r>
        <w:rPr>
          <w:rFonts w:ascii="Calibri" w:hAnsi="Calibri" w:eastAsia="Calibri"/>
          <w:b w:val="0"/>
          <w:i w:val="0"/>
          <w:color w:val="24282C"/>
          <w:sz w:val="17"/>
        </w:rPr>
        <w:t>Gasification safety operating procedures, lower volume, controlled copy; equipment duties, oxygen/slurry operation, quench/grey-water systems and quality limits. Confidential plant document.</w:t>
      </w:r>
    </w:p>
    <w:p>
      <w:pPr>
        <w:spacing w:line="252" w:lineRule="auto" w:after="80"/>
        <w:ind w:left="360" w:hanging="360"/>
      </w:pPr>
      <w:r>
        <w:rPr>
          <w:rFonts w:ascii="Calibri" w:hAnsi="Calibri" w:eastAsia="Calibri"/>
          <w:b/>
          <w:i w:val="0"/>
          <w:color w:val="2F5597"/>
          <w:sz w:val="17"/>
        </w:rPr>
        <w:t xml:space="preserve">43. </w:t>
      </w:r>
      <w:r>
        <w:rPr>
          <w:rFonts w:ascii="Calibri" w:hAnsi="Calibri" w:eastAsia="Calibri"/>
          <w:b w:val="0"/>
          <w:i w:val="0"/>
          <w:color w:val="24282C"/>
          <w:sz w:val="17"/>
        </w:rPr>
        <w:t>Gas-source station operating procedures (2025), controlled copy; 12,000 Nm³/h ASU equipment, performance, turndown and backup-storage information. Confidential plant document.</w:t>
      </w:r>
    </w:p>
    <w:p>
      <w:pPr>
        <w:spacing w:line="252" w:lineRule="auto" w:after="80"/>
        <w:ind w:left="360" w:hanging="360"/>
      </w:pPr>
      <w:r>
        <w:rPr>
          <w:rFonts w:ascii="Calibri" w:hAnsi="Calibri" w:eastAsia="Calibri"/>
          <w:b/>
          <w:i w:val="0"/>
          <w:color w:val="2F5597"/>
          <w:sz w:val="17"/>
        </w:rPr>
        <w:t xml:space="preserve">44. </w:t>
      </w:r>
      <w:r>
        <w:rPr>
          <w:rFonts w:ascii="Calibri" w:hAnsi="Calibri" w:eastAsia="Calibri"/>
          <w:b w:val="0"/>
          <w:i w:val="0"/>
          <w:color w:val="24282C"/>
          <w:sz w:val="17"/>
        </w:rPr>
        <w:t>Water-supply and drainage operating procedures, upper and lower volumes, controlled copies; 300 m³/h reclaimed-water, UF/RO, deep-demineralisation and reuse systems. Confidential plant documents.</w:t>
      </w:r>
    </w:p>
    <w:p>
      <w:pPr>
        <w:spacing w:line="252" w:lineRule="auto" w:after="80"/>
        <w:ind w:left="360" w:hanging="360"/>
      </w:pPr>
      <w:r>
        <w:rPr>
          <w:rFonts w:ascii="Calibri" w:hAnsi="Calibri" w:eastAsia="Calibri"/>
          <w:b/>
          <w:i w:val="0"/>
          <w:color w:val="2F5597"/>
          <w:sz w:val="17"/>
        </w:rPr>
        <w:t xml:space="preserve">45. </w:t>
      </w:r>
      <w:r>
        <w:rPr>
          <w:rFonts w:ascii="Calibri" w:hAnsi="Calibri" w:eastAsia="Calibri"/>
          <w:b w:val="0"/>
          <w:i w:val="0"/>
          <w:color w:val="24282C"/>
          <w:sz w:val="17"/>
        </w:rPr>
        <w:t>Intern training presentation, corporate greenhouse-gas calculation method and reference electricity/heat factors. Confidential company material.</w:t>
      </w:r>
    </w:p>
    <w:p>
      <w:pPr>
        <w:spacing w:line="252" w:lineRule="auto" w:after="80"/>
        <w:ind w:left="360" w:hanging="360"/>
      </w:pPr>
      <w:r>
        <w:rPr>
          <w:rFonts w:ascii="Calibri" w:hAnsi="Calibri" w:eastAsia="Calibri"/>
          <w:b/>
          <w:i w:val="0"/>
          <w:color w:val="2F5597"/>
          <w:sz w:val="17"/>
        </w:rPr>
        <w:t xml:space="preserve">46. </w:t>
      </w:r>
      <w:r>
        <w:rPr>
          <w:rFonts w:ascii="Calibri" w:hAnsi="Calibri" w:eastAsia="Calibri"/>
          <w:b w:val="0"/>
          <w:i w:val="0"/>
          <w:color w:val="24282C"/>
          <w:sz w:val="17"/>
        </w:rPr>
        <w:t>Discharge permit duplicate supplied in the confidential source package. Site-specific compliance evidence; use requires permit-boundary review before applying conditions to the proposed site.</w:t>
      </w:r>
    </w:p>
    <w:sectPr w:rsidR="00FC693F" w:rsidRPr="0006063C" w:rsidSect="00034616">
      <w:headerReference w:type="default" r:id="rId16"/>
      <w:footerReference w:type="default" r:id="rId17"/>
      <w:pgSz w:w="11906" w:h="16838" w:orient="landscape"/>
      <w:pgMar w:top="749" w:right="792" w:bottom="749" w:left="79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5717C"/>
        <w:sz w:val="16"/>
      </w:rPr>
      <w:t xml:space="preserve">Screening / pre-FEED basis  •  2026 RMB  •  Page </w:t>
    </w:r>
    <w:r>
      <w:rPr>
        <w:rFonts w:ascii="Calibri" w:hAnsi="Calibri" w:eastAsia="Calibri"/>
        <w:b w:val="0"/>
        <w:i w:val="0"/>
        <w:color w:val="65717C"/>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65717C"/>
        <w:sz w:val="16"/>
      </w:rPr>
      <w:t>TOWNGAS  |  SCWG–OXZEO PROCESS DESIGN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428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566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eader" Target="header2.xml"/><Relationship Id="rId1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Towngas SCWG–OXZEO Process Design — Private V7 Main Report</dc:title>
  <dc:subject>Private A4 screening/pre-FEED report without appendices</dc:subject>
  <dc:creator>Towngas project team</dc:creator>
  <cp:keywords>SCWG, OXZEO, douzha, bauxite residue, olefins, China, RMB, confidential industrial data</cp:keywords>
  <dc:description>generated by python-docx</dc:description>
  <cp:lastModifiedBy/>
  <cp:revision>1</cp:revision>
  <dcterms:created xsi:type="dcterms:W3CDTF">2013-12-23T23:15:00Z</dcterms:created>
  <dcterms:modified xsi:type="dcterms:W3CDTF">2013-12-23T23:15:00Z</dcterms:modified>
  <cp:category/>
</cp:coreProperties>
</file>