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ojnejxwom130" w:id="0"/>
      <w:bookmarkEnd w:id="0"/>
      <w:r w:rsidDel="00000000" w:rsidR="00000000" w:rsidRPr="00000000">
        <w:rPr>
          <w:rtl w:val="0"/>
        </w:rPr>
        <w:t xml:space="preserve">OAuth 2.0 Token Exchange</w:t>
      </w:r>
    </w:p>
    <w:p w:rsidR="00000000" w:rsidDel="00000000" w:rsidP="00000000" w:rsidRDefault="00000000" w:rsidRPr="00000000" w14:paraId="00000002">
      <w:pPr>
        <w:rPr/>
      </w:pPr>
      <w:r w:rsidDel="00000000" w:rsidR="00000000" w:rsidRPr="00000000">
        <w:rPr>
          <w:rtl w:val="0"/>
        </w:rPr>
        <w:t xml:space="preserve">Intended audience: Selected customers</w:t>
      </w:r>
    </w:p>
    <w:p w:rsidR="00000000" w:rsidDel="00000000" w:rsidP="00000000" w:rsidRDefault="00000000" w:rsidRPr="00000000" w14:paraId="00000003">
      <w:pPr>
        <w:pStyle w:val="Heading1"/>
        <w:rPr/>
      </w:pPr>
      <w:bookmarkStart w:colFirst="0" w:colLast="0" w:name="_jwq3nwu0czce" w:id="1"/>
      <w:bookmarkEnd w:id="1"/>
      <w:r w:rsidDel="00000000" w:rsidR="00000000" w:rsidRPr="00000000">
        <w:rPr>
          <w:rtl w:val="0"/>
        </w:rPr>
        <w:t xml:space="preserve">Preface</w:t>
      </w:r>
    </w:p>
    <w:p w:rsidR="00000000" w:rsidDel="00000000" w:rsidP="00000000" w:rsidRDefault="00000000" w:rsidRPr="00000000" w14:paraId="00000004">
      <w:pPr>
        <w:rPr/>
      </w:pPr>
      <w:r w:rsidDel="00000000" w:rsidR="00000000" w:rsidRPr="00000000">
        <w:rPr>
          <w:rtl w:val="0"/>
        </w:rPr>
        <w:t xml:space="preserve">We intend to support the OAuth 2.0 Token Exchange specification </w:t>
      </w:r>
      <w:hyperlink r:id="rId6">
        <w:r w:rsidDel="00000000" w:rsidR="00000000" w:rsidRPr="00000000">
          <w:rPr>
            <w:color w:val="1155cc"/>
            <w:u w:val="single"/>
            <w:rtl w:val="0"/>
          </w:rPr>
          <w:t xml:space="preserve">https://datatracker.ietf.org/doc/html/rfc8693</w:t>
        </w:r>
      </w:hyperlink>
      <w:r w:rsidDel="00000000" w:rsidR="00000000" w:rsidRPr="00000000">
        <w:rPr>
          <w:rtl w:val="0"/>
        </w:rPr>
        <w:t xml:space="preserve">. This RFC can service multiple use cases. This document describes the most common use case. </w:t>
      </w:r>
      <w:r w:rsidDel="00000000" w:rsidR="00000000" w:rsidRPr="00000000">
        <w:rPr>
          <w:rtl w:val="0"/>
        </w:rPr>
      </w:r>
    </w:p>
    <w:p w:rsidR="00000000" w:rsidDel="00000000" w:rsidP="00000000" w:rsidRDefault="00000000" w:rsidRPr="00000000" w14:paraId="00000005">
      <w:pPr>
        <w:pStyle w:val="Heading1"/>
        <w:rPr/>
      </w:pPr>
      <w:bookmarkStart w:colFirst="0" w:colLast="0" w:name="_uttkv7a9leyv" w:id="2"/>
      <w:bookmarkEnd w:id="2"/>
      <w:r w:rsidDel="00000000" w:rsidR="00000000" w:rsidRPr="00000000">
        <w:rPr>
          <w:rtl w:val="0"/>
        </w:rPr>
        <w:t xml:space="preserve">Changelog</w:t>
      </w:r>
    </w:p>
    <w:p w:rsidR="00000000" w:rsidDel="00000000" w:rsidP="00000000" w:rsidRDefault="00000000" w:rsidRPr="00000000" w14:paraId="00000006">
      <w:pPr>
        <w:rPr/>
      </w:pPr>
      <w:r w:rsidDel="00000000" w:rsidR="00000000" w:rsidRPr="00000000">
        <w:rPr>
          <w:rtl w:val="0"/>
        </w:rPr>
        <w:t xml:space="preserve">Nov 14, 2025</w:t>
      </w:r>
      <w:r w:rsidDel="00000000" w:rsidR="00000000" w:rsidRPr="00000000">
        <w:rPr>
          <w:rtl w:val="0"/>
        </w:rPr>
        <w:t xml:space="preserve"> </w:t>
      </w:r>
      <w:hyperlink r:id="rId7">
        <w:r w:rsidDel="00000000" w:rsidR="00000000" w:rsidRPr="00000000">
          <w:rPr>
            <w:color w:val="0000ee"/>
            <w:u w:val="single"/>
            <w:rtl w:val="0"/>
          </w:rPr>
          <w:t xml:space="preserve">Ivan Mok</w:t>
        </w:r>
      </w:hyperlink>
      <w:r w:rsidDel="00000000" w:rsidR="00000000" w:rsidRPr="00000000">
        <w:rPr>
          <w:rtl w:val="0"/>
        </w:rPr>
        <w:t xml:space="preserve"> — revised with more information</w:t>
      </w:r>
    </w:p>
    <w:p w:rsidR="00000000" w:rsidDel="00000000" w:rsidP="00000000" w:rsidRDefault="00000000" w:rsidRPr="00000000" w14:paraId="00000007">
      <w:pPr>
        <w:rPr/>
      </w:pPr>
      <w:r w:rsidDel="00000000" w:rsidR="00000000" w:rsidRPr="00000000">
        <w:rPr>
          <w:rtl w:val="0"/>
        </w:rPr>
        <w:t xml:space="preserve">May 8, 2025</w:t>
      </w:r>
      <w:r w:rsidDel="00000000" w:rsidR="00000000" w:rsidRPr="00000000">
        <w:rPr>
          <w:rtl w:val="0"/>
        </w:rPr>
        <w:t xml:space="preserve"> </w:t>
      </w:r>
      <w:hyperlink r:id="rId8">
        <w:r w:rsidDel="00000000" w:rsidR="00000000" w:rsidRPr="00000000">
          <w:rPr>
            <w:color w:val="0000ee"/>
            <w:u w:val="single"/>
            <w:rtl w:val="0"/>
          </w:rPr>
          <w:t xml:space="preserve">Ivan Mok</w:t>
        </w:r>
      </w:hyperlink>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Table of contents</w:t>
      </w:r>
    </w:p>
    <w:sdt>
      <w:sdtPr>
        <w:id w:val="-996247108"/>
        <w:docPartObj>
          <w:docPartGallery w:val="Table of Contents"/>
          <w:docPartUnique w:val="1"/>
        </w:docPartObj>
      </w:sdtPr>
      <w:sdtContent>
        <w:p w:rsidR="00000000" w:rsidDel="00000000" w:rsidP="00000000" w:rsidRDefault="00000000" w:rsidRPr="00000000" w14:paraId="0000000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jwq3nwu0czc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ttkv7a9ley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Changelog</w:t>
              <w:tab/>
              <w:t xml:space="preserve">1</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rupkg46hye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Context: OAuth 2.0 Token Exchange</w:t>
              <w:tab/>
              <w:t xml:space="preserve">2</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v2hcfd0q8l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Context: Common PingOne OAuth/OIDC use case</w:t>
              <w:tab/>
              <w:t xml:space="preserve">2</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03ohuzxl1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Common Token Exchange use case</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knh9oc5970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Release planning</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juktksqs7l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coverage</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4kau1acal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Future phases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rPr/>
      </w:pPr>
      <w:bookmarkStart w:colFirst="0" w:colLast="0" w:name="_nrupkg46hye9" w:id="3"/>
      <w:bookmarkEnd w:id="3"/>
      <w:r w:rsidDel="00000000" w:rsidR="00000000" w:rsidRPr="00000000">
        <w:rPr>
          <w:rtl w:val="0"/>
        </w:rPr>
        <w:t xml:space="preserve">Context: OAuth 2.0 Token Exchange</w:t>
      </w:r>
    </w:p>
    <w:p w:rsidR="00000000" w:rsidDel="00000000" w:rsidP="00000000" w:rsidRDefault="00000000" w:rsidRPr="00000000" w14:paraId="00000013">
      <w:pPr>
        <w:rPr/>
      </w:pPr>
      <w:r w:rsidDel="00000000" w:rsidR="00000000" w:rsidRPr="00000000">
        <w:rPr>
          <w:rtl w:val="0"/>
        </w:rPr>
        <w:t xml:space="preserve">An OAuth client sends a token exchange request to an authorization server’s token endpoint and expects to receive a token exchange response from the authorization server. </w:t>
      </w:r>
    </w:p>
    <w:p w:rsidR="00000000" w:rsidDel="00000000" w:rsidP="00000000" w:rsidRDefault="00000000" w:rsidRPr="00000000" w14:paraId="00000014">
      <w:pPr>
        <w:ind w:left="0" w:firstLine="0"/>
        <w:rPr/>
      </w:pPr>
      <w:r w:rsidDel="00000000" w:rsidR="00000000" w:rsidRPr="00000000">
        <w:rPr>
          <w:rtl w:val="0"/>
        </w:rPr>
        <w:t xml:space="preserve">A token exchange request contains a subject token, and optionally an actor token. </w:t>
      </w:r>
    </w:p>
    <w:p w:rsidR="00000000" w:rsidDel="00000000" w:rsidP="00000000" w:rsidRDefault="00000000" w:rsidRPr="00000000" w14:paraId="00000015">
      <w:pPr>
        <w:ind w:left="0" w:firstLine="0"/>
        <w:rPr/>
      </w:pPr>
      <w:r w:rsidDel="00000000" w:rsidR="00000000" w:rsidRPr="00000000">
        <w:rPr>
          <w:rtl w:val="0"/>
        </w:rPr>
        <w:t xml:space="preserve">A token exchange response contains an issued token and other parameters. </w:t>
      </w:r>
    </w:p>
    <w:p w:rsidR="00000000" w:rsidDel="00000000" w:rsidP="00000000" w:rsidRDefault="00000000" w:rsidRPr="00000000" w14:paraId="00000016">
      <w:pPr>
        <w:pStyle w:val="Heading1"/>
        <w:rPr/>
      </w:pPr>
      <w:bookmarkStart w:colFirst="0" w:colLast="0" w:name="_8v2hcfd0q8lx" w:id="4"/>
      <w:bookmarkEnd w:id="4"/>
      <w:r w:rsidDel="00000000" w:rsidR="00000000" w:rsidRPr="00000000">
        <w:rPr>
          <w:rtl w:val="0"/>
        </w:rPr>
        <w:t xml:space="preserve">Context: Common PingOne OAuth/OIDC use case</w:t>
      </w:r>
    </w:p>
    <w:p w:rsidR="00000000" w:rsidDel="00000000" w:rsidP="00000000" w:rsidRDefault="00000000" w:rsidRPr="00000000" w14:paraId="00000017">
      <w:pPr>
        <w:rPr/>
      </w:pPr>
      <w:r w:rsidDel="00000000" w:rsidR="00000000" w:rsidRPr="00000000">
        <w:rPr>
          <w:rtl w:val="0"/>
        </w:rPr>
        <w:t xml:space="preserve">A PingOne administrator registers an OIDC application and a custom resource in PingOne because the administrator, the application developer, and the developer of a resource server (referred to as custom resource in PingOne) agree to the following terms. </w:t>
      </w:r>
    </w:p>
    <w:p w:rsidR="00000000" w:rsidDel="00000000" w:rsidP="00000000" w:rsidRDefault="00000000" w:rsidRPr="00000000" w14:paraId="00000018">
      <w:pPr>
        <w:numPr>
          <w:ilvl w:val="0"/>
          <w:numId w:val="1"/>
        </w:numPr>
        <w:spacing w:after="0" w:afterAutospacing="0"/>
        <w:ind w:left="720" w:hanging="360"/>
        <w:rPr>
          <w:u w:val="none"/>
        </w:rPr>
      </w:pPr>
      <w:r w:rsidDel="00000000" w:rsidR="00000000" w:rsidRPr="00000000">
        <w:rPr>
          <w:rtl w:val="0"/>
        </w:rPr>
        <w:t xml:space="preserve">PingOne plays the Authorization Server and OpenID Provider roles and issues access tokens, optionally refresh tokens, and ID tokens (if applicable) to the application. </w:t>
      </w:r>
    </w:p>
    <w:p w:rsidR="00000000" w:rsidDel="00000000" w:rsidP="00000000" w:rsidRDefault="00000000" w:rsidRPr="00000000" w14:paraId="00000019">
      <w:pPr>
        <w:numPr>
          <w:ilvl w:val="0"/>
          <w:numId w:val="1"/>
        </w:numPr>
        <w:spacing w:after="0" w:afterAutospacing="0"/>
        <w:ind w:left="720" w:hanging="360"/>
        <w:rPr>
          <w:u w:val="none"/>
        </w:rPr>
      </w:pPr>
      <w:r w:rsidDel="00000000" w:rsidR="00000000" w:rsidRPr="00000000">
        <w:rPr>
          <w:rtl w:val="0"/>
        </w:rPr>
        <w:t xml:space="preserve">The application agrees to include the access token in its request to the custom resource. </w:t>
      </w:r>
    </w:p>
    <w:p w:rsidR="00000000" w:rsidDel="00000000" w:rsidP="00000000" w:rsidRDefault="00000000" w:rsidRPr="00000000" w14:paraId="0000001A">
      <w:pPr>
        <w:numPr>
          <w:ilvl w:val="0"/>
          <w:numId w:val="1"/>
        </w:numPr>
        <w:ind w:left="720" w:hanging="360"/>
        <w:rPr>
          <w:u w:val="none"/>
        </w:rPr>
      </w:pPr>
      <w:r w:rsidDel="00000000" w:rsidR="00000000" w:rsidRPr="00000000">
        <w:rPr>
          <w:rtl w:val="0"/>
        </w:rPr>
        <w:t xml:space="preserve">The custom resource agrees to accept the access token as authorization and grants the application access to its data. The custom resource may send a request to PingOne’s introspection endpoint to determine the validity of the said access token. Because PingOne’s access token is a JWT, the custom resource can also validate the access token itself. </w:t>
      </w:r>
    </w:p>
    <w:p w:rsidR="00000000" w:rsidDel="00000000" w:rsidP="00000000" w:rsidRDefault="00000000" w:rsidRPr="00000000" w14:paraId="0000001B">
      <w:pPr>
        <w:ind w:left="0" w:firstLine="0"/>
        <w:rPr/>
      </w:pPr>
      <w:r w:rsidDel="00000000" w:rsidR="00000000" w:rsidRPr="00000000">
        <w:rPr/>
        <mc:AlternateContent>
          <mc:Choice Requires="wpg">
            <w:drawing>
              <wp:inline distB="114300" distT="114300" distL="114300" distR="114300">
                <wp:extent cx="2743200" cy="927997"/>
                <wp:effectExtent b="0" l="0" r="0" t="0"/>
                <wp:docPr id="1" name=""/>
                <a:graphic>
                  <a:graphicData uri="http://schemas.microsoft.com/office/word/2010/wordprocessingGroup">
                    <wpg:wgp>
                      <wpg:cNvGrpSpPr/>
                      <wpg:grpSpPr>
                        <a:xfrm>
                          <a:off x="0" y="0"/>
                          <a:ext cx="2743200" cy="927997"/>
                          <a:chOff x="0" y="0"/>
                          <a:chExt cx="5116775" cy="1728575"/>
                        </a:xfrm>
                      </wpg:grpSpPr>
                      <wps:wsp>
                        <wps:cNvSpPr/>
                        <wps:cNvPr id="2" name="Shape 2"/>
                        <wps:spPr>
                          <a:xfrm>
                            <a:off x="1364700" y="475500"/>
                            <a:ext cx="2382600" cy="772800"/>
                          </a:xfrm>
                          <a:prstGeom prst="triangle">
                            <a:avLst>
                              <a:gd fmla="val 50000"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3" name="Shape 3"/>
                        <wps:spPr>
                          <a:xfrm>
                            <a:off x="1873650" y="0"/>
                            <a:ext cx="1364700" cy="475500"/>
                          </a:xfrm>
                          <a:prstGeom prst="roundRect">
                            <a:avLst>
                              <a:gd fmla="val 16667" name="adj"/>
                            </a:avLst>
                          </a:prstGeom>
                          <a:noFill/>
                          <a:ln cap="flat" cmpd="sng" w="9525">
                            <a:solidFill>
                              <a:srgbClr val="99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9900ff"/>
                                  <w:sz w:val="28"/>
                                  <w:vertAlign w:val="baseline"/>
                                </w:rPr>
                                <w:t xml:space="preserve">PingOne</w:t>
                              </w:r>
                            </w:p>
                          </w:txbxContent>
                        </wps:txbx>
                        <wps:bodyPr anchorCtr="0" anchor="ctr" bIns="91425" lIns="91425" spcFirstLastPara="1" rIns="91425" wrap="square" tIns="91425">
                          <a:noAutofit/>
                        </wps:bodyPr>
                      </wps:wsp>
                      <wps:wsp>
                        <wps:cNvSpPr/>
                        <wps:cNvPr id="4" name="Shape 4"/>
                        <wps:spPr>
                          <a:xfrm>
                            <a:off x="3747300" y="1248300"/>
                            <a:ext cx="1364700" cy="475500"/>
                          </a:xfrm>
                          <a:prstGeom prst="roundRect">
                            <a:avLst>
                              <a:gd fmla="val 16667" name="adj"/>
                            </a:avLst>
                          </a:prstGeom>
                          <a:noFill/>
                          <a:ln cap="flat" cmpd="sng" w="9525">
                            <a:solidFill>
                              <a:srgbClr val="FF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ff00ff"/>
                                  <w:sz w:val="28"/>
                                  <w:vertAlign w:val="baseline"/>
                                </w:rPr>
                                <w:t xml:space="preserve">API A</w:t>
                              </w:r>
                            </w:p>
                          </w:txbxContent>
                        </wps:txbx>
                        <wps:bodyPr anchorCtr="0" anchor="ctr" bIns="91425" lIns="91425" spcFirstLastPara="1" rIns="91425" wrap="square" tIns="91425">
                          <a:noAutofit/>
                        </wps:bodyPr>
                      </wps:wsp>
                      <wps:wsp>
                        <wps:cNvSpPr/>
                        <wps:cNvPr id="5" name="Shape 5"/>
                        <wps:spPr>
                          <a:xfrm>
                            <a:off x="0" y="1248300"/>
                            <a:ext cx="1364700" cy="475500"/>
                          </a:xfrm>
                          <a:prstGeom prst="roundRect">
                            <a:avLst>
                              <a:gd fmla="val 16667" name="adj"/>
                            </a:avLst>
                          </a:prstGeom>
                          <a:solidFill>
                            <a:srgbClr val="FF9900"/>
                          </a:solidFill>
                          <a:ln cap="flat" cmpd="sng" w="9525">
                            <a:solidFill>
                              <a:srgbClr val="FF99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App X</w:t>
                              </w:r>
                            </w:p>
                          </w:txbxContent>
                        </wps:txbx>
                        <wps:bodyPr anchorCtr="0" anchor="ctr" bIns="91425" lIns="91425" spcFirstLastPara="1" rIns="91425" wrap="square" tIns="91425">
                          <a:noAutofit/>
                        </wps:bodyPr>
                      </wps:wsp>
                      <wps:wsp>
                        <wps:cNvSpPr/>
                        <wps:cNvPr id="6" name="Shape 6"/>
                        <wps:spPr>
                          <a:xfrm>
                            <a:off x="2284200" y="590100"/>
                            <a:ext cx="543600" cy="543600"/>
                          </a:xfrm>
                          <a:prstGeom prst="ellipse">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w:t>
                              </w: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2743200" cy="927997"/>
                <wp:effectExtent b="0" l="0" r="0" t="0"/>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2743200" cy="927997"/>
                        </a:xfrm>
                        <a:prstGeom prst="rect"/>
                        <a:ln/>
                      </pic:spPr>
                    </pic:pic>
                  </a:graphicData>
                </a:graphic>
              </wp:inline>
            </w:drawing>
          </mc:Fallback>
        </mc:AlternateContent>
      </w:r>
      <w:r w:rsidDel="00000000" w:rsidR="00000000" w:rsidRPr="00000000">
        <w:rPr>
          <w:rtl w:val="0"/>
        </w:rPr>
        <w:t xml:space="preserve"> </w:t>
      </w:r>
    </w:p>
    <w:p w:rsidR="00000000" w:rsidDel="00000000" w:rsidP="00000000" w:rsidRDefault="00000000" w:rsidRPr="00000000" w14:paraId="0000001C">
      <w:pPr>
        <w:pStyle w:val="Heading1"/>
        <w:rPr/>
      </w:pPr>
      <w:bookmarkStart w:colFirst="0" w:colLast="0" w:name="_1uhpytwhylig" w:id="5"/>
      <w:bookmarkEnd w:id="5"/>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rPr/>
      </w:pPr>
      <w:bookmarkStart w:colFirst="0" w:colLast="0" w:name="_u303ohuzxl1d" w:id="6"/>
      <w:bookmarkEnd w:id="6"/>
      <w:r w:rsidDel="00000000" w:rsidR="00000000" w:rsidRPr="00000000">
        <w:rPr>
          <w:rtl w:val="0"/>
        </w:rPr>
        <w:t xml:space="preserve">Common Token Exchange use case</w:t>
      </w:r>
    </w:p>
    <w:p w:rsidR="00000000" w:rsidDel="00000000" w:rsidP="00000000" w:rsidRDefault="00000000" w:rsidRPr="00000000" w14:paraId="0000001E">
      <w:pPr>
        <w:rPr/>
      </w:pPr>
      <w:r w:rsidDel="00000000" w:rsidR="00000000" w:rsidRPr="00000000">
        <w:rPr>
          <w:rtl w:val="0"/>
        </w:rPr>
        <w:t xml:space="preserve">Referring to the aforementioned </w:t>
      </w:r>
      <w:hyperlink w:anchor="_8v2hcfd0q8lx">
        <w:r w:rsidDel="00000000" w:rsidR="00000000" w:rsidRPr="00000000">
          <w:rPr>
            <w:color w:val="1155cc"/>
            <w:u w:val="single"/>
            <w:rtl w:val="0"/>
          </w:rPr>
          <w:t xml:space="preserve">Common PingOne OAuth/OIDC use case</w:t>
        </w:r>
      </w:hyperlink>
      <w:r w:rsidDel="00000000" w:rsidR="00000000" w:rsidRPr="00000000">
        <w:rPr>
          <w:rtl w:val="0"/>
        </w:rPr>
        <w:t xml:space="preserve">, the custom resource (</w:t>
      </w:r>
      <w:r w:rsidDel="00000000" w:rsidR="00000000" w:rsidRPr="00000000">
        <w:rPr>
          <w:color w:val="ff00ff"/>
          <w:rtl w:val="0"/>
        </w:rPr>
        <w:t xml:space="preserve">API A</w:t>
      </w:r>
      <w:r w:rsidDel="00000000" w:rsidR="00000000" w:rsidRPr="00000000">
        <w:rPr>
          <w:rtl w:val="0"/>
        </w:rPr>
        <w:t xml:space="preserve">) may not have all the data it needs to fulfill the request it receives from the application (</w:t>
      </w:r>
      <w:r w:rsidDel="00000000" w:rsidR="00000000" w:rsidRPr="00000000">
        <w:rPr>
          <w:shd w:fill="ff9900" w:val="clear"/>
          <w:rtl w:val="0"/>
        </w:rPr>
        <w:t xml:space="preserve">App X</w:t>
      </w:r>
      <w:r w:rsidDel="00000000" w:rsidR="00000000" w:rsidRPr="00000000">
        <w:rPr>
          <w:rtl w:val="0"/>
        </w:rPr>
        <w:t xml:space="preserve">). The custom resource can return what it has and let the application send other requests to get the rest of the data, which may not be desirable. If all parties support token exchange, the custom resource can act as an application and ask for an access token that it can use as authorization to access the required data from another custom resource (</w:t>
      </w:r>
      <w:r w:rsidDel="00000000" w:rsidR="00000000" w:rsidRPr="00000000">
        <w:rPr>
          <w:color w:val="45818e"/>
          <w:rtl w:val="0"/>
        </w:rPr>
        <w:t xml:space="preserve">API B</w:t>
      </w:r>
      <w:r w:rsidDel="00000000" w:rsidR="00000000" w:rsidRPr="00000000">
        <w:rPr>
          <w:rtl w:val="0"/>
        </w:rPr>
        <w:t xml:space="preserve">). </w:t>
      </w:r>
    </w:p>
    <w:p w:rsidR="00000000" w:rsidDel="00000000" w:rsidP="00000000" w:rsidRDefault="00000000" w:rsidRPr="00000000" w14:paraId="0000001F">
      <w:pPr>
        <w:rPr/>
      </w:pPr>
      <w:r w:rsidDel="00000000" w:rsidR="00000000" w:rsidRPr="00000000">
        <w:rPr/>
        <mc:AlternateContent>
          <mc:Choice Requires="wpg">
            <w:drawing>
              <wp:inline distB="114300" distT="114300" distL="114300" distR="114300">
                <wp:extent cx="5486400" cy="929725"/>
                <wp:effectExtent b="0" l="0" r="0" t="0"/>
                <wp:docPr id="2" name=""/>
                <a:graphic>
                  <a:graphicData uri="http://schemas.microsoft.com/office/word/2010/wordprocessingGroup">
                    <wpg:wgp>
                      <wpg:cNvGrpSpPr/>
                      <wpg:grpSpPr>
                        <a:xfrm>
                          <a:off x="0" y="0"/>
                          <a:ext cx="5486400" cy="929725"/>
                          <a:chOff x="0" y="0"/>
                          <a:chExt cx="10228775" cy="1728575"/>
                        </a:xfrm>
                      </wpg:grpSpPr>
                      <wps:wsp>
                        <wps:cNvSpPr/>
                        <wps:cNvPr id="2" name="Shape 2"/>
                        <wps:spPr>
                          <a:xfrm>
                            <a:off x="1364700" y="475500"/>
                            <a:ext cx="2382600" cy="772800"/>
                          </a:xfrm>
                          <a:prstGeom prst="triangle">
                            <a:avLst>
                              <a:gd fmla="val 50000"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3" name="Shape 3"/>
                        <wps:spPr>
                          <a:xfrm>
                            <a:off x="1873650" y="0"/>
                            <a:ext cx="6476700" cy="475500"/>
                          </a:xfrm>
                          <a:prstGeom prst="roundRect">
                            <a:avLst>
                              <a:gd fmla="val 16667" name="adj"/>
                            </a:avLst>
                          </a:prstGeom>
                          <a:noFill/>
                          <a:ln cap="flat" cmpd="sng" w="9525">
                            <a:solidFill>
                              <a:srgbClr val="99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9900ff"/>
                                  <w:sz w:val="28"/>
                                  <w:vertAlign w:val="baseline"/>
                                </w:rPr>
                                <w:t xml:space="preserve">PingOne</w:t>
                              </w:r>
                            </w:p>
                          </w:txbxContent>
                        </wps:txbx>
                        <wps:bodyPr anchorCtr="0" anchor="ctr" bIns="91425" lIns="91425" spcFirstLastPara="1" rIns="91425" wrap="square" tIns="91425">
                          <a:noAutofit/>
                        </wps:bodyPr>
                      </wps:wsp>
                      <wps:wsp>
                        <wps:cNvSpPr/>
                        <wps:cNvPr id="4" name="Shape 4"/>
                        <wps:spPr>
                          <a:xfrm>
                            <a:off x="3747300" y="1248300"/>
                            <a:ext cx="1364700" cy="475500"/>
                          </a:xfrm>
                          <a:prstGeom prst="roundRect">
                            <a:avLst>
                              <a:gd fmla="val 16667" name="adj"/>
                            </a:avLst>
                          </a:prstGeom>
                          <a:noFill/>
                          <a:ln cap="flat" cmpd="sng" w="9525">
                            <a:solidFill>
                              <a:srgbClr val="FF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ff00ff"/>
                                  <w:sz w:val="28"/>
                                  <w:vertAlign w:val="baseline"/>
                                </w:rPr>
                                <w:t xml:space="preserve">API A</w:t>
                              </w:r>
                            </w:p>
                          </w:txbxContent>
                        </wps:txbx>
                        <wps:bodyPr anchorCtr="0" anchor="ctr" bIns="91425" lIns="91425" spcFirstLastPara="1" rIns="91425" wrap="square" tIns="91425">
                          <a:noAutofit/>
                        </wps:bodyPr>
                      </wps:wsp>
                      <wps:wsp>
                        <wps:cNvSpPr/>
                        <wps:cNvPr id="5" name="Shape 5"/>
                        <wps:spPr>
                          <a:xfrm>
                            <a:off x="0" y="1248300"/>
                            <a:ext cx="1364700" cy="475500"/>
                          </a:xfrm>
                          <a:prstGeom prst="roundRect">
                            <a:avLst>
                              <a:gd fmla="val 16667" name="adj"/>
                            </a:avLst>
                          </a:prstGeom>
                          <a:solidFill>
                            <a:srgbClr val="FF9900"/>
                          </a:solidFill>
                          <a:ln cap="flat" cmpd="sng" w="9525">
                            <a:solidFill>
                              <a:srgbClr val="FF99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App X</w:t>
                              </w:r>
                            </w:p>
                          </w:txbxContent>
                        </wps:txbx>
                        <wps:bodyPr anchorCtr="0" anchor="ctr" bIns="91425" lIns="91425" spcFirstLastPara="1" rIns="91425" wrap="square" tIns="91425">
                          <a:noAutofit/>
                        </wps:bodyPr>
                      </wps:wsp>
                      <wps:wsp>
                        <wps:cNvSpPr/>
                        <wps:cNvPr id="6" name="Shape 6"/>
                        <wps:spPr>
                          <a:xfrm>
                            <a:off x="2284200" y="590100"/>
                            <a:ext cx="543600" cy="543600"/>
                          </a:xfrm>
                          <a:prstGeom prst="ellipse">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w:t>
                              </w:r>
                            </w:p>
                          </w:txbxContent>
                        </wps:txbx>
                        <wps:bodyPr anchorCtr="0" anchor="ctr" bIns="91425" lIns="91425" spcFirstLastPara="1" rIns="91425" wrap="square" tIns="91425">
                          <a:noAutofit/>
                        </wps:bodyPr>
                      </wps:wsp>
                      <wps:wsp>
                        <wps:cNvSpPr/>
                        <wps:cNvPr id="7" name="Shape 7"/>
                        <wps:spPr>
                          <a:xfrm>
                            <a:off x="6476700" y="475500"/>
                            <a:ext cx="2382600" cy="772800"/>
                          </a:xfrm>
                          <a:prstGeom prst="triangle">
                            <a:avLst>
                              <a:gd fmla="val 50000" name="adj"/>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8" name="Shape 8"/>
                        <wps:spPr>
                          <a:xfrm>
                            <a:off x="8859300" y="1248300"/>
                            <a:ext cx="1364700" cy="475500"/>
                          </a:xfrm>
                          <a:prstGeom prst="roundRect">
                            <a:avLst>
                              <a:gd fmla="val 16667" name="adj"/>
                            </a:avLst>
                          </a:prstGeom>
                          <a:noFill/>
                          <a:ln cap="flat" cmpd="sng" w="9525">
                            <a:solidFill>
                              <a:srgbClr val="45818E"/>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45818e"/>
                                  <w:sz w:val="28"/>
                                  <w:vertAlign w:val="baseline"/>
                                </w:rPr>
                                <w:t xml:space="preserve">API B</w:t>
                              </w:r>
                            </w:p>
                          </w:txbxContent>
                        </wps:txbx>
                        <wps:bodyPr anchorCtr="0" anchor="ctr" bIns="91425" lIns="91425" spcFirstLastPara="1" rIns="91425" wrap="square" tIns="91425">
                          <a:noAutofit/>
                        </wps:bodyPr>
                      </wps:wsp>
                      <wps:wsp>
                        <wps:cNvSpPr/>
                        <wps:cNvPr id="9" name="Shape 9"/>
                        <wps:spPr>
                          <a:xfrm>
                            <a:off x="5112000" y="1248300"/>
                            <a:ext cx="1364700" cy="475500"/>
                          </a:xfrm>
                          <a:prstGeom prst="roundRect">
                            <a:avLst>
                              <a:gd fmla="val 16667" name="adj"/>
                            </a:avLst>
                          </a:prstGeom>
                          <a:solidFill>
                            <a:srgbClr val="FF00FF"/>
                          </a:solidFill>
                          <a:ln cap="flat" cmpd="sng" w="9525">
                            <a:solidFill>
                              <a:srgbClr val="000000"/>
                            </a:solidFill>
                            <a:prstDash val="lgDash"/>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App A</w:t>
                              </w:r>
                            </w:p>
                          </w:txbxContent>
                        </wps:txbx>
                        <wps:bodyPr anchorCtr="0" anchor="ctr" bIns="91425" lIns="91425" spcFirstLastPara="1" rIns="91425" wrap="square" tIns="91425">
                          <a:noAutofit/>
                        </wps:bodyPr>
                      </wps:wsp>
                      <wps:wsp>
                        <wps:cNvSpPr/>
                        <wps:cNvPr id="10" name="Shape 10"/>
                        <wps:spPr>
                          <a:xfrm>
                            <a:off x="7396200" y="590100"/>
                            <a:ext cx="543600" cy="543600"/>
                          </a:xfrm>
                          <a:prstGeom prst="ellipse">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2</w:t>
                              </w:r>
                            </w:p>
                          </w:txbxContent>
                        </wps:txbx>
                        <wps:bodyPr anchorCtr="0" anchor="ctr" bIns="91425" lIns="91425" spcFirstLastPara="1" rIns="91425" wrap="square" tIns="91425">
                          <a:noAutofit/>
                        </wps:bodyPr>
                      </wps:wsp>
                      <wps:wsp>
                        <wps:cNvSpPr/>
                        <wps:cNvPr id="11" name="Shape 11"/>
                        <wps:spPr>
                          <a:xfrm>
                            <a:off x="4840200" y="1248300"/>
                            <a:ext cx="543600" cy="475500"/>
                          </a:xfrm>
                          <a:prstGeom prst="leftRightArrowCallout">
                            <a:avLst>
                              <a:gd fmla="val 21274" name="adj1"/>
                              <a:gd fmla="val 25000" name="adj2"/>
                              <a:gd fmla="val 28193" name="adj3"/>
                              <a:gd fmla="val 26310" name="adj4"/>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486400" cy="929725"/>
                <wp:effectExtent b="0" l="0" r="0" t="0"/>
                <wp:docPr id="2"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5486400" cy="9297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0">
      <w:pPr>
        <w:ind w:left="0" w:firstLine="0"/>
        <w:rPr/>
      </w:pPr>
      <w:r w:rsidDel="00000000" w:rsidR="00000000" w:rsidRPr="00000000">
        <w:rPr>
          <w:rtl w:val="0"/>
        </w:rPr>
        <w:t xml:space="preserve">Because </w:t>
      </w:r>
      <w:r w:rsidDel="00000000" w:rsidR="00000000" w:rsidRPr="00000000">
        <w:rPr>
          <w:color w:val="ff00ff"/>
          <w:rtl w:val="0"/>
        </w:rPr>
        <w:t xml:space="preserve">API A</w:t>
      </w:r>
      <w:r w:rsidDel="00000000" w:rsidR="00000000" w:rsidRPr="00000000">
        <w:rPr>
          <w:rtl w:val="0"/>
        </w:rPr>
        <w:t xml:space="preserve"> has to act as an application, the PingOne administrator must create an application record in PingOne and pass the client ID and authentication information to the developer of </w:t>
      </w:r>
      <w:r w:rsidDel="00000000" w:rsidR="00000000" w:rsidRPr="00000000">
        <w:rPr>
          <w:color w:val="ff00ff"/>
          <w:rtl w:val="0"/>
        </w:rPr>
        <w:t xml:space="preserve">API A</w:t>
      </w:r>
      <w:r w:rsidDel="00000000" w:rsidR="00000000" w:rsidRPr="00000000">
        <w:rPr>
          <w:rtl w:val="0"/>
        </w:rPr>
        <w:t xml:space="preserve">. </w:t>
      </w:r>
    </w:p>
    <w:p w:rsidR="00000000" w:rsidDel="00000000" w:rsidP="00000000" w:rsidRDefault="00000000" w:rsidRPr="00000000" w14:paraId="00000021">
      <w:pPr>
        <w:rPr>
          <w:color w:val="674ea7"/>
        </w:rPr>
      </w:pPr>
      <w:r w:rsidDel="00000000" w:rsidR="00000000" w:rsidRPr="00000000">
        <w:rPr>
          <w:rtl w:val="0"/>
        </w:rPr>
        <w:t xml:space="preserve">The application record for </w:t>
      </w:r>
      <w:r w:rsidDel="00000000" w:rsidR="00000000" w:rsidRPr="00000000">
        <w:rPr>
          <w:color w:val="ff00ff"/>
          <w:rtl w:val="0"/>
        </w:rPr>
        <w:t xml:space="preserve">API A</w:t>
      </w:r>
      <w:r w:rsidDel="00000000" w:rsidR="00000000" w:rsidRPr="00000000">
        <w:rPr>
          <w:rtl w:val="0"/>
        </w:rPr>
        <w:t xml:space="preserve"> is something like:</w:t>
      </w:r>
      <w:r w:rsidDel="00000000" w:rsidR="00000000" w:rsidRPr="00000000">
        <w:rPr>
          <w:rtl w:val="0"/>
        </w:rPr>
      </w:r>
    </w:p>
    <w:p w:rsidR="00000000" w:rsidDel="00000000" w:rsidP="00000000" w:rsidRDefault="00000000" w:rsidRPr="00000000" w14:paraId="00000022">
      <w:pPr>
        <w:numPr>
          <w:ilvl w:val="0"/>
          <w:numId w:val="3"/>
        </w:numPr>
        <w:spacing w:after="0" w:afterAutospacing="0"/>
        <w:ind w:left="720" w:hanging="360"/>
      </w:pPr>
      <w:r w:rsidDel="00000000" w:rsidR="00000000" w:rsidRPr="00000000">
        <w:rPr>
          <w:rtl w:val="0"/>
        </w:rPr>
        <w:t xml:space="preserve">Name: </w:t>
      </w:r>
      <w:r w:rsidDel="00000000" w:rsidR="00000000" w:rsidRPr="00000000">
        <w:rPr>
          <w:highlight w:val="magenta"/>
          <w:rtl w:val="0"/>
        </w:rPr>
        <w:t xml:space="preserve">App A</w:t>
      </w:r>
    </w:p>
    <w:p w:rsidR="00000000" w:rsidDel="00000000" w:rsidP="00000000" w:rsidRDefault="00000000" w:rsidRPr="00000000" w14:paraId="00000023">
      <w:pPr>
        <w:numPr>
          <w:ilvl w:val="0"/>
          <w:numId w:val="3"/>
        </w:numPr>
        <w:spacing w:after="0" w:afterAutospacing="0"/>
        <w:ind w:left="720" w:hanging="360"/>
      </w:pPr>
      <w:r w:rsidDel="00000000" w:rsidR="00000000" w:rsidRPr="00000000">
        <w:rPr>
          <w:rtl w:val="0"/>
        </w:rPr>
        <w:t xml:space="preserve">Client ID: &lt;the client ID of </w:t>
      </w:r>
      <w:r w:rsidDel="00000000" w:rsidR="00000000" w:rsidRPr="00000000">
        <w:rPr>
          <w:highlight w:val="magenta"/>
          <w:rtl w:val="0"/>
        </w:rPr>
        <w:t xml:space="preserve">App A</w:t>
      </w:r>
      <w:r w:rsidDel="00000000" w:rsidR="00000000" w:rsidRPr="00000000">
        <w:rPr>
          <w:rtl w:val="0"/>
        </w:rPr>
        <w:t xml:space="preserve">&gt;</w:t>
      </w:r>
    </w:p>
    <w:p w:rsidR="00000000" w:rsidDel="00000000" w:rsidP="00000000" w:rsidRDefault="00000000" w:rsidRPr="00000000" w14:paraId="00000024">
      <w:pPr>
        <w:numPr>
          <w:ilvl w:val="0"/>
          <w:numId w:val="3"/>
        </w:numPr>
        <w:spacing w:after="0" w:afterAutospacing="0"/>
        <w:ind w:left="720" w:hanging="360"/>
      </w:pPr>
      <w:r w:rsidDel="00000000" w:rsidR="00000000" w:rsidRPr="00000000">
        <w:rPr>
          <w:rtl w:val="0"/>
        </w:rPr>
        <w:t xml:space="preserve">Enabled g</w:t>
      </w:r>
      <w:r w:rsidDel="00000000" w:rsidR="00000000" w:rsidRPr="00000000">
        <w:rPr>
          <w:rtl w:val="0"/>
        </w:rPr>
        <w:t xml:space="preserve">rant type: Token Exchange</w:t>
      </w:r>
    </w:p>
    <w:p w:rsidR="00000000" w:rsidDel="00000000" w:rsidP="00000000" w:rsidRDefault="00000000" w:rsidRPr="00000000" w14:paraId="00000025">
      <w:pPr>
        <w:numPr>
          <w:ilvl w:val="0"/>
          <w:numId w:val="3"/>
        </w:numPr>
        <w:ind w:left="720" w:hanging="360"/>
      </w:pPr>
      <w:r w:rsidDel="00000000" w:rsidR="00000000" w:rsidRPr="00000000">
        <w:rPr>
          <w:rtl w:val="0"/>
        </w:rPr>
        <w:t xml:space="preserve">Allowed scopes: openid &lt;scopes from </w:t>
      </w:r>
      <w:r w:rsidDel="00000000" w:rsidR="00000000" w:rsidRPr="00000000">
        <w:rPr>
          <w:color w:val="45818e"/>
          <w:rtl w:val="0"/>
        </w:rPr>
        <w:t xml:space="preserve">API B</w:t>
      </w:r>
      <w:r w:rsidDel="00000000" w:rsidR="00000000" w:rsidRPr="00000000">
        <w:rPr>
          <w:rtl w:val="0"/>
        </w:rPr>
        <w:t xml:space="preserve"> such as B.r&gt;</w:t>
      </w:r>
    </w:p>
    <w:p w:rsidR="00000000" w:rsidDel="00000000" w:rsidP="00000000" w:rsidRDefault="00000000" w:rsidRPr="00000000" w14:paraId="00000026">
      <w:pPr>
        <w:ind w:left="0" w:firstLine="0"/>
        <w:rPr/>
      </w:pPr>
      <w:r w:rsidDel="00000000" w:rsidR="00000000" w:rsidRPr="00000000">
        <w:rPr>
          <w:rtl w:val="0"/>
        </w:rPr>
        <w:t xml:space="preserve">The developer of</w:t>
      </w:r>
      <w:r w:rsidDel="00000000" w:rsidR="00000000" w:rsidRPr="00000000">
        <w:rPr>
          <w:color w:val="674ea7"/>
          <w:rtl w:val="0"/>
        </w:rPr>
        <w:t xml:space="preserve"> </w:t>
      </w:r>
      <w:r w:rsidDel="00000000" w:rsidR="00000000" w:rsidRPr="00000000">
        <w:rPr>
          <w:color w:val="ff00ff"/>
          <w:rtl w:val="0"/>
        </w:rPr>
        <w:t xml:space="preserve">API A</w:t>
      </w:r>
      <w:r w:rsidDel="00000000" w:rsidR="00000000" w:rsidRPr="00000000">
        <w:rPr>
          <w:rtl w:val="0"/>
        </w:rPr>
        <w:t xml:space="preserve"> needs the information to construct the token exchange request to be sent to PingOne to get an access token to access data from </w:t>
      </w:r>
      <w:r w:rsidDel="00000000" w:rsidR="00000000" w:rsidRPr="00000000">
        <w:rPr>
          <w:color w:val="45818e"/>
          <w:rtl w:val="0"/>
        </w:rPr>
        <w:t xml:space="preserve">API B</w:t>
      </w:r>
      <w:r w:rsidDel="00000000" w:rsidR="00000000" w:rsidRPr="00000000">
        <w:rPr>
          <w:rtl w:val="0"/>
        </w:rPr>
        <w:t xml:space="preserve">. Essentially, when </w:t>
      </w:r>
      <w:r w:rsidDel="00000000" w:rsidR="00000000" w:rsidRPr="00000000">
        <w:rPr>
          <w:color w:val="ff00ff"/>
          <w:rtl w:val="0"/>
        </w:rPr>
        <w:t xml:space="preserve">API A</w:t>
      </w:r>
      <w:r w:rsidDel="00000000" w:rsidR="00000000" w:rsidRPr="00000000">
        <w:rPr>
          <w:rtl w:val="0"/>
        </w:rPr>
        <w:t xml:space="preserve"> needs to send a token exchange request, it must do so as an application based on the information defined in the application record of </w:t>
      </w:r>
      <w:r w:rsidDel="00000000" w:rsidR="00000000" w:rsidRPr="00000000">
        <w:rPr>
          <w:highlight w:val="magenta"/>
          <w:rtl w:val="0"/>
        </w:rPr>
        <w:t xml:space="preserve">App A</w:t>
      </w:r>
      <w:r w:rsidDel="00000000" w:rsidR="00000000" w:rsidRPr="00000000">
        <w:rPr>
          <w:rtl w:val="0"/>
        </w:rPr>
        <w:t xml:space="preserve">. </w:t>
      </w:r>
    </w:p>
    <w:p w:rsidR="00000000" w:rsidDel="00000000" w:rsidP="00000000" w:rsidRDefault="00000000" w:rsidRPr="00000000" w14:paraId="00000027">
      <w:pPr>
        <w:rPr/>
      </w:pPr>
      <w:r w:rsidDel="00000000" w:rsidR="00000000" w:rsidRPr="00000000">
        <w:rPr>
          <w:rtl w:val="0"/>
        </w:rPr>
        <w:t xml:space="preserve">Sample flow of things</w:t>
      </w:r>
    </w:p>
    <w:p w:rsidR="00000000" w:rsidDel="00000000" w:rsidP="00000000" w:rsidRDefault="00000000" w:rsidRPr="00000000" w14:paraId="00000028">
      <w:pPr>
        <w:numPr>
          <w:ilvl w:val="0"/>
          <w:numId w:val="4"/>
        </w:numPr>
        <w:spacing w:after="0" w:afterAutospacing="0"/>
        <w:ind w:left="720" w:hanging="360"/>
      </w:pPr>
      <w:r w:rsidDel="00000000" w:rsidR="00000000" w:rsidRPr="00000000">
        <w:rPr>
          <w:shd w:fill="ff9900" w:val="clear"/>
          <w:rtl w:val="0"/>
        </w:rPr>
        <w:t xml:space="preserve">App X</w:t>
      </w:r>
      <w:r w:rsidDel="00000000" w:rsidR="00000000" w:rsidRPr="00000000">
        <w:rPr>
          <w:rtl w:val="0"/>
        </w:rPr>
        <w:t xml:space="preserve"> obtains an access token for the purpose of accessing </w:t>
      </w:r>
      <w:r w:rsidDel="00000000" w:rsidR="00000000" w:rsidRPr="00000000">
        <w:rPr>
          <w:color w:val="ff00ff"/>
          <w:rtl w:val="0"/>
        </w:rPr>
        <w:t xml:space="preserve">API A</w:t>
      </w:r>
      <w:r w:rsidDel="00000000" w:rsidR="00000000" w:rsidRPr="00000000">
        <w:rPr>
          <w:rtl w:val="0"/>
        </w:rPr>
        <w:t xml:space="preserve"> and then sends a request to </w:t>
      </w:r>
      <w:r w:rsidDel="00000000" w:rsidR="00000000" w:rsidRPr="00000000">
        <w:rPr>
          <w:color w:val="ff00ff"/>
          <w:rtl w:val="0"/>
        </w:rPr>
        <w:t xml:space="preserve">API A</w:t>
      </w:r>
      <w:r w:rsidDel="00000000" w:rsidR="00000000" w:rsidRPr="00000000">
        <w:rPr>
          <w:rtl w:val="0"/>
        </w:rPr>
        <w:t xml:space="preserve"> to get data M. </w:t>
      </w:r>
    </w:p>
    <w:p w:rsidR="00000000" w:rsidDel="00000000" w:rsidP="00000000" w:rsidRDefault="00000000" w:rsidRPr="00000000" w14:paraId="00000029">
      <w:pPr>
        <w:numPr>
          <w:ilvl w:val="0"/>
          <w:numId w:val="4"/>
        </w:numPr>
        <w:spacing w:after="0" w:afterAutospacing="0"/>
        <w:ind w:left="720" w:hanging="360"/>
      </w:pPr>
      <w:r w:rsidDel="00000000" w:rsidR="00000000" w:rsidRPr="00000000">
        <w:rPr>
          <w:color w:val="ff00ff"/>
          <w:rtl w:val="0"/>
        </w:rPr>
        <w:t xml:space="preserve">API A</w:t>
      </w:r>
      <w:r w:rsidDel="00000000" w:rsidR="00000000" w:rsidRPr="00000000">
        <w:rPr>
          <w:rtl w:val="0"/>
        </w:rPr>
        <w:t xml:space="preserve"> realizes that it needs data N from </w:t>
      </w:r>
      <w:r w:rsidDel="00000000" w:rsidR="00000000" w:rsidRPr="00000000">
        <w:rPr>
          <w:color w:val="45818e"/>
          <w:rtl w:val="0"/>
        </w:rPr>
        <w:t xml:space="preserve">API B</w:t>
      </w:r>
      <w:r w:rsidDel="00000000" w:rsidR="00000000" w:rsidRPr="00000000">
        <w:rPr>
          <w:rtl w:val="0"/>
        </w:rPr>
        <w:t xml:space="preserve"> to fulfill the request it receives from </w:t>
      </w:r>
      <w:r w:rsidDel="00000000" w:rsidR="00000000" w:rsidRPr="00000000">
        <w:rPr>
          <w:shd w:fill="ff9900" w:val="clear"/>
          <w:rtl w:val="0"/>
        </w:rPr>
        <w:t xml:space="preserve">App X</w:t>
      </w:r>
      <w:r w:rsidDel="00000000" w:rsidR="00000000" w:rsidRPr="00000000">
        <w:rPr>
          <w:rtl w:val="0"/>
        </w:rPr>
        <w:t xml:space="preserve">. </w:t>
      </w:r>
    </w:p>
    <w:p w:rsidR="00000000" w:rsidDel="00000000" w:rsidP="00000000" w:rsidRDefault="00000000" w:rsidRPr="00000000" w14:paraId="0000002A">
      <w:pPr>
        <w:numPr>
          <w:ilvl w:val="0"/>
          <w:numId w:val="4"/>
        </w:numPr>
        <w:spacing w:after="0" w:afterAutospacing="0"/>
        <w:ind w:left="720" w:hanging="360"/>
      </w:pPr>
      <w:r w:rsidDel="00000000" w:rsidR="00000000" w:rsidRPr="00000000">
        <w:rPr>
          <w:color w:val="ff00ff"/>
          <w:rtl w:val="0"/>
        </w:rPr>
        <w:t xml:space="preserve">API A</w:t>
      </w:r>
      <w:r w:rsidDel="00000000" w:rsidR="00000000" w:rsidRPr="00000000">
        <w:rPr>
          <w:rtl w:val="0"/>
        </w:rPr>
        <w:t xml:space="preserve"> now has to act as an application to obtain an access token for the purpose of accessing data N from </w:t>
      </w:r>
      <w:r w:rsidDel="00000000" w:rsidR="00000000" w:rsidRPr="00000000">
        <w:rPr>
          <w:color w:val="45818e"/>
          <w:rtl w:val="0"/>
        </w:rPr>
        <w:t xml:space="preserve">API B</w:t>
      </w:r>
      <w:r w:rsidDel="00000000" w:rsidR="00000000" w:rsidRPr="00000000">
        <w:rPr>
          <w:rtl w:val="0"/>
        </w:rPr>
        <w:t xml:space="preserve"> using the token exchange grant type. </w:t>
      </w:r>
    </w:p>
    <w:p w:rsidR="00000000" w:rsidDel="00000000" w:rsidP="00000000" w:rsidRDefault="00000000" w:rsidRPr="00000000" w14:paraId="0000002B">
      <w:pPr>
        <w:numPr>
          <w:ilvl w:val="0"/>
          <w:numId w:val="4"/>
        </w:numPr>
        <w:spacing w:after="0" w:afterAutospacing="0"/>
        <w:ind w:left="720" w:hanging="360"/>
        <w:rPr>
          <w:u w:val="none"/>
        </w:rPr>
      </w:pPr>
      <w:r w:rsidDel="00000000" w:rsidR="00000000" w:rsidRPr="00000000">
        <w:rPr>
          <w:highlight w:val="magenta"/>
          <w:rtl w:val="0"/>
        </w:rPr>
        <w:t xml:space="preserve">App A</w:t>
      </w:r>
      <w:r w:rsidDel="00000000" w:rsidR="00000000" w:rsidRPr="00000000">
        <w:rPr>
          <w:rtl w:val="0"/>
        </w:rPr>
        <w:t xml:space="preserve"> sends a </w:t>
      </w:r>
      <w:r w:rsidDel="00000000" w:rsidR="00000000" w:rsidRPr="00000000">
        <w:rPr>
          <w:b w:val="1"/>
          <w:bCs w:val="1"/>
          <w:rtl w:val="0"/>
        </w:rPr>
        <w:t xml:space="preserve">Token Exchange token request</w:t>
      </w:r>
      <w:r w:rsidDel="00000000" w:rsidR="00000000" w:rsidRPr="00000000">
        <w:rPr>
          <w:rtl w:val="0"/>
        </w:rPr>
        <w:t xml:space="preserve"> to PingOne. </w:t>
      </w:r>
      <w:r w:rsidDel="00000000" w:rsidR="00000000" w:rsidRPr="00000000">
        <w:rPr>
          <w:rtl w:val="0"/>
        </w:rPr>
      </w:r>
    </w:p>
    <w:p w:rsidR="00000000" w:rsidDel="00000000" w:rsidP="00000000" w:rsidRDefault="00000000" w:rsidRPr="00000000" w14:paraId="0000002C">
      <w:pPr>
        <w:numPr>
          <w:ilvl w:val="1"/>
          <w:numId w:val="4"/>
        </w:numPr>
        <w:spacing w:after="0" w:afterAutospacing="0"/>
        <w:ind w:left="1440" w:hanging="360"/>
      </w:pPr>
      <w:r w:rsidDel="00000000" w:rsidR="00000000" w:rsidRPr="00000000">
        <w:rPr>
          <w:rtl w:val="0"/>
        </w:rPr>
        <w:t xml:space="preserve">Client ID: &lt;the client ID of </w:t>
      </w:r>
      <w:r w:rsidDel="00000000" w:rsidR="00000000" w:rsidRPr="00000000">
        <w:rPr>
          <w:highlight w:val="magenta"/>
          <w:rtl w:val="0"/>
        </w:rPr>
        <w:t xml:space="preserve">App A</w:t>
      </w:r>
      <w:r w:rsidDel="00000000" w:rsidR="00000000" w:rsidRPr="00000000">
        <w:rPr>
          <w:rtl w:val="0"/>
        </w:rPr>
        <w:t xml:space="preserve">&gt;</w:t>
      </w:r>
    </w:p>
    <w:p w:rsidR="00000000" w:rsidDel="00000000" w:rsidP="00000000" w:rsidRDefault="00000000" w:rsidRPr="00000000" w14:paraId="0000002D">
      <w:pPr>
        <w:numPr>
          <w:ilvl w:val="1"/>
          <w:numId w:val="4"/>
        </w:numPr>
        <w:spacing w:after="0" w:afterAutospacing="0"/>
        <w:ind w:left="1440" w:hanging="360"/>
      </w:pPr>
      <w:r w:rsidDel="00000000" w:rsidR="00000000" w:rsidRPr="00000000">
        <w:rPr>
          <w:rtl w:val="0"/>
        </w:rPr>
        <w:t xml:space="preserve">Subject token: the access token from step 1</w:t>
      </w:r>
    </w:p>
    <w:p w:rsidR="00000000" w:rsidDel="00000000" w:rsidP="00000000" w:rsidRDefault="00000000" w:rsidRPr="00000000" w14:paraId="0000002E">
      <w:pPr>
        <w:numPr>
          <w:ilvl w:val="1"/>
          <w:numId w:val="4"/>
        </w:numPr>
        <w:spacing w:after="0" w:afterAutospacing="0"/>
        <w:ind w:left="1440" w:hanging="360"/>
      </w:pPr>
      <w:r w:rsidDel="00000000" w:rsidR="00000000" w:rsidRPr="00000000">
        <w:rPr>
          <w:rtl w:val="0"/>
        </w:rPr>
        <w:t xml:space="preserve">Actor token: none</w:t>
      </w:r>
    </w:p>
    <w:p w:rsidR="00000000" w:rsidDel="00000000" w:rsidP="00000000" w:rsidRDefault="00000000" w:rsidRPr="00000000" w14:paraId="0000002F">
      <w:pPr>
        <w:numPr>
          <w:ilvl w:val="1"/>
          <w:numId w:val="4"/>
        </w:numPr>
        <w:spacing w:after="0" w:afterAutospacing="0"/>
        <w:ind w:left="1440" w:hanging="360"/>
      </w:pPr>
      <w:r w:rsidDel="00000000" w:rsidR="00000000" w:rsidRPr="00000000">
        <w:rPr>
          <w:rtl w:val="0"/>
        </w:rPr>
        <w:t xml:space="preserve">Scope parameter value: B.r</w:t>
      </w:r>
    </w:p>
    <w:p w:rsidR="00000000" w:rsidDel="00000000" w:rsidP="00000000" w:rsidRDefault="00000000" w:rsidRPr="00000000" w14:paraId="00000030">
      <w:pPr>
        <w:numPr>
          <w:ilvl w:val="0"/>
          <w:numId w:val="4"/>
        </w:numPr>
        <w:spacing w:after="0" w:afterAutospacing="0"/>
        <w:ind w:left="720" w:hanging="360"/>
      </w:pPr>
      <w:r w:rsidDel="00000000" w:rsidR="00000000" w:rsidRPr="00000000">
        <w:rPr>
          <w:highlight w:val="magenta"/>
          <w:rtl w:val="0"/>
        </w:rPr>
        <w:t xml:space="preserve">App A</w:t>
      </w:r>
      <w:r w:rsidDel="00000000" w:rsidR="00000000" w:rsidRPr="00000000">
        <w:rPr>
          <w:rtl w:val="0"/>
        </w:rPr>
        <w:t xml:space="preserve"> gets a </w:t>
      </w:r>
      <w:r w:rsidDel="00000000" w:rsidR="00000000" w:rsidRPr="00000000">
        <w:rPr>
          <w:b w:val="1"/>
          <w:bCs w:val="1"/>
          <w:rtl w:val="0"/>
        </w:rPr>
        <w:t xml:space="preserve">Token Exchange token response</w:t>
      </w:r>
      <w:r w:rsidDel="00000000" w:rsidR="00000000" w:rsidRPr="00000000">
        <w:rPr>
          <w:rtl w:val="0"/>
        </w:rPr>
        <w:t xml:space="preserve"> from PingOne</w:t>
      </w:r>
      <w:r w:rsidDel="00000000" w:rsidR="00000000" w:rsidRPr="00000000">
        <w:rPr>
          <w:rtl w:val="0"/>
        </w:rPr>
        <w:t xml:space="preserve">. </w:t>
      </w:r>
    </w:p>
    <w:p w:rsidR="00000000" w:rsidDel="00000000" w:rsidP="00000000" w:rsidRDefault="00000000" w:rsidRPr="00000000" w14:paraId="00000031">
      <w:pPr>
        <w:numPr>
          <w:ilvl w:val="1"/>
          <w:numId w:val="4"/>
        </w:numPr>
        <w:spacing w:after="0" w:afterAutospacing="0"/>
        <w:ind w:left="1440" w:hanging="360"/>
      </w:pPr>
      <w:r w:rsidDel="00000000" w:rsidR="00000000" w:rsidRPr="00000000">
        <w:rPr>
          <w:rtl w:val="0"/>
        </w:rPr>
        <w:t xml:space="preserve">Issue token: an access token to access </w:t>
      </w:r>
      <w:r w:rsidDel="00000000" w:rsidR="00000000" w:rsidRPr="00000000">
        <w:rPr>
          <w:color w:val="45818e"/>
          <w:rtl w:val="0"/>
        </w:rPr>
        <w:t xml:space="preserve">API B</w:t>
      </w:r>
      <w:r w:rsidDel="00000000" w:rsidR="00000000" w:rsidRPr="00000000">
        <w:rPr>
          <w:rtl w:val="0"/>
        </w:rPr>
        <w:t xml:space="preserve"> </w:t>
      </w:r>
    </w:p>
    <w:p w:rsidR="00000000" w:rsidDel="00000000" w:rsidP="00000000" w:rsidRDefault="00000000" w:rsidRPr="00000000" w14:paraId="00000032">
      <w:pPr>
        <w:numPr>
          <w:ilvl w:val="2"/>
          <w:numId w:val="4"/>
        </w:numPr>
        <w:spacing w:after="0" w:afterAutospacing="0"/>
        <w:ind w:left="2160" w:hanging="360"/>
      </w:pPr>
      <w:r w:rsidDel="00000000" w:rsidR="00000000" w:rsidRPr="00000000">
        <w:rPr>
          <w:rtl w:val="0"/>
        </w:rPr>
        <w:t xml:space="preserve">This access token is issued to </w:t>
      </w:r>
      <w:r w:rsidDel="00000000" w:rsidR="00000000" w:rsidRPr="00000000">
        <w:rPr>
          <w:highlight w:val="magenta"/>
          <w:rtl w:val="0"/>
        </w:rPr>
        <w:t xml:space="preserve">App A</w:t>
      </w:r>
      <w:r w:rsidDel="00000000" w:rsidR="00000000" w:rsidRPr="00000000">
        <w:rPr>
          <w:rtl w:val="0"/>
        </w:rPr>
        <w:t xml:space="preserve"> and is scoped with B.r </w:t>
      </w:r>
    </w:p>
    <w:p w:rsidR="00000000" w:rsidDel="00000000" w:rsidP="00000000" w:rsidRDefault="00000000" w:rsidRPr="00000000" w14:paraId="00000033">
      <w:pPr>
        <w:numPr>
          <w:ilvl w:val="0"/>
          <w:numId w:val="4"/>
        </w:numPr>
        <w:spacing w:after="0" w:afterAutospacing="0"/>
        <w:ind w:left="720" w:hanging="360"/>
      </w:pPr>
      <w:r w:rsidDel="00000000" w:rsidR="00000000" w:rsidRPr="00000000">
        <w:rPr>
          <w:highlight w:val="magenta"/>
          <w:rtl w:val="0"/>
        </w:rPr>
        <w:t xml:space="preserve">App A</w:t>
      </w:r>
      <w:r w:rsidDel="00000000" w:rsidR="00000000" w:rsidRPr="00000000">
        <w:rPr>
          <w:rtl w:val="0"/>
        </w:rPr>
        <w:t xml:space="preserve"> sends a request to </w:t>
      </w:r>
      <w:r w:rsidDel="00000000" w:rsidR="00000000" w:rsidRPr="00000000">
        <w:rPr>
          <w:color w:val="45818e"/>
          <w:rtl w:val="0"/>
        </w:rPr>
        <w:t xml:space="preserve">API B</w:t>
      </w:r>
      <w:r w:rsidDel="00000000" w:rsidR="00000000" w:rsidRPr="00000000">
        <w:rPr>
          <w:rtl w:val="0"/>
        </w:rPr>
        <w:t xml:space="preserve"> to get data N.  </w:t>
      </w:r>
    </w:p>
    <w:p w:rsidR="00000000" w:rsidDel="00000000" w:rsidP="00000000" w:rsidRDefault="00000000" w:rsidRPr="00000000" w14:paraId="00000034">
      <w:pPr>
        <w:numPr>
          <w:ilvl w:val="0"/>
          <w:numId w:val="4"/>
        </w:numPr>
        <w:ind w:left="720" w:hanging="360"/>
      </w:pPr>
      <w:r w:rsidDel="00000000" w:rsidR="00000000" w:rsidRPr="00000000">
        <w:rPr>
          <w:rtl w:val="0"/>
        </w:rPr>
        <w:t xml:space="preserve">When </w:t>
      </w:r>
      <w:r w:rsidDel="00000000" w:rsidR="00000000" w:rsidRPr="00000000">
        <w:rPr>
          <w:highlight w:val="magenta"/>
          <w:rtl w:val="0"/>
        </w:rPr>
        <w:t xml:space="preserve">App A</w:t>
      </w:r>
      <w:r w:rsidDel="00000000" w:rsidR="00000000" w:rsidRPr="00000000">
        <w:rPr>
          <w:rtl w:val="0"/>
        </w:rPr>
        <w:t xml:space="preserve"> (i.e. </w:t>
      </w:r>
      <w:r w:rsidDel="00000000" w:rsidR="00000000" w:rsidRPr="00000000">
        <w:rPr>
          <w:color w:val="ff00ff"/>
          <w:rtl w:val="0"/>
        </w:rPr>
        <w:t xml:space="preserve">API A</w:t>
      </w:r>
      <w:r w:rsidDel="00000000" w:rsidR="00000000" w:rsidRPr="00000000">
        <w:rPr>
          <w:rtl w:val="0"/>
        </w:rPr>
        <w:t xml:space="preserve">) gets data N, it constructs and returns data M to </w:t>
      </w:r>
      <w:r w:rsidDel="00000000" w:rsidR="00000000" w:rsidRPr="00000000">
        <w:rPr>
          <w:shd w:fill="ff9900" w:val="clear"/>
          <w:rtl w:val="0"/>
        </w:rPr>
        <w:t xml:space="preserve">App X</w:t>
      </w:r>
      <w:r w:rsidDel="00000000" w:rsidR="00000000" w:rsidRPr="00000000">
        <w:rPr>
          <w:rtl w:val="0"/>
        </w:rPr>
        <w:t xml:space="preserve">. </w:t>
      </w:r>
    </w:p>
    <w:p w:rsidR="00000000" w:rsidDel="00000000" w:rsidP="00000000" w:rsidRDefault="00000000" w:rsidRPr="00000000" w14:paraId="00000035">
      <w:pPr>
        <w:pStyle w:val="Heading1"/>
        <w:rPr/>
      </w:pPr>
      <w:bookmarkStart w:colFirst="0" w:colLast="0" w:name="_gknh9oc5970b" w:id="7"/>
      <w:bookmarkEnd w:id="7"/>
      <w:r w:rsidDel="00000000" w:rsidR="00000000" w:rsidRPr="00000000">
        <w:rPr>
          <w:rtl w:val="0"/>
        </w:rPr>
        <w:t xml:space="preserve">Release planning</w:t>
      </w:r>
    </w:p>
    <w:p w:rsidR="00000000" w:rsidDel="00000000" w:rsidP="00000000" w:rsidRDefault="00000000" w:rsidRPr="00000000" w14:paraId="00000036">
      <w:pPr>
        <w:rPr/>
      </w:pPr>
      <w:r w:rsidDel="00000000" w:rsidR="00000000" w:rsidRPr="00000000">
        <w:rPr>
          <w:rtl w:val="0"/>
        </w:rPr>
        <w:t xml:space="preserve">We intend to deliver Token Exchange Phase 1 by the end of 2026 Q1. We will continue to improve it in multiple phases thereafter. </w:t>
      </w:r>
    </w:p>
    <w:p w:rsidR="00000000" w:rsidDel="00000000" w:rsidP="00000000" w:rsidRDefault="00000000" w:rsidRPr="00000000" w14:paraId="00000037">
      <w:pPr>
        <w:pStyle w:val="Heading2"/>
        <w:rPr/>
      </w:pPr>
      <w:bookmarkStart w:colFirst="0" w:colLast="0" w:name="_5juktksqs7l6" w:id="8"/>
      <w:bookmarkEnd w:id="8"/>
      <w:r w:rsidDel="00000000" w:rsidR="00000000" w:rsidRPr="00000000">
        <w:rPr>
          <w:rtl w:val="0"/>
        </w:rPr>
        <w:t xml:space="preserve">Phase 1 coverage</w:t>
      </w:r>
    </w:p>
    <w:p w:rsidR="00000000" w:rsidDel="00000000" w:rsidP="00000000" w:rsidRDefault="00000000" w:rsidRPr="00000000" w14:paraId="00000038">
      <w:pPr>
        <w:rPr/>
      </w:pPr>
      <w:r w:rsidDel="00000000" w:rsidR="00000000" w:rsidRPr="00000000">
        <w:rPr>
          <w:rtl w:val="0"/>
        </w:rPr>
        <w:t xml:space="preserve">Token Exchange is a new grant type. No application is allowed to use the Token Exchange grant type until an administrator enables it explicitly. </w:t>
      </w:r>
    </w:p>
    <w:p w:rsidR="00000000" w:rsidDel="00000000" w:rsidP="00000000" w:rsidRDefault="00000000" w:rsidRPr="00000000" w14:paraId="00000039">
      <w:pPr>
        <w:rPr/>
      </w:pPr>
      <w:r w:rsidDel="00000000" w:rsidR="00000000" w:rsidRPr="00000000">
        <w:rPr>
          <w:rtl w:val="0"/>
        </w:rPr>
        <w:t xml:space="preserve">For the </w:t>
      </w:r>
      <w:r w:rsidDel="00000000" w:rsidR="00000000" w:rsidRPr="00000000">
        <w:rPr>
          <w:rFonts w:ascii="Roboto Mono" w:cs="Roboto Mono" w:eastAsia="Roboto Mono" w:hAnsi="Roboto Mono"/>
          <w:color w:val="188038"/>
          <w:rtl w:val="0"/>
        </w:rPr>
        <w:t xml:space="preserve">subject_token</w:t>
      </w:r>
      <w:r w:rsidDel="00000000" w:rsidR="00000000" w:rsidRPr="00000000">
        <w:rPr>
          <w:rtl w:val="0"/>
        </w:rPr>
        <w:t xml:space="preserve"> or the </w:t>
      </w:r>
      <w:r w:rsidDel="00000000" w:rsidR="00000000" w:rsidRPr="00000000">
        <w:rPr>
          <w:rFonts w:ascii="Roboto Mono" w:cs="Roboto Mono" w:eastAsia="Roboto Mono" w:hAnsi="Roboto Mono"/>
          <w:color w:val="188038"/>
          <w:rtl w:val="0"/>
        </w:rPr>
        <w:t xml:space="preserve">actor_token</w:t>
      </w:r>
      <w:r w:rsidDel="00000000" w:rsidR="00000000" w:rsidRPr="00000000">
        <w:rPr>
          <w:rtl w:val="0"/>
        </w:rPr>
        <w:t xml:space="preserve">, a PingOne environment accepts an access token or an ID token it previously issued. In other words, it must be a token from the same environment. A token from another PingOne environment (regardless of whether it is under the same organization, or not) or an external authorization server is not supported. The token must be valid; for example, the token has not expired, the digital signature is valid, etc.</w:t>
      </w:r>
    </w:p>
    <w:p w:rsidR="00000000" w:rsidDel="00000000" w:rsidP="00000000" w:rsidRDefault="00000000" w:rsidRPr="00000000" w14:paraId="0000003A">
      <w:pPr>
        <w:rPr/>
      </w:pPr>
      <w:r w:rsidDel="00000000" w:rsidR="00000000" w:rsidRPr="00000000">
        <w:rPr>
          <w:rtl w:val="0"/>
        </w:rPr>
        <w:t xml:space="preserve">For the </w:t>
      </w:r>
      <w:r w:rsidDel="00000000" w:rsidR="00000000" w:rsidRPr="00000000">
        <w:rPr>
          <w:rFonts w:ascii="Roboto Mono" w:cs="Roboto Mono" w:eastAsia="Roboto Mono" w:hAnsi="Roboto Mono"/>
          <w:color w:val="188038"/>
          <w:rtl w:val="0"/>
        </w:rPr>
        <w:t xml:space="preserve">requested_token_type</w:t>
      </w:r>
      <w:r w:rsidDel="00000000" w:rsidR="00000000" w:rsidRPr="00000000">
        <w:rPr>
          <w:rtl w:val="0"/>
        </w:rPr>
        <w:t xml:space="preserve">, PingOne supports </w:t>
      </w:r>
      <w:r w:rsidDel="00000000" w:rsidR="00000000" w:rsidRPr="00000000">
        <w:rPr>
          <w:rFonts w:ascii="Roboto Mono" w:cs="Roboto Mono" w:eastAsia="Roboto Mono" w:hAnsi="Roboto Mono"/>
          <w:color w:val="188038"/>
          <w:rtl w:val="0"/>
        </w:rPr>
        <w:t xml:space="preserve">urn:ietf:params:oauth:token-type:access_token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urn:ietf:params:oauth:token-type:id_token</w:t>
      </w:r>
      <w:r w:rsidDel="00000000" w:rsidR="00000000" w:rsidRPr="00000000">
        <w:rPr>
          <w:rtl w:val="0"/>
        </w:rPr>
        <w:t xml:space="preserve">. For the former, the </w:t>
      </w:r>
      <w:r w:rsidDel="00000000" w:rsidR="00000000" w:rsidRPr="00000000">
        <w:rPr>
          <w:rFonts w:ascii="Roboto Mono" w:cs="Roboto Mono" w:eastAsia="Roboto Mono" w:hAnsi="Roboto Mono"/>
          <w:color w:val="188038"/>
          <w:rtl w:val="0"/>
        </w:rPr>
        <w:t xml:space="preserve">access_token</w:t>
      </w:r>
      <w:r w:rsidDel="00000000" w:rsidR="00000000" w:rsidRPr="00000000">
        <w:rPr>
          <w:rtl w:val="0"/>
        </w:rPr>
        <w:t xml:space="preserve"> in the </w:t>
      </w:r>
      <w:hyperlink r:id="rId10">
        <w:r w:rsidDel="00000000" w:rsidR="00000000" w:rsidRPr="00000000">
          <w:rPr>
            <w:color w:val="1155cc"/>
            <w:u w:val="single"/>
            <w:rtl w:val="0"/>
          </w:rPr>
          <w:t xml:space="preserve">token response</w:t>
        </w:r>
      </w:hyperlink>
      <w:r w:rsidDel="00000000" w:rsidR="00000000" w:rsidRPr="00000000">
        <w:rPr>
          <w:rtl w:val="0"/>
        </w:rPr>
        <w:t xml:space="preserve"> is an access token intended for one or more custom resources. For the latter, the </w:t>
      </w:r>
      <w:r w:rsidDel="00000000" w:rsidR="00000000" w:rsidRPr="00000000">
        <w:rPr>
          <w:rFonts w:ascii="Roboto Mono" w:cs="Roboto Mono" w:eastAsia="Roboto Mono" w:hAnsi="Roboto Mono"/>
          <w:color w:val="188038"/>
          <w:rtl w:val="0"/>
        </w:rPr>
        <w:t xml:space="preserve">access_token</w:t>
      </w:r>
      <w:r w:rsidDel="00000000" w:rsidR="00000000" w:rsidRPr="00000000">
        <w:rPr>
          <w:rtl w:val="0"/>
        </w:rPr>
        <w:t xml:space="preserve"> in the </w:t>
      </w:r>
      <w:hyperlink r:id="rId11">
        <w:r w:rsidDel="00000000" w:rsidR="00000000" w:rsidRPr="00000000">
          <w:rPr>
            <w:color w:val="1155cc"/>
            <w:u w:val="single"/>
            <w:rtl w:val="0"/>
          </w:rPr>
          <w:t xml:space="preserve">token response</w:t>
        </w:r>
      </w:hyperlink>
      <w:r w:rsidDel="00000000" w:rsidR="00000000" w:rsidRPr="00000000">
        <w:rPr>
          <w:rtl w:val="0"/>
        </w:rPr>
        <w:t xml:space="preserve"> is an ID token. PingOne does not include a refresh token in its </w:t>
      </w:r>
      <w:hyperlink r:id="rId12">
        <w:r w:rsidDel="00000000" w:rsidR="00000000" w:rsidRPr="00000000">
          <w:rPr>
            <w:color w:val="1155cc"/>
            <w:u w:val="single"/>
            <w:rtl w:val="0"/>
          </w:rPr>
          <w:t xml:space="preserve">token response</w:t>
        </w:r>
      </w:hyperlink>
      <w:r w:rsidDel="00000000" w:rsidR="00000000" w:rsidRPr="00000000">
        <w:rPr>
          <w:rtl w:val="0"/>
        </w:rPr>
        <w:t xml:space="preserve"> as a result of using the Token Exchange grant type. </w:t>
      </w:r>
    </w:p>
    <w:p w:rsidR="00000000" w:rsidDel="00000000" w:rsidP="00000000" w:rsidRDefault="00000000" w:rsidRPr="00000000" w14:paraId="0000003B">
      <w:pPr>
        <w:rPr/>
      </w:pPr>
      <w:r w:rsidDel="00000000" w:rsidR="00000000" w:rsidRPr="00000000">
        <w:rPr>
          <w:rtl w:val="0"/>
        </w:rPr>
        <w:t xml:space="preserve">Similar to what an application can do in its authorization request, an application using the Token Exchange grant type can use the </w:t>
      </w:r>
      <w:r w:rsidDel="00000000" w:rsidR="00000000" w:rsidRPr="00000000">
        <w:rPr>
          <w:b w:val="1"/>
          <w:bCs w:val="1"/>
          <w:i w:val="1"/>
          <w:iCs w:val="1"/>
          <w:rtl w:val="0"/>
        </w:rPr>
        <w:t xml:space="preserve">scope</w:t>
      </w:r>
      <w:r w:rsidDel="00000000" w:rsidR="00000000" w:rsidRPr="00000000">
        <w:rPr>
          <w:rtl w:val="0"/>
        </w:rPr>
        <w:t xml:space="preserve"> parameter to indicate the desired custom resource(s). Also similar to how the </w:t>
      </w:r>
      <w:r w:rsidDel="00000000" w:rsidR="00000000" w:rsidRPr="00000000">
        <w:rPr>
          <w:b w:val="1"/>
          <w:bCs w:val="1"/>
          <w:i w:val="1"/>
          <w:iCs w:val="1"/>
          <w:rtl w:val="0"/>
        </w:rPr>
        <w:t xml:space="preserve">scope</w:t>
      </w:r>
      <w:r w:rsidDel="00000000" w:rsidR="00000000" w:rsidRPr="00000000">
        <w:rPr>
          <w:rtl w:val="0"/>
        </w:rPr>
        <w:t xml:space="preserve"> parameter is processed, the scope value(s) in the </w:t>
      </w:r>
      <w:r w:rsidDel="00000000" w:rsidR="00000000" w:rsidRPr="00000000">
        <w:rPr>
          <w:b w:val="1"/>
          <w:bCs w:val="1"/>
          <w:i w:val="1"/>
          <w:iCs w:val="1"/>
          <w:rtl w:val="0"/>
        </w:rPr>
        <w:t xml:space="preserve">scope</w:t>
      </w:r>
      <w:r w:rsidDel="00000000" w:rsidR="00000000" w:rsidRPr="00000000">
        <w:rPr>
          <w:rtl w:val="0"/>
        </w:rPr>
        <w:t xml:space="preserve"> parameter must be added to the application using the Token Exchange grant type. </w:t>
      </w:r>
    </w:p>
    <w:p w:rsidR="00000000" w:rsidDel="00000000" w:rsidP="00000000" w:rsidRDefault="00000000" w:rsidRPr="00000000" w14:paraId="0000003C">
      <w:pPr>
        <w:rPr/>
      </w:pPr>
      <w:r w:rsidDel="00000000" w:rsidR="00000000" w:rsidRPr="00000000">
        <w:rPr>
          <w:rtl w:val="0"/>
        </w:rPr>
        <w:t xml:space="preserve">When the </w:t>
      </w:r>
      <w:r w:rsidDel="00000000" w:rsidR="00000000" w:rsidRPr="00000000">
        <w:rPr>
          <w:rFonts w:ascii="Roboto Mono" w:cs="Roboto Mono" w:eastAsia="Roboto Mono" w:hAnsi="Roboto Mono"/>
          <w:color w:val="188038"/>
          <w:rtl w:val="0"/>
        </w:rPr>
        <w:t xml:space="preserve">requested_token_type</w:t>
      </w:r>
      <w:r w:rsidDel="00000000" w:rsidR="00000000" w:rsidRPr="00000000">
        <w:rPr>
          <w:rtl w:val="0"/>
        </w:rPr>
        <w:t xml:space="preserve"> is </w:t>
      </w:r>
      <w:r w:rsidDel="00000000" w:rsidR="00000000" w:rsidRPr="00000000">
        <w:rPr>
          <w:rFonts w:ascii="Roboto Mono" w:cs="Roboto Mono" w:eastAsia="Roboto Mono" w:hAnsi="Roboto Mono"/>
          <w:color w:val="188038"/>
          <w:rtl w:val="0"/>
        </w:rPr>
        <w:t xml:space="preserve">urn:ietf:params:oauth:token-type:access_token</w:t>
      </w:r>
      <w:r w:rsidDel="00000000" w:rsidR="00000000" w:rsidRPr="00000000">
        <w:rPr>
          <w:rtl w:val="0"/>
        </w:rPr>
        <w:t xml:space="preserve">, its fulfillment is controlled by the attribute mapping configuration of the applicable custom resource(s). Administrators can use expressions to implement fulfillment logic. For example, to fulfill an attribute differently based on the grant type used, an administrator can check the </w:t>
      </w:r>
      <w:r w:rsidDel="00000000" w:rsidR="00000000" w:rsidRPr="00000000">
        <w:rPr>
          <w:rFonts w:ascii="Roboto Mono" w:cs="Roboto Mono" w:eastAsia="Roboto Mono" w:hAnsi="Roboto Mono"/>
          <w:color w:val="188038"/>
          <w:rtl w:val="0"/>
        </w:rPr>
        <w:t xml:space="preserve">context.requestData.grantType</w:t>
      </w:r>
      <w:r w:rsidDel="00000000" w:rsidR="00000000" w:rsidRPr="00000000">
        <w:rPr>
          <w:rtl w:val="0"/>
        </w:rPr>
        <w:t xml:space="preserve"> value and fulfill the attribute differently. Expression has access to various data from the token request, such as </w:t>
      </w:r>
      <w:r w:rsidDel="00000000" w:rsidR="00000000" w:rsidRPr="00000000">
        <w:rPr>
          <w:rFonts w:ascii="Roboto Mono" w:cs="Roboto Mono" w:eastAsia="Roboto Mono" w:hAnsi="Roboto Mono"/>
          <w:color w:val="188038"/>
          <w:rtl w:val="0"/>
        </w:rPr>
        <w:t xml:space="preserve">context.requestData.subjectToken[.claim]</w:t>
      </w:r>
      <w:r w:rsidDel="00000000" w:rsidR="00000000" w:rsidRPr="00000000">
        <w:rPr>
          <w:rtl w:val="0"/>
        </w:rPr>
        <w:t xml:space="preserve"> to access individual claims from the subject token or </w:t>
      </w:r>
      <w:r w:rsidDel="00000000" w:rsidR="00000000" w:rsidRPr="00000000">
        <w:rPr>
          <w:rFonts w:ascii="Roboto Mono" w:cs="Roboto Mono" w:eastAsia="Roboto Mono" w:hAnsi="Roboto Mono"/>
          <w:color w:val="188038"/>
          <w:rtl w:val="0"/>
        </w:rPr>
        <w:t xml:space="preserve">context.requestData.scope</w:t>
      </w:r>
      <w:r w:rsidDel="00000000" w:rsidR="00000000" w:rsidRPr="00000000">
        <w:rPr>
          <w:rtl w:val="0"/>
        </w:rPr>
        <w:t xml:space="preserve"> to access the </w:t>
      </w:r>
      <w:r w:rsidDel="00000000" w:rsidR="00000000" w:rsidRPr="00000000">
        <w:rPr>
          <w:b w:val="1"/>
          <w:bCs w:val="1"/>
          <w:i w:val="1"/>
          <w:iCs w:val="1"/>
          <w:rtl w:val="0"/>
        </w:rPr>
        <w:t xml:space="preserve">scope</w:t>
      </w:r>
      <w:r w:rsidDel="00000000" w:rsidR="00000000" w:rsidRPr="00000000">
        <w:rPr>
          <w:rtl w:val="0"/>
        </w:rPr>
        <w:t xml:space="preserve"> parameter value. </w:t>
      </w:r>
      <w:r w:rsidDel="00000000" w:rsidR="00000000" w:rsidRPr="00000000">
        <w:rPr>
          <w:rFonts w:ascii="Roboto Mono" w:cs="Roboto Mono" w:eastAsia="Roboto Mono" w:hAnsi="Roboto Mono"/>
          <w:color w:val="188038"/>
          <w:rtl w:val="0"/>
        </w:rPr>
        <w:t xml:space="preserve">context.appConfig.clientId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context.appConfig.tokenEndpointAuthMethod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context.appConfig.envId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context.appConfig.orgId</w:t>
      </w:r>
      <w:r w:rsidDel="00000000" w:rsidR="00000000" w:rsidRPr="00000000">
        <w:rPr>
          <w:rtl w:val="0"/>
        </w:rPr>
        <w:t xml:space="preserve"> are also made available. </w:t>
      </w:r>
    </w:p>
    <w:p w:rsidR="00000000" w:rsidDel="00000000" w:rsidP="00000000" w:rsidRDefault="00000000" w:rsidRPr="00000000" w14:paraId="0000003D">
      <w:pPr>
        <w:pStyle w:val="Heading2"/>
        <w:rPr/>
      </w:pPr>
      <w:bookmarkStart w:colFirst="0" w:colLast="0" w:name="_fkr8ds6zuyvk" w:id="9"/>
      <w:bookmarkEnd w:id="9"/>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2"/>
        <w:rPr/>
      </w:pPr>
      <w:bookmarkStart w:colFirst="0" w:colLast="0" w:name="_qk4kau1acal1" w:id="10"/>
      <w:bookmarkEnd w:id="10"/>
      <w:r w:rsidDel="00000000" w:rsidR="00000000" w:rsidRPr="00000000">
        <w:rPr>
          <w:rtl w:val="0"/>
        </w:rPr>
        <w:t xml:space="preserve">Future phases</w:t>
      </w:r>
    </w:p>
    <w:p w:rsidR="00000000" w:rsidDel="00000000" w:rsidP="00000000" w:rsidRDefault="00000000" w:rsidRPr="00000000" w14:paraId="0000003F">
      <w:pPr>
        <w:rPr/>
      </w:pPr>
      <w:r w:rsidDel="00000000" w:rsidR="00000000" w:rsidRPr="00000000">
        <w:rPr>
          <w:rtl w:val="0"/>
        </w:rPr>
        <w:t xml:space="preserve">After phase 1, we intend to make further improvements in multiple phases thereafter. Here are some of the items (no commitment can be made at this point): </w:t>
      </w:r>
    </w:p>
    <w:p w:rsidR="00000000" w:rsidDel="00000000" w:rsidP="00000000" w:rsidRDefault="00000000" w:rsidRPr="00000000" w14:paraId="00000040">
      <w:pPr>
        <w:numPr>
          <w:ilvl w:val="0"/>
          <w:numId w:val="2"/>
        </w:numPr>
        <w:spacing w:after="0" w:afterAutospacing="0"/>
        <w:ind w:left="720" w:hanging="360"/>
        <w:rPr>
          <w:u w:val="none"/>
        </w:rPr>
      </w:pPr>
      <w:r w:rsidDel="00000000" w:rsidR="00000000" w:rsidRPr="00000000">
        <w:rPr>
          <w:rtl w:val="0"/>
        </w:rPr>
        <w:t xml:space="preserve">Advanced attribute mapping policy</w:t>
      </w:r>
    </w:p>
    <w:p w:rsidR="00000000" w:rsidDel="00000000" w:rsidP="00000000" w:rsidRDefault="00000000" w:rsidRPr="00000000" w14:paraId="00000041">
      <w:pPr>
        <w:numPr>
          <w:ilvl w:val="1"/>
          <w:numId w:val="2"/>
        </w:numPr>
        <w:spacing w:after="0" w:afterAutospacing="0"/>
        <w:ind w:left="1440" w:hanging="360"/>
        <w:rPr>
          <w:u w:val="none"/>
        </w:rPr>
      </w:pPr>
      <w:r w:rsidDel="00000000" w:rsidR="00000000" w:rsidRPr="00000000">
        <w:rPr>
          <w:rtl w:val="0"/>
        </w:rPr>
        <w:t xml:space="preserve">Write an expression once and apply it to multiple attributes in the same or different custom resources</w:t>
      </w:r>
    </w:p>
    <w:p w:rsidR="00000000" w:rsidDel="00000000" w:rsidP="00000000" w:rsidRDefault="00000000" w:rsidRPr="00000000" w14:paraId="00000042">
      <w:pPr>
        <w:numPr>
          <w:ilvl w:val="1"/>
          <w:numId w:val="2"/>
        </w:numPr>
        <w:spacing w:after="0" w:afterAutospacing="0"/>
        <w:ind w:left="1440" w:hanging="360"/>
        <w:rPr>
          <w:u w:val="none"/>
        </w:rPr>
      </w:pPr>
      <w:r w:rsidDel="00000000" w:rsidR="00000000" w:rsidRPr="00000000">
        <w:rPr>
          <w:rtl w:val="0"/>
        </w:rPr>
        <w:t xml:space="preserve">Add UI and management API for common sources to reduce the reliance on expressions</w:t>
      </w:r>
    </w:p>
    <w:p w:rsidR="00000000" w:rsidDel="00000000" w:rsidP="00000000" w:rsidRDefault="00000000" w:rsidRPr="00000000" w14:paraId="00000043">
      <w:pPr>
        <w:numPr>
          <w:ilvl w:val="0"/>
          <w:numId w:val="2"/>
        </w:numPr>
        <w:spacing w:after="0" w:afterAutospacing="0"/>
        <w:ind w:left="720" w:hanging="360"/>
        <w:rPr>
          <w:u w:val="none"/>
        </w:rPr>
      </w:pPr>
      <w:r w:rsidDel="00000000" w:rsidR="00000000" w:rsidRPr="00000000">
        <w:rPr>
          <w:rtl w:val="0"/>
        </w:rPr>
        <w:t xml:space="preserve">Inclusion of refresh token (if applicable)</w:t>
      </w:r>
    </w:p>
    <w:p w:rsidR="00000000" w:rsidDel="00000000" w:rsidP="00000000" w:rsidRDefault="00000000" w:rsidRPr="00000000" w14:paraId="00000044">
      <w:pPr>
        <w:numPr>
          <w:ilvl w:val="0"/>
          <w:numId w:val="2"/>
        </w:numPr>
        <w:spacing w:after="0" w:afterAutospacing="0"/>
        <w:ind w:left="720" w:hanging="360"/>
        <w:rPr>
          <w:u w:val="none"/>
        </w:rPr>
      </w:pPr>
      <w:r w:rsidDel="00000000" w:rsidR="00000000" w:rsidRPr="00000000">
        <w:rPr>
          <w:rtl w:val="0"/>
        </w:rPr>
        <w:t xml:space="preserve">Expand </w:t>
      </w:r>
      <w:r w:rsidDel="00000000" w:rsidR="00000000" w:rsidRPr="00000000">
        <w:rPr>
          <w:rFonts w:ascii="Roboto Mono" w:cs="Roboto Mono" w:eastAsia="Roboto Mono" w:hAnsi="Roboto Mono"/>
          <w:color w:val="188038"/>
          <w:rtl w:val="0"/>
        </w:rPr>
        <w:t xml:space="preserve">requested_token_type</w:t>
      </w:r>
      <w:r w:rsidDel="00000000" w:rsidR="00000000" w:rsidRPr="00000000">
        <w:rPr>
          <w:rtl w:val="0"/>
        </w:rPr>
        <w:t xml:space="preserve"> to support </w:t>
      </w:r>
      <w:r w:rsidDel="00000000" w:rsidR="00000000" w:rsidRPr="00000000">
        <w:rPr>
          <w:rFonts w:ascii="Roboto Mono" w:cs="Roboto Mono" w:eastAsia="Roboto Mono" w:hAnsi="Roboto Mono"/>
          <w:color w:val="188038"/>
          <w:rtl w:val="0"/>
        </w:rPr>
        <w:t xml:space="preserve">urn:ietf:params:oauth:token-type:id-jag</w:t>
      </w:r>
      <w:r w:rsidDel="00000000" w:rsidR="00000000" w:rsidRPr="00000000">
        <w:rPr>
          <w:rtl w:val="0"/>
        </w:rPr>
        <w:t xml:space="preserve"> from </w:t>
      </w:r>
      <w:hyperlink r:id="rId13">
        <w:r w:rsidDel="00000000" w:rsidR="00000000" w:rsidRPr="00000000">
          <w:rPr>
            <w:color w:val="1155cc"/>
            <w:u w:val="single"/>
            <w:rtl w:val="0"/>
          </w:rPr>
          <w:t xml:space="preserve">https://datatracker.ietf.org/doc/draft-ietf-oauth-identity-assertion-authz-grant/</w:t>
        </w:r>
      </w:hyperlink>
      <w:r w:rsidDel="00000000" w:rsidR="00000000" w:rsidRPr="00000000">
        <w:rPr>
          <w:rtl w:val="0"/>
        </w:rPr>
        <w:t xml:space="preserve"> </w:t>
      </w:r>
    </w:p>
    <w:p w:rsidR="00000000" w:rsidDel="00000000" w:rsidP="00000000" w:rsidRDefault="00000000" w:rsidRPr="00000000" w14:paraId="00000045">
      <w:pPr>
        <w:numPr>
          <w:ilvl w:val="0"/>
          <w:numId w:val="2"/>
        </w:numPr>
        <w:ind w:left="720" w:hanging="360"/>
        <w:rPr>
          <w:u w:val="none"/>
        </w:rPr>
      </w:pPr>
      <w:r w:rsidDel="00000000" w:rsidR="00000000" w:rsidRPr="00000000">
        <w:rPr>
          <w:rtl w:val="0"/>
        </w:rPr>
        <w:t xml:space="preserve">Support third-party authorization servers</w:t>
      </w:r>
      <w:r w:rsidDel="00000000" w:rsidR="00000000" w:rsidRPr="00000000">
        <w:rPr>
          <w:rtl w:val="0"/>
        </w:rPr>
      </w:r>
    </w:p>
    <w:sectPr>
      <w:footerReference r:id="rId14" w:type="default"/>
      <w:pgSz w:h="15840" w:w="12240" w:orient="portrait"/>
      <w:pgMar w:bottom="1440" w:top="144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tabs>
        <w:tab w:val="right" w:leader="none" w:pos="10800"/>
      </w:tabs>
      <w:rPr>
        <w:sz w:val="18"/>
        <w:szCs w:val="18"/>
      </w:rPr>
    </w:pPr>
    <w:r w:rsidDel="00000000" w:rsidR="00000000" w:rsidRPr="00000000">
      <w:rPr>
        <w:color w:val="990000"/>
        <w:sz w:val="18"/>
        <w:szCs w:val="18"/>
        <w:rtl w:val="0"/>
      </w:rPr>
      <w:t xml:space="preserve">Confidential - Do not distribute</w:t>
    </w:r>
    <w:r w:rsidDel="00000000" w:rsidR="00000000" w:rsidRPr="00000000">
      <w:rPr>
        <w:sz w:val="18"/>
        <w:szCs w:val="18"/>
        <w:rtl w:val="0"/>
      </w:rPr>
      <w:t xml:space="preserve">. Copyright © 2025, Ping Identity Corporation. All rights reserved.</w:t>
      <w:tab/>
      <w:t xml:space="preserve">Page </w:t>
    </w:r>
    <w:r w:rsidDel="00000000" w:rsidR="00000000" w:rsidRPr="00000000">
      <w:rPr>
        <w:sz w:val="18"/>
        <w:szCs w:val="18"/>
      </w:rPr>
      <w:fldChar w:fldCharType="begin"/>
      <w:instrText xml:space="preserve">PAGE</w:instrText>
      <w:fldChar w:fldCharType="separate"/>
      <w:fldChar w:fldCharType="end"/>
    </w:r>
    <w:r w:rsidDel="00000000" w:rsidR="00000000" w:rsidRPr="00000000">
      <w:rPr>
        <w:sz w:val="18"/>
        <w:szCs w:val="18"/>
        <w:rtl w:val="0"/>
      </w:rPr>
      <w:t xml:space="preserve"> of </w:t>
    </w:r>
    <w:r w:rsidDel="00000000" w:rsidR="00000000" w:rsidRPr="00000000">
      <w:rPr>
        <w:sz w:val="18"/>
        <w:szCs w:val="18"/>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atatracker.ietf.org/doc/html/rfc8693#section-2.2.1" TargetMode="External"/><Relationship Id="rId10" Type="http://schemas.openxmlformats.org/officeDocument/2006/relationships/hyperlink" Target="https://datatracker.ietf.org/doc/html/rfc8693#section-2.2.1" TargetMode="External"/><Relationship Id="rId13" Type="http://schemas.openxmlformats.org/officeDocument/2006/relationships/hyperlink" Target="https://datatracker.ietf.org/doc/draft-ietf-oauth-identity-assertion-authz-grant/" TargetMode="External"/><Relationship Id="rId12" Type="http://schemas.openxmlformats.org/officeDocument/2006/relationships/hyperlink" Target="https://datatracker.ietf.org/doc/html/rfc8693#section-2.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datatracker.ietf.org/doc/html/rfc8693" TargetMode="External"/><Relationship Id="rId7" Type="http://schemas.openxmlformats.org/officeDocument/2006/relationships/hyperlink" Target="mailto:imok@pingidentity.com" TargetMode="External"/><Relationship Id="rId8" Type="http://schemas.openxmlformats.org/officeDocument/2006/relationships/hyperlink" Target="mailto:imok@pingidentity.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