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itle-block-header"/>
    <w:bookmarkStart w:id="9" w:name="adrn-20623-syllabus"/>
    <w:p>
      <w:pPr>
        <w:pStyle w:val="Heading1"/>
        <w:jc w:val="center"/>
      </w:pPr>
      <w:r>
        <w:rPr>
          <w:b/>
          <w:color w:val="4A2C82"/>
          <w:sz w:val="48"/>
        </w:rPr>
        <w:t>ADRN 20623: Data Viz for Humans</w:t>
      </w:r>
    </w:p>
    <w:bookmarkEnd w:id="9"/>
    <w:bookmarkEnd w:id="10"/>
    <w:bookmarkStart w:id="18" w:name="course-instructor-information"/>
    <w:p>
      <w:pPr>
        <w:pStyle w:val="Heading1"/>
      </w:pPr>
      <w:r>
        <w:t xml:space="preserve">Course &amp; Instructor Information</w:t>
      </w:r>
    </w:p>
    <w:bookmarkStart w:id="11" w:name="course"/>
    <w:p>
      <w:pPr>
        <w:pStyle w:val="Heading2"/>
      </w:pPr>
      <w:r>
        <w:t xml:space="preserve">Course</w:t>
      </w:r>
    </w:p>
    <w:p>
      <w:pPr>
        <w:pStyle w:val="FirstParagraph"/>
      </w:pPr>
      <w:r>
        <w:t xml:space="preserve">Data Viz for Humans, ADRN 20623:</w:t>
      </w:r>
    </w:p>
    <w:p>
      <w:pPr>
        <w:pStyle w:val="BodyText"/>
      </w:pPr>
      <w:r>
        <w:t xml:space="preserve">Semester and Year TBD:</w:t>
      </w:r>
    </w:p>
    <w:p>
      <w:pPr>
        <w:pStyle w:val="BodyText"/>
      </w:pPr>
      <w:r>
        <w:t xml:space="preserve">Number of Credits 3 credit hours:</w:t>
      </w:r>
    </w:p>
    <w:p>
      <w:pPr>
        <w:pStyle w:val="BodyText"/>
      </w:pPr>
      <w:r>
        <w:t xml:space="preserve">Course Component Type: LEC</w:t>
      </w:r>
    </w:p>
    <w:p>
      <w:pPr>
        <w:pStyle w:val="BodyText"/>
      </w:pPr>
      <w:r>
        <w:t xml:space="preserve">Class Location: TBD</w:t>
      </w:r>
    </w:p>
    <w:p>
      <w:pPr>
        <w:pStyle w:val="BodyText"/>
      </w:pPr>
      <w:r>
        <w:t xml:space="preserve">Class Meeting Day(s) &amp; Time(s): TBD</w:t>
      </w:r>
    </w:p>
    <w:p>
      <w:pPr>
        <w:pStyle w:val="BodyText"/>
      </w:pPr>
      <w:r>
        <w:t xml:space="preserve">Zoom Access Information: available in D2L</w:t>
      </w:r>
    </w:p>
    <w:bookmarkEnd w:id="11"/>
    <w:bookmarkStart w:id="12" w:name="instructor"/>
    <w:p>
      <w:pPr>
        <w:pStyle w:val="Heading2"/>
      </w:pPr>
      <w:r>
        <w:t xml:space="preserve">Instructor</w:t>
      </w:r>
    </w:p>
    <w:p>
      <w:pPr>
        <w:pStyle w:val="FirstParagraph"/>
      </w:pPr>
      <w:r>
        <w:t xml:space="preserve">Instructor Name: Dr. Curt Rode</w:t>
      </w:r>
    </w:p>
    <w:p>
      <w:pPr>
        <w:pStyle w:val="BodyText"/>
      </w:pPr>
      <w:r>
        <w:t xml:space="preserve">Office Location: Schar 2006</w:t>
      </w:r>
    </w:p>
    <w:p>
      <w:pPr>
        <w:pStyle w:val="BodyText"/>
      </w:pPr>
      <w:r>
        <w:t xml:space="preserve">Office Hours: By appointment https://calendly.com/c-rode/appointments</w:t>
      </w:r>
    </w:p>
    <w:p>
      <w:pPr>
        <w:pStyle w:val="BodyText"/>
      </w:pPr>
      <w:r>
        <w:t xml:space="preserve">Preferred Method of Contact: Email</w:t>
      </w:r>
    </w:p>
    <w:p>
      <w:pPr>
        <w:pStyle w:val="BodyText"/>
      </w:pPr>
      <w:r>
        <w:t xml:space="preserve">Email: c.rode@tcu.edu</w:t>
      </w:r>
    </w:p>
    <w:p>
      <w:pPr>
        <w:pStyle w:val="BodyText"/>
      </w:pPr>
      <w:r>
        <w:t xml:space="preserve">Response Time: 48 hours</w:t>
      </w:r>
    </w:p>
    <w:bookmarkEnd w:id="12"/>
    <w:bookmarkStart w:id="13" w:name="X2cd7f11ebc3ec06e5d5f49b9c23ff6d486e3319"/>
    <w:p>
      <w:pPr>
        <w:pStyle w:val="Heading2"/>
      </w:pPr>
      <w:r>
        <w:t xml:space="preserve">Final Evaluative Exercise &amp; Important Dates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Event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TBD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MLK Day Holiday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TBD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Spring Break begins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TBD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Last day to withdraw from a class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TBD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Last day of classes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TBD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Final Evaluative Exercise: Data Story Presentations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for students:</w:t>
      </w:r>
      <w:r>
        <w:t xml:space="preserve"> </w:t>
      </w:r>
      <w:r>
        <w:t xml:space="preserve">The syllabus is your first course reading. It</w:t>
      </w:r>
      <w:r>
        <w:t xml:space="preserve"> </w:t>
      </w:r>
      <w:r>
        <w:t xml:space="preserve">provides an orientation to, overview of the flow, and expectations of</w:t>
      </w:r>
      <w:r>
        <w:t xml:space="preserve"> </w:t>
      </w:r>
      <w:r>
        <w:t xml:space="preserve">the course. You should turn to the syllabus for details on assignments</w:t>
      </w:r>
      <w:r>
        <w:t xml:space="preserve"> </w:t>
      </w:r>
      <w:r>
        <w:t xml:space="preserve">and course policies.</w:t>
      </w:r>
    </w:p>
    <w:bookmarkEnd w:id="13"/>
    <w:bookmarkStart w:id="17" w:name="X945111b1d65f54d11289ac437cef447c6295838"/>
    <w:p>
      <w:pPr>
        <w:pStyle w:val="Heading2"/>
      </w:pPr>
      <w:r>
        <w:t xml:space="preserve">QR Code for link to page: TCU Syllabus Policies and Resources</w:t>
      </w:r>
      <w:r>
        <w:t xml:space="preserve">Student Resources &amp; Policy Information</w:t>
      </w:r>
    </w:p>
    <w:p>
      <w:pPr>
        <w:pStyle w:val="FirstParagraph"/>
      </w:pPr>
      <w:r>
        <w:t xml:space="preserve">Click or scan QR code for resources to support you as a TCU student.</w:t>
      </w:r>
      <w:r>
        <w:t xml:space="preserve"> </w:t>
      </w:r>
      <w:r>
        <w:t xml:space="preserve">Please note section on</w:t>
      </w:r>
      <w:r>
        <w:t xml:space="preserve"> </w:t>
      </w:r>
      <w:hyperlink r:id="rId14">
        <w:r>
          <w:rPr>
            <w:rStyle w:val="Hyperlink"/>
          </w:rPr>
          <w:t xml:space="preserve">Student Access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Accommodation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Academic Conduct &amp; Course Materials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Policies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Emergency Response &amp; TCU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Alert</w:t>
        </w:r>
      </w:hyperlink>
      <w:r>
        <w:t xml:space="preserve">.</w:t>
      </w:r>
    </w:p>
    <w:bookmarkEnd w:id="17"/>
    <w:bookmarkEnd w:id="18"/>
    <w:bookmarkStart w:id="22" w:name="course-description"/>
    <w:p>
      <w:pPr>
        <w:pStyle w:val="Heading1"/>
      </w:pPr>
      <w:r>
        <w:t xml:space="preserve">Course Description</w:t>
      </w:r>
    </w:p>
    <w:bookmarkStart w:id="19" w:name="catalog-description"/>
    <w:p>
      <w:pPr>
        <w:pStyle w:val="Heading2"/>
      </w:pPr>
      <w:r>
        <w:t xml:space="preserve">Catalog Description</w:t>
      </w:r>
    </w:p>
    <w:p>
      <w:pPr>
        <w:pStyle w:val="FirstParagraph"/>
      </w:pPr>
      <w:r>
        <w:t xml:space="preserve">Students will develop the skills to read, interpret, and critically</w:t>
      </w:r>
      <w:r>
        <w:t xml:space="preserve"> </w:t>
      </w:r>
      <w:r>
        <w:t xml:space="preserve">evaluate data visualizations encountered in journalism, research, and</w:t>
      </w:r>
      <w:r>
        <w:t xml:space="preserve"> </w:t>
      </w:r>
      <w:r>
        <w:t xml:space="preserve">public discourse. Through hands-on work with spreadsheets, visualization</w:t>
      </w:r>
      <w:r>
        <w:t xml:space="preserve"> </w:t>
      </w:r>
      <w:r>
        <w:t xml:space="preserve">tools, and introductory coding, students learn to ask what data can and</w:t>
      </w:r>
      <w:r>
        <w:t xml:space="preserve"> </w:t>
      </w:r>
      <w:r>
        <w:t xml:space="preserve">cannot show, how design choices shape interpretation, and what</w:t>
      </w:r>
      <w:r>
        <w:t xml:space="preserve"> </w:t>
      </w:r>
      <w:r>
        <w:t xml:space="preserve">responsibilities accompany the display of evidence. No prior experience</w:t>
      </w:r>
      <w:r>
        <w:t xml:space="preserve"> </w:t>
      </w:r>
      <w:r>
        <w:t xml:space="preserve">with coding or statistics is required.</w:t>
      </w:r>
    </w:p>
    <w:bookmarkEnd w:id="19"/>
    <w:bookmarkStart w:id="20" w:name="prerequisites-concurrent-enrollment"/>
    <w:p>
      <w:pPr>
        <w:pStyle w:val="Heading2"/>
      </w:pPr>
      <w:r>
        <w:t xml:space="preserve">Prerequisites &amp; Concurrent Enrollment</w:t>
      </w:r>
    </w:p>
    <w:p>
      <w:pPr>
        <w:pStyle w:val="FirstParagraph"/>
      </w:pPr>
      <w:r>
        <w:t xml:space="preserve">None.</w:t>
      </w:r>
    </w:p>
    <w:bookmarkEnd w:id="20"/>
    <w:bookmarkStart w:id="21" w:name="program-major-connections"/>
    <w:p>
      <w:pPr>
        <w:pStyle w:val="Heading2"/>
      </w:pPr>
      <w:r>
        <w:t xml:space="preserve">Program &amp; Major Connections</w:t>
      </w:r>
    </w:p>
    <w:p>
      <w:pPr>
        <w:pStyle w:val="FirstParagraph"/>
      </w:pPr>
      <w:r>
        <w:t xml:space="preserve">This course serves as the Intro Requirement for the DCDA major.</w:t>
      </w:r>
    </w:p>
    <w:bookmarkEnd w:id="21"/>
    <w:bookmarkEnd w:id="22"/>
    <w:bookmarkStart w:id="25" w:name="course-materials"/>
    <w:p>
      <w:pPr>
        <w:pStyle w:val="Heading1"/>
      </w:pPr>
      <w:r>
        <w:t xml:space="preserve">Course Materials</w:t>
      </w:r>
    </w:p>
    <w:bookmarkStart w:id="23" w:name="required-materials"/>
    <w:p>
      <w:pPr>
        <w:pStyle w:val="Heading2"/>
      </w:pPr>
      <w:r>
        <w:t xml:space="preserve">Required Materials</w:t>
      </w:r>
    </w:p>
    <w:p>
      <w:pPr>
        <w:pStyle w:val="FirstParagraph"/>
      </w:pPr>
      <w:r>
        <w:t xml:space="preserve">A laptop with Microsoft Excel (available through TCU’s Microsoft 365</w:t>
      </w:r>
      <w:r>
        <w:t xml:space="preserve"> </w:t>
      </w:r>
      <w:r>
        <w:t xml:space="preserve">license)</w:t>
      </w:r>
    </w:p>
    <w:p>
      <w:pPr>
        <w:pStyle w:val="BodyText"/>
      </w:pPr>
      <w:r>
        <w:t xml:space="preserve">Free accounts for web-based visualization tools (Datawrapper, RAWGraphs)</w:t>
      </w:r>
      <w:r>
        <w:t xml:space="preserve"> </w:t>
      </w:r>
      <w:r>
        <w:t xml:space="preserve">will be set up in class</w:t>
      </w:r>
    </w:p>
    <w:bookmarkEnd w:id="23"/>
    <w:bookmarkStart w:id="24" w:name="supplementary-resources"/>
    <w:p>
      <w:pPr>
        <w:pStyle w:val="Heading2"/>
      </w:pPr>
      <w:r>
        <w:t xml:space="preserve">Supplementary Resources</w:t>
      </w:r>
    </w:p>
    <w:p>
      <w:pPr>
        <w:pStyle w:val="FirstParagraph"/>
      </w:pPr>
      <w:r>
        <w:t xml:space="preserve">To be provided throughout the semester to respond to students’ immediate</w:t>
      </w:r>
      <w:r>
        <w:t xml:space="preserve"> </w:t>
      </w:r>
      <w:r>
        <w:t xml:space="preserve">needs.</w:t>
      </w:r>
    </w:p>
    <w:bookmarkEnd w:id="24"/>
    <w:bookmarkEnd w:id="25"/>
    <w:bookmarkStart w:id="26" w:name="teaching-philosophy-methodology"/>
    <w:p>
      <w:pPr>
        <w:pStyle w:val="Heading1"/>
      </w:pPr>
      <w:r>
        <w:t xml:space="preserve">Teaching Philosophy &amp; Methodology</w:t>
      </w:r>
    </w:p>
    <w:p>
      <w:pPr>
        <w:pStyle w:val="FirstParagraph"/>
      </w:pPr>
      <w:r>
        <w:t xml:space="preserve">The course is grounded in a conviction that distinguishes humanistic</w:t>
      </w:r>
      <w:r>
        <w:t xml:space="preserve"> </w:t>
      </w:r>
      <w:r>
        <w:t xml:space="preserve">data analysis from its counterparts in business or the social sciences:</w:t>
      </w:r>
      <w:r>
        <w:t xml:space="preserve"> </w:t>
      </w:r>
      <w:r>
        <w:t xml:space="preserve">that data should be used to test beliefs rather than defend them. This</w:t>
      </w:r>
      <w:r>
        <w:t xml:space="preserve"> </w:t>
      </w:r>
      <w:r>
        <w:t xml:space="preserve">epistemological commitment shapes everything from the questions students</w:t>
      </w:r>
      <w:r>
        <w:t xml:space="preserve"> </w:t>
      </w:r>
      <w:r>
        <w:t xml:space="preserve">learn to ask (</w:t>
      </w:r>
      <w:r>
        <w:t xml:space="preserve">“What would change my mind?”</w:t>
      </w:r>
      <w:r>
        <w:t xml:space="preserve">) to the visualizations they</w:t>
      </w:r>
      <w:r>
        <w:t xml:space="preserve"> </w:t>
      </w:r>
      <w:r>
        <w:t xml:space="preserve">learn to read and build (displays that show reasoning, not just</w:t>
      </w:r>
      <w:r>
        <w:t xml:space="preserve"> </w:t>
      </w:r>
      <w:r>
        <w:t xml:space="preserve">conclusions). In an era when data visualizations circulate widely and</w:t>
      </w:r>
      <w:r>
        <w:t xml:space="preserve"> </w:t>
      </w:r>
      <w:r>
        <w:t xml:space="preserve">often function as instruments of persuasion rather than inquiry, this</w:t>
      </w:r>
      <w:r>
        <w:t xml:space="preserve"> </w:t>
      </w:r>
      <w:r>
        <w:t xml:space="preserve">critical orientation is both intellectually necessary and professionally</w:t>
      </w:r>
      <w:r>
        <w:t xml:space="preserve"> </w:t>
      </w:r>
      <w:r>
        <w:t xml:space="preserve">valuable.</w:t>
      </w:r>
    </w:p>
    <w:bookmarkEnd w:id="26"/>
    <w:bookmarkStart w:id="30" w:name="learning-outcomes"/>
    <w:p>
      <w:pPr>
        <w:pStyle w:val="Heading1"/>
      </w:pPr>
      <w:r>
        <w:t xml:space="preserve">Learning Outcomes</w:t>
      </w:r>
    </w:p>
    <w:bookmarkStart w:id="27" w:name="course-learning-outcomes"/>
    <w:p>
      <w:pPr>
        <w:pStyle w:val="Heading2"/>
      </w:pPr>
      <w:r>
        <w:t xml:space="preserve">Course Learning Outcomes</w:t>
      </w:r>
    </w:p>
    <w:p>
      <w:pPr>
        <w:pStyle w:val="FirstParagraph"/>
      </w:pPr>
      <w:r>
        <w:t xml:space="preserve">Upon successful completion of this course, students will be able to:</w:t>
      </w:r>
    </w:p>
    <w:p>
      <w:pPr>
        <w:numPr>
          <w:ilvl w:val="0"/>
          <w:numId w:val="1001"/>
        </w:numPr>
      </w:pPr>
      <w:r>
        <w:t xml:space="preserve">Identify and articulate the claims—explicit and implicit—that a</w:t>
      </w:r>
      <w:r>
        <w:t xml:space="preserve"> </w:t>
      </w:r>
      <w:r>
        <w:t xml:space="preserve">data visualization makes, distinguishing between what the data shows</w:t>
      </w:r>
      <w:r>
        <w:t xml:space="preserve"> </w:t>
      </w:r>
      <w:r>
        <w:t xml:space="preserve">and what the display suggests.</w:t>
      </w:r>
    </w:p>
    <w:p>
      <w:pPr>
        <w:numPr>
          <w:ilvl w:val="0"/>
          <w:numId w:val="1001"/>
        </w:numPr>
      </w:pPr>
      <w:r>
        <w:t xml:space="preserve">Evaluate the choices embedded in a visualization (what to count,</w:t>
      </w:r>
      <w:r>
        <w:t xml:space="preserve"> </w:t>
      </w:r>
      <w:r>
        <w:t xml:space="preserve">what to exclude, how to categorize, how to display), recognizing</w:t>
      </w:r>
      <w:r>
        <w:t xml:space="preserve"> </w:t>
      </w:r>
      <w:r>
        <w:t xml:space="preserve">that these are interpretive decisions with consequences.</w:t>
      </w:r>
    </w:p>
    <w:p>
      <w:pPr>
        <w:numPr>
          <w:ilvl w:val="0"/>
          <w:numId w:val="1001"/>
        </w:numPr>
      </w:pPr>
      <w:r>
        <w:t xml:space="preserve">Construct basic data visualizations using spreadsheets and GUI-based</w:t>
      </w:r>
      <w:r>
        <w:t xml:space="preserve"> </w:t>
      </w:r>
      <w:r>
        <w:t xml:space="preserve">tools, making deliberate choices about form, scale, and emphasis.</w:t>
      </w:r>
    </w:p>
    <w:p>
      <w:pPr>
        <w:numPr>
          <w:ilvl w:val="0"/>
          <w:numId w:val="1001"/>
        </w:numPr>
      </w:pPr>
      <w:r>
        <w:t xml:space="preserve">Analyze historical and contemporary examples of data visualization</w:t>
      </w:r>
      <w:r>
        <w:t xml:space="preserve"> </w:t>
      </w:r>
      <w:r>
        <w:t xml:space="preserve">as acts of argument, identifying the rhetorical strategies at work.</w:t>
      </w:r>
    </w:p>
    <w:p>
      <w:pPr>
        <w:numPr>
          <w:ilvl w:val="0"/>
          <w:numId w:val="1001"/>
        </w:numPr>
      </w:pPr>
      <w:r>
        <w:t xml:space="preserve">Identify what is absent or obscured in a data presentation,</w:t>
      </w:r>
      <w:r>
        <w:t xml:space="preserve"> </w:t>
      </w:r>
      <w:r>
        <w:t xml:space="preserve">articulating the limits of what a given dataset or display can</w:t>
      </w:r>
      <w:r>
        <w:t xml:space="preserve"> </w:t>
      </w:r>
      <w:r>
        <w:t xml:space="preserve">support.</w:t>
      </w:r>
    </w:p>
    <w:p>
      <w:pPr>
        <w:numPr>
          <w:ilvl w:val="0"/>
          <w:numId w:val="1001"/>
        </w:numPr>
      </w:pPr>
      <w:r>
        <w:t xml:space="preserve">Design a visualization for a specific audience, explaining how</w:t>
      </w:r>
      <w:r>
        <w:t xml:space="preserve"> </w:t>
      </w:r>
      <w:r>
        <w:t xml:space="preserve">audience and purpose shape presentational choices.</w:t>
      </w:r>
    </w:p>
    <w:p>
      <w:pPr>
        <w:numPr>
          <w:ilvl w:val="0"/>
          <w:numId w:val="1001"/>
        </w:numPr>
      </w:pPr>
      <w:r>
        <w:t xml:space="preserve">Reflect on their own analytical development, making evidence-based</w:t>
      </w:r>
      <w:r>
        <w:t xml:space="preserve"> </w:t>
      </w:r>
      <w:r>
        <w:t xml:space="preserve">arguments about their learning.</w:t>
      </w:r>
    </w:p>
    <w:bookmarkEnd w:id="27"/>
    <w:bookmarkStart w:id="28" w:name="program-major-learning-outcomes"/>
    <w:p>
      <w:pPr>
        <w:pStyle w:val="Heading2"/>
      </w:pPr>
      <w:r>
        <w:t xml:space="preserve">Program &amp; Major Learning Outcomes</w:t>
      </w:r>
    </w:p>
    <w:p>
      <w:pPr>
        <w:pStyle w:val="FirstParagraph"/>
      </w:pPr>
      <w:r>
        <w:t xml:space="preserve">These outcomes are particular to the major/minors in Digital Culture and</w:t>
      </w:r>
      <w:r>
        <w:t xml:space="preserve"> </w:t>
      </w:r>
      <w:r>
        <w:t xml:space="preserve">Data Analytics (DCDA):</w:t>
      </w:r>
    </w:p>
    <w:p>
      <w:pPr>
        <w:pStyle w:val="Compact"/>
        <w:numPr>
          <w:ilvl w:val="0"/>
          <w:numId w:val="1002"/>
        </w:numPr>
      </w:pPr>
      <w:r>
        <w:t xml:space="preserve">Students will demonstrate an ability to compose digital arguments.</w:t>
      </w:r>
      <w:r>
        <w:t xml:space="preserve"> </w:t>
      </w:r>
      <w:r>
        <w:t xml:space="preserve">[DCO01]</w:t>
      </w:r>
    </w:p>
    <w:bookmarkEnd w:id="28"/>
    <w:bookmarkStart w:id="29" w:name="X2a254ec5a16539c8bc0bfba079d69fff1ee6d1e"/>
    <w:p>
      <w:pPr>
        <w:pStyle w:val="Heading2"/>
      </w:pPr>
      <w:r>
        <w:t xml:space="preserve">TCU Outcomes: Core Curriculum &amp; Finding Ourselves in Community</w:t>
      </w:r>
    </w:p>
    <w:p>
      <w:pPr>
        <w:pStyle w:val="FirstParagraph"/>
      </w:pPr>
      <w:r>
        <w:t xml:space="preserve">The course will be vetted for core credit after officially approved.</w:t>
      </w:r>
    </w:p>
    <w:bookmarkEnd w:id="29"/>
    <w:bookmarkEnd w:id="30"/>
    <w:bookmarkStart w:id="44" w:name="course-requirements"/>
    <w:p>
      <w:pPr>
        <w:pStyle w:val="Heading1"/>
      </w:pPr>
      <w:r>
        <w:t xml:space="preserve">Course Requirements</w:t>
      </w:r>
    </w:p>
    <w:bookmarkStart w:id="34" w:name="assignments"/>
    <w:p>
      <w:pPr>
        <w:pStyle w:val="Heading2"/>
      </w:pPr>
      <w:r>
        <w:t xml:space="preserve">Assignments</w:t>
      </w:r>
    </w:p>
    <w:bookmarkStart w:id="31" w:name="formal-writing-research"/>
    <w:p>
      <w:pPr>
        <w:pStyle w:val="Heading3"/>
      </w:pPr>
      <w:r>
        <w:t xml:space="preserve">Formal Writing &amp; Research</w:t>
      </w:r>
    </w:p>
    <w:p>
      <w:pPr>
        <w:pStyle w:val="FirstParagraph"/>
      </w:pPr>
      <w:r>
        <w:rPr>
          <w:b/>
          <w:bCs/>
        </w:rPr>
        <w:t xml:space="preserve">Reflections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Baseline Reflection:</w:t>
      </w:r>
      <w:r>
        <w:t xml:space="preserve"> </w:t>
      </w:r>
      <w:r>
        <w:t xml:space="preserve">Students articulate their incoming</w:t>
      </w:r>
      <w:r>
        <w:t xml:space="preserve"> </w:t>
      </w:r>
      <w:r>
        <w:t xml:space="preserve">relationship to data and visualization—what they notice, what they</w:t>
      </w:r>
      <w:r>
        <w:t xml:space="preserve"> </w:t>
      </w:r>
      <w:r>
        <w:t xml:space="preserve">trust, and what they find confusing.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Midterm Reflection with Proposed Grade:</w:t>
      </w:r>
      <w:r>
        <w:t xml:space="preserve"> </w:t>
      </w:r>
      <w:r>
        <w:t xml:space="preserve">Students assess their</w:t>
      </w:r>
      <w:r>
        <w:t xml:space="preserve"> </w:t>
      </w:r>
      <w:r>
        <w:t xml:space="preserve">learning so far, citing specific evidence from their work, and propose</w:t>
      </w:r>
      <w:r>
        <w:t xml:space="preserve"> </w:t>
      </w:r>
      <w:r>
        <w:t xml:space="preserve">a grade with justification.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Final Reflection with Proposed Grade:</w:t>
      </w:r>
      <w:r>
        <w:t xml:space="preserve"> </w:t>
      </w:r>
      <w:r>
        <w:t xml:space="preserve">Students make an</w:t>
      </w:r>
      <w:r>
        <w:t xml:space="preserve"> </w:t>
      </w:r>
      <w:r>
        <w:t xml:space="preserve">evidence-based argument for their course grade, drawing on all work</w:t>
      </w:r>
      <w:r>
        <w:t xml:space="preserve"> </w:t>
      </w:r>
      <w:r>
        <w:t xml:space="preserve">produced and growth demonstrated.</w:t>
      </w:r>
    </w:p>
    <w:bookmarkEnd w:id="31"/>
    <w:bookmarkStart w:id="32" w:name="labs-module-deliverables"/>
    <w:p>
      <w:pPr>
        <w:pStyle w:val="Heading3"/>
      </w:pPr>
      <w:r>
        <w:t xml:space="preserve">Labs &amp; Module Deliverables</w:t>
      </w:r>
    </w:p>
    <w:p>
      <w:pPr>
        <w:pStyle w:val="FirstParagraph"/>
      </w:pPr>
      <w:r>
        <w:rPr>
          <w:b/>
          <w:bCs/>
        </w:rPr>
        <w:t xml:space="preserve">Module 1: What Counts as Data?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Lab 1a: From Observation to Spreadsheet:</w:t>
      </w:r>
      <w:r>
        <w:t xml:space="preserve"> </w:t>
      </w:r>
      <w:r>
        <w:t xml:space="preserve">Hands-on practice turning</w:t>
      </w:r>
      <w:r>
        <w:t xml:space="preserve"> </w:t>
      </w:r>
      <w:r>
        <w:t xml:space="preserve">qualitative observations into structured data in Excel; confronting</w:t>
      </w:r>
      <w:r>
        <w:t xml:space="preserve"> </w:t>
      </w:r>
      <w:r>
        <w:t xml:space="preserve">decisions about what to count and how to categorize.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Lab 1b: Your First Chart:</w:t>
      </w:r>
      <w:r>
        <w:t xml:space="preserve"> </w:t>
      </w:r>
      <w:r>
        <w:t xml:space="preserve">Building basic charts in Excel;</w:t>
      </w:r>
      <w:r>
        <w:t xml:space="preserve"> </w:t>
      </w:r>
      <w:r>
        <w:t xml:space="preserve">exploring how different chart types tell different stories from the</w:t>
      </w:r>
      <w:r>
        <w:t xml:space="preserve"> </w:t>
      </w:r>
      <w:r>
        <w:t xml:space="preserve">same data.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Module 1 Deliverable:</w:t>
      </w:r>
      <w:r>
        <w:t xml:space="preserve"> </w:t>
      </w:r>
      <w:r>
        <w:t xml:space="preserve">A visualization built in Excel from a</w:t>
      </w:r>
      <w:r>
        <w:t xml:space="preserve"> </w:t>
      </w:r>
      <w:r>
        <w:t xml:space="preserve">dataset the student assembled, accompanied by a brief statement about</w:t>
      </w:r>
      <w:r>
        <w:t xml:space="preserve"> </w:t>
      </w:r>
      <w:r>
        <w:t xml:space="preserve">what they chose to count and why.</w:t>
      </w:r>
    </w:p>
    <w:p>
      <w:pPr>
        <w:pStyle w:val="FirstParagraph"/>
      </w:pPr>
      <w:r>
        <w:rPr>
          <w:b/>
          <w:bCs/>
        </w:rPr>
        <w:t xml:space="preserve">Module 1H: Seeing Data—A Short History of Visualization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Lab 1Ha: Reading Historical Visualizations:</w:t>
      </w:r>
      <w:r>
        <w:t xml:space="preserve"> </w:t>
      </w:r>
      <w:r>
        <w:t xml:space="preserve">Close analysis of</w:t>
      </w:r>
      <w:r>
        <w:t xml:space="preserve"> </w:t>
      </w:r>
      <w:r>
        <w:t xml:space="preserve">landmark visualizations (Nightingale’s rose diagram, Snow’s cholera</w:t>
      </w:r>
      <w:r>
        <w:t xml:space="preserve"> </w:t>
      </w:r>
      <w:r>
        <w:t xml:space="preserve">map, Du Bois’s data portraits, Minard’s Napoleon chart) as objects of</w:t>
      </w:r>
      <w:r>
        <w:t xml:space="preserve"> </w:t>
      </w:r>
      <w:r>
        <w:t xml:space="preserve">interpretation, not just illustration.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Lab 1Hb: What Were They Arguing?:</w:t>
      </w:r>
      <w:r>
        <w:t xml:space="preserve"> </w:t>
      </w:r>
      <w:r>
        <w:t xml:space="preserve">Students select one historical</w:t>
      </w:r>
      <w:r>
        <w:t xml:space="preserve"> </w:t>
      </w:r>
      <w:r>
        <w:t xml:space="preserve">visualization and write a brief analysis identifying the argument, the</w:t>
      </w:r>
      <w:r>
        <w:t xml:space="preserve"> </w:t>
      </w:r>
      <w:r>
        <w:t xml:space="preserve">audience, and the choices that shaped the display.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Module 1H Deliverable:</w:t>
      </w:r>
      <w:r>
        <w:t xml:space="preserve"> </w:t>
      </w:r>
      <w:r>
        <w:t xml:space="preserve">A written analysis of a historical</w:t>
      </w:r>
      <w:r>
        <w:t xml:space="preserve"> </w:t>
      </w:r>
      <w:r>
        <w:t xml:space="preserve">visualization identifying what it argues, how its design shapes that</w:t>
      </w:r>
      <w:r>
        <w:t xml:space="preserve"> </w:t>
      </w:r>
      <w:r>
        <w:t xml:space="preserve">argument, and what it leaves out.</w:t>
      </w:r>
    </w:p>
    <w:p>
      <w:pPr>
        <w:pStyle w:val="FirstParagraph"/>
      </w:pPr>
      <w:r>
        <w:rPr>
          <w:b/>
          <w:bCs/>
        </w:rPr>
        <w:t xml:space="preserve">Module 2: What Does This Chart Actually Say?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Lab 2a: Chart Anatomy and Rhetoric:</w:t>
      </w:r>
      <w:r>
        <w:t xml:space="preserve"> </w:t>
      </w:r>
      <w:r>
        <w:t xml:space="preserve">Deconstructing published</w:t>
      </w:r>
      <w:r>
        <w:t xml:space="preserve"> </w:t>
      </w:r>
      <w:r>
        <w:t xml:space="preserve">visualizations—axis choices, color, scale, framing—to identify how</w:t>
      </w:r>
      <w:r>
        <w:t xml:space="preserve"> </w:t>
      </w:r>
      <w:r>
        <w:t xml:space="preserve">design shapes meaning.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Lab 2b: Same Data, Different Story:</w:t>
      </w:r>
      <w:r>
        <w:t xml:space="preserve"> </w:t>
      </w:r>
      <w:r>
        <w:t xml:space="preserve">Using a GUI tool (Datawrapper</w:t>
      </w:r>
      <w:r>
        <w:t xml:space="preserve"> </w:t>
      </w:r>
      <w:r>
        <w:t xml:space="preserve">or RAWGraphs), students produce two different visualizations from the</w:t>
      </w:r>
      <w:r>
        <w:t xml:space="preserve"> </w:t>
      </w:r>
      <w:r>
        <w:t xml:space="preserve">same dataset and write about how each version argues differently.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Module 2 Deliverable:</w:t>
      </w:r>
      <w:r>
        <w:t xml:space="preserve"> </w:t>
      </w:r>
      <w:r>
        <w:t xml:space="preserve">Two visualizations of the same data built</w:t>
      </w:r>
      <w:r>
        <w:t xml:space="preserve"> </w:t>
      </w:r>
      <w:r>
        <w:t xml:space="preserve">with a GUI tool, accompanied by a comparative analysis of how each</w:t>
      </w:r>
      <w:r>
        <w:t xml:space="preserve"> </w:t>
      </w:r>
      <w:r>
        <w:t xml:space="preserve">display shapes interpretation.</w:t>
      </w:r>
    </w:p>
    <w:p>
      <w:pPr>
        <w:pStyle w:val="FirstParagraph"/>
      </w:pPr>
      <w:r>
        <w:rPr>
          <w:b/>
          <w:bCs/>
        </w:rPr>
        <w:t xml:space="preserve">Module 3: What’s Missing?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Lab 3a: Gaps, Absences, and Limits:</w:t>
      </w:r>
      <w:r>
        <w:t xml:space="preserve"> </w:t>
      </w:r>
      <w:r>
        <w:t xml:space="preserve">Working with a dataset that</w:t>
      </w:r>
      <w:r>
        <w:t xml:space="preserve"> </w:t>
      </w:r>
      <w:r>
        <w:t xml:space="preserve">has missing values, inconsistent categories, or excluded populations;</w:t>
      </w:r>
      <w:r>
        <w:t xml:space="preserve"> </w:t>
      </w:r>
      <w:r>
        <w:t xml:space="preserve">exploring what can and cannot be shown.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Lab 3b: Making Absence Visible:</w:t>
      </w:r>
      <w:r>
        <w:t xml:space="preserve"> </w:t>
      </w:r>
      <w:r>
        <w:t xml:space="preserve">Building a visualization that</w:t>
      </w:r>
      <w:r>
        <w:t xml:space="preserve"> </w:t>
      </w:r>
      <w:r>
        <w:t xml:space="preserve">acknowledges or foregrounds what is missing rather than hiding it;</w:t>
      </w:r>
      <w:r>
        <w:t xml:space="preserve"> </w:t>
      </w:r>
      <w:r>
        <w:t xml:space="preserve">introduction to pre-built notebooks.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Module 3 Deliverable:</w:t>
      </w:r>
      <w:r>
        <w:t xml:space="preserve"> </w:t>
      </w:r>
      <w:r>
        <w:t xml:space="preserve">A visualization that makes absence or</w:t>
      </w:r>
      <w:r>
        <w:t xml:space="preserve"> </w:t>
      </w:r>
      <w:r>
        <w:t xml:space="preserve">limitation visible, with a reflection on what the data cannot support.</w:t>
      </w:r>
    </w:p>
    <w:p>
      <w:pPr>
        <w:pStyle w:val="FirstParagraph"/>
      </w:pPr>
      <w:r>
        <w:rPr>
          <w:b/>
          <w:bCs/>
        </w:rPr>
        <w:t xml:space="preserve">Module 4: Who Is This For?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Lab 4a: Audience, Purpose, and Ethics:</w:t>
      </w:r>
      <w:r>
        <w:t xml:space="preserve"> </w:t>
      </w:r>
      <w:r>
        <w:t xml:space="preserve">Examining how the same data</w:t>
      </w:r>
      <w:r>
        <w:t xml:space="preserve"> </w:t>
      </w:r>
      <w:r>
        <w:t xml:space="preserve">is presented differently for different audiences (academic paper vs.</w:t>
      </w:r>
      <w:r>
        <w:t xml:space="preserve"> </w:t>
      </w:r>
      <w:r>
        <w:t xml:space="preserve">news graphic vs. advocacy piece); ethical dimensions of display.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Lab 4b: Building for an Audience:</w:t>
      </w:r>
      <w:r>
        <w:t xml:space="preserve"> </w:t>
      </w:r>
      <w:r>
        <w:t xml:space="preserve">Using a pre-built notebook,</w:t>
      </w:r>
      <w:r>
        <w:t xml:space="preserve"> </w:t>
      </w:r>
      <w:r>
        <w:t xml:space="preserve">students modify and customize a visualization for a specific audience,</w:t>
      </w:r>
      <w:r>
        <w:t xml:space="preserve"> </w:t>
      </w:r>
      <w:r>
        <w:t xml:space="preserve">making deliberate choices about what to show, emphasize, and explain.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Module 4 Deliverable:</w:t>
      </w:r>
      <w:r>
        <w:t xml:space="preserve"> </w:t>
      </w:r>
      <w:r>
        <w:t xml:space="preserve">A visualization designed for a specific</w:t>
      </w:r>
      <w:r>
        <w:t xml:space="preserve"> </w:t>
      </w:r>
      <w:r>
        <w:t xml:space="preserve">audience using a pre-built notebook, accompanied by a brief audience</w:t>
      </w:r>
      <w:r>
        <w:t xml:space="preserve"> </w:t>
      </w:r>
      <w:r>
        <w:t xml:space="preserve">analysis explaining how audience and purpose shaped design choices.</w:t>
      </w:r>
    </w:p>
    <w:bookmarkEnd w:id="32"/>
    <w:bookmarkStart w:id="33" w:name="final-evaluative-exercise"/>
    <w:p>
      <w:pPr>
        <w:pStyle w:val="Heading3"/>
      </w:pPr>
      <w:r>
        <w:t xml:space="preserve">Final Evaluative Exercise</w:t>
      </w:r>
    </w:p>
    <w:p>
      <w:pPr>
        <w:pStyle w:val="FirstParagraph"/>
      </w:pPr>
      <w:r>
        <w:rPr>
          <w:b/>
          <w:bCs/>
        </w:rPr>
        <w:t xml:space="preserve">Data Story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Data Story Proposal:</w:t>
      </w:r>
      <w:r>
        <w:t xml:space="preserve"> </w:t>
      </w:r>
      <w:r>
        <w:t xml:space="preserve">A brief document identifying a question, a</w:t>
      </w:r>
      <w:r>
        <w:t xml:space="preserve"> </w:t>
      </w:r>
      <w:r>
        <w:t xml:space="preserve">dataset, an intended audience, and a preliminary approach.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Data Story: Visual Component:</w:t>
      </w:r>
      <w:r>
        <w:t xml:space="preserve"> </w:t>
      </w:r>
      <w:r>
        <w:t xml:space="preserve">A set of 2-3 connected</w:t>
      </w:r>
      <w:r>
        <w:t xml:space="preserve"> </w:t>
      </w:r>
      <w:r>
        <w:t xml:space="preserve">visualizations that build a coherent argument, using any tools from the</w:t>
      </w:r>
      <w:r>
        <w:t xml:space="preserve"> </w:t>
      </w:r>
      <w:r>
        <w:t xml:space="preserve">course.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Data Story: Narrative Component:</w:t>
      </w:r>
      <w:r>
        <w:t xml:space="preserve"> </w:t>
      </w:r>
      <w:r>
        <w:t xml:space="preserve">A written narrative (800-1200</w:t>
      </w:r>
      <w:r>
        <w:t xml:space="preserve"> </w:t>
      </w:r>
      <w:r>
        <w:t xml:space="preserve">words) that connects the visualizations, explains the choices made, and</w:t>
      </w:r>
      <w:r>
        <w:t xml:space="preserve"> </w:t>
      </w:r>
      <w:r>
        <w:t xml:space="preserve">articulates what the data can and cannot support.</w:t>
      </w:r>
    </w:p>
    <w:bookmarkEnd w:id="33"/>
    <w:bookmarkEnd w:id="34"/>
    <w:bookmarkStart w:id="37" w:name="grading-philosophy-policy"/>
    <w:p>
      <w:pPr>
        <w:pStyle w:val="Heading2"/>
      </w:pPr>
      <w:r>
        <w:t xml:space="preserve">Grading Philosophy &amp; Policy</w:t>
      </w:r>
    </w:p>
    <w:p>
      <w:pPr>
        <w:pStyle w:val="FirstParagraph"/>
      </w:pPr>
      <w:r>
        <w:t xml:space="preserve">This course utilizes an Ungrading philosophy. This means I will not</w:t>
      </w:r>
      <w:r>
        <w:t xml:space="preserve"> </w:t>
      </w:r>
      <w:r>
        <w:t xml:space="preserve">assign letter grades to individual assignments. Instead, we will focus</w:t>
      </w:r>
      <w:r>
        <w:t xml:space="preserve"> </w:t>
      </w:r>
      <w:r>
        <w:t xml:space="preserve">on qualitative feedback, self-reflection, and iterative improvement.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You will receive detailed feedback on your work and</w:t>
      </w:r>
      <w:r>
        <w:t xml:space="preserve"> </w:t>
      </w:r>
      <w:r>
        <w:t xml:space="preserve">concepts.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Self-Evaluation:</w:t>
      </w:r>
      <w:r>
        <w:t xml:space="preserve"> </w:t>
      </w:r>
      <w:r>
        <w:t xml:space="preserve">You will regularly reflect on your own learning</w:t>
      </w:r>
      <w:r>
        <w:t xml:space="preserve"> </w:t>
      </w:r>
      <w:r>
        <w:t xml:space="preserve">and progress through the course of the semester (see Self-Reflection</w:t>
      </w:r>
      <w:r>
        <w:t xml:space="preserve"> </w:t>
      </w:r>
      <w:r>
        <w:t xml:space="preserve">above)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 Grade:</w:t>
      </w:r>
      <w:r>
        <w:t xml:space="preserve"> </w:t>
      </w:r>
      <w:r>
        <w:t xml:space="preserve">At the end of the semester, you will submit a</w:t>
      </w:r>
      <w:r>
        <w:t xml:space="preserve"> </w:t>
      </w:r>
      <w:r>
        <w:t xml:space="preserve">portfolio and a self-evaluation proposing your final grade based on</w:t>
      </w:r>
      <w:r>
        <w:t xml:space="preserve"> </w:t>
      </w:r>
      <w:r>
        <w:t xml:space="preserve">your growth, effort, and the quality of your work. If my assessment</w:t>
      </w:r>
      <w:r>
        <w:t xml:space="preserve"> </w:t>
      </w:r>
      <w:r>
        <w:t xml:space="preserve">differs significantly from yours, we will meet to discuss it.</w:t>
      </w:r>
    </w:p>
    <w:p>
      <w:pPr>
        <w:pStyle w:val="FirstParagraph"/>
      </w:pPr>
      <w:r>
        <w:rPr>
          <w:b/>
          <w:bCs/>
        </w:rPr>
        <w:t xml:space="preserve">Why Ungrading?</w:t>
      </w:r>
      <w:r>
        <w:t xml:space="preserve"> </w:t>
      </w:r>
      <w:r>
        <w:t xml:space="preserve">Critical inquiry requires risk-taking and failure. A</w:t>
      </w:r>
      <w:r>
        <w:t xml:space="preserve"> </w:t>
      </w:r>
      <w:r>
        <w:t xml:space="preserve">traditional grading system often punishes failure, leading to safe,</w:t>
      </w:r>
      <w:r>
        <w:t xml:space="preserve"> </w:t>
      </w:r>
      <w:r>
        <w:t xml:space="preserve">boring work. Ungrading encourages you to experiment, try new things, and</w:t>
      </w:r>
      <w:r>
        <w:t xml:space="preserve"> </w:t>
      </w:r>
      <w:r>
        <w:t xml:space="preserve">learn from the process without fear of a low grade.</w:t>
      </w:r>
    </w:p>
    <w:bookmarkStart w:id="35" w:name="late-work"/>
    <w:p>
      <w:pPr>
        <w:pStyle w:val="Heading3"/>
      </w:pPr>
      <w:r>
        <w:t xml:space="preserve">Late Work</w:t>
      </w:r>
    </w:p>
    <w:p>
      <w:pPr>
        <w:pStyle w:val="FirstParagraph"/>
      </w:pPr>
      <w:r>
        <w:t xml:space="preserve">Our schedule is tight, and you have important work to do. In the context</w:t>
      </w:r>
      <w:r>
        <w:t xml:space="preserve"> </w:t>
      </w:r>
      <w:r>
        <w:t xml:space="preserve">of our Ungrading policy, I see assignment deadlines as milestones to</w:t>
      </w:r>
      <w:r>
        <w:t xml:space="preserve"> </w:t>
      </w:r>
      <w:r>
        <w:t xml:space="preserve">keep you on track for the course’s 5 modules and final project.</w:t>
      </w:r>
    </w:p>
    <w:p>
      <w:pPr>
        <w:pStyle w:val="BodyText"/>
      </w:pPr>
      <w:r>
        <w:t xml:space="preserve">“Failure”</w:t>
      </w:r>
      <w:r>
        <w:t xml:space="preserve"> </w:t>
      </w:r>
      <w:r>
        <w:t xml:space="preserve">to submit your work in a timely fashion will affect our</w:t>
      </w:r>
      <w:r>
        <w:t xml:space="preserve"> </w:t>
      </w:r>
      <w:r>
        <w:t xml:space="preserve">ability to provide timely and needed feedback on your work and could</w:t>
      </w:r>
      <w:r>
        <w:t xml:space="preserve"> </w:t>
      </w:r>
      <w:r>
        <w:t xml:space="preserve">affect the persuasiveness of the arguments you make for your midterm and</w:t>
      </w:r>
      <w:r>
        <w:t xml:space="preserve"> </w:t>
      </w:r>
      <w:r>
        <w:t xml:space="preserve">semester grades.</w:t>
      </w:r>
    </w:p>
    <w:bookmarkEnd w:id="35"/>
    <w:bookmarkStart w:id="36" w:name="participation-engagement-attendance"/>
    <w:p>
      <w:pPr>
        <w:pStyle w:val="Heading3"/>
      </w:pPr>
      <w:r>
        <w:t xml:space="preserve">Participation, Engagement &amp; Attendance</w:t>
      </w:r>
    </w:p>
    <w:p>
      <w:pPr>
        <w:pStyle w:val="FirstParagraph"/>
      </w:pPr>
      <w:r>
        <w:t xml:space="preserve">Working with data is a practice, not just a theory. Attendance in</w:t>
      </w:r>
      <w:r>
        <w:t xml:space="preserve"> </w:t>
      </w:r>
      <w:r>
        <w:t xml:space="preserve">workshop sessions is critical for hands-on learning and peer</w:t>
      </w:r>
      <w:r>
        <w:t xml:space="preserve"> </w:t>
      </w:r>
      <w:r>
        <w:t xml:space="preserve">collaboration. If you miss class, the instructor will not catch you up</w:t>
      </w:r>
      <w:r>
        <w:t xml:space="preserve"> </w:t>
      </w:r>
      <w:r>
        <w:t xml:space="preserve">during class time, as this will slow down the progress of other</w:t>
      </w:r>
      <w:r>
        <w:t xml:space="preserve"> </w:t>
      </w:r>
      <w:r>
        <w:t xml:space="preserve">students. If you need assistance making up missed work, please make an</w:t>
      </w:r>
      <w:r>
        <w:t xml:space="preserve"> </w:t>
      </w:r>
      <w:r>
        <w:t xml:space="preserve">appointment before the next class period meets:</w:t>
      </w:r>
      <w:r>
        <w:t xml:space="preserve"> </w:t>
      </w:r>
      <w:r>
        <w:t xml:space="preserve">https://calendly.com/c-rode/appointments</w:t>
      </w:r>
    </w:p>
    <w:bookmarkEnd w:id="36"/>
    <w:bookmarkEnd w:id="37"/>
    <w:bookmarkStart w:id="39" w:name="course-assignments-final-grade"/>
    <w:p>
      <w:pPr>
        <w:pStyle w:val="Heading2"/>
      </w:pPr>
      <w:r>
        <w:t xml:space="preserve">Course Assignments &amp; Final Grade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Course Components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Learning Outcomes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Labs (10)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CLO 1, 2, 3, 4, 5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Self-Reflection Essays (3)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CLO 7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Module Deliverables (5)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CLO 2, 3, 5, 6; DCO01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Data Story (1)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CLO 1-7; DCO01</w:t>
            </w:r>
          </w:p>
        </w:tc>
      </w:tr>
    </w:tbl>
    <w:bookmarkStart w:id="38" w:name="grading-scales"/>
    <w:p>
      <w:pPr>
        <w:pStyle w:val="Heading3"/>
      </w:pPr>
      <w:r>
        <w:t xml:space="preserve">Grading Scale(s)</w:t>
      </w:r>
    </w:p>
    <w:p>
      <w:pPr>
        <w:pStyle w:val="FirstParagraph"/>
      </w:pPr>
      <w:r>
        <w:t xml:space="preserve">For your reference, the faculty definition of grades, and the</w:t>
      </w:r>
      <w:r>
        <w:t xml:space="preserve"> </w:t>
      </w:r>
      <w:r>
        <w:t xml:space="preserve">letter/percentage system designed to indicate quality of work in this</w:t>
      </w:r>
      <w:r>
        <w:t xml:space="preserve"> </w:t>
      </w:r>
      <w:r>
        <w:t xml:space="preserve">class, is as follows: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Work Quality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Letter Grade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GPA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Excellent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4.00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</w:pP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A-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3.67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</w:pP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B+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3.33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Good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3.00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</w:pP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B-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2.67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</w:pP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C+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2.33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Satisfactory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2.00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</w:pP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C-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1.67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</w:pP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D+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1.33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Poor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1.00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</w:pP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D-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0.67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Failing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</w:t>
            </w:r>
          </w:p>
        </w:tc>
      </w:tr>
    </w:tbl>
    <w:bookmarkEnd w:id="38"/>
    <w:bookmarkEnd w:id="39"/>
    <w:bookmarkStart w:id="43" w:name="course-policies"/>
    <w:p>
      <w:pPr>
        <w:pStyle w:val="Heading2"/>
      </w:pPr>
      <w:r>
        <w:t xml:space="preserve">Course Policies</w:t>
      </w:r>
    </w:p>
    <w:bookmarkStart w:id="40" w:name="safe-zone"/>
    <w:p>
      <w:pPr>
        <w:pStyle w:val="Heading3"/>
      </w:pPr>
      <w:r>
        <w:t xml:space="preserve">Safe Zone</w:t>
      </w:r>
    </w:p>
    <w:p>
      <w:pPr>
        <w:pStyle w:val="FirstParagraph"/>
      </w:pPr>
      <w:r>
        <w:t xml:space="preserve">Our goal is for each student to feel comfortable and able to connect</w:t>
      </w:r>
      <w:r>
        <w:t xml:space="preserve"> </w:t>
      </w:r>
      <w:r>
        <w:t xml:space="preserve">with course content and classroom discussion. Please know that we</w:t>
      </w:r>
      <w:r>
        <w:t xml:space="preserve"> </w:t>
      </w:r>
      <w:r>
        <w:t xml:space="preserve">welcome, affirm, and celebrate persons in the LGBTQIA communities of</w:t>
      </w:r>
      <w:r>
        <w:t xml:space="preserve"> </w:t>
      </w:r>
      <w:r>
        <w:t xml:space="preserve">Texas Christian University. (LGBTQIA stands for Lesbian, Gay, Bisexual,</w:t>
      </w:r>
      <w:r>
        <w:t xml:space="preserve"> </w:t>
      </w:r>
      <w:r>
        <w:t xml:space="preserve">Transgender, Queer, Intersex, Asexual, Ally). We will not allow</w:t>
      </w:r>
      <w:r>
        <w:t xml:space="preserve"> </w:t>
      </w:r>
      <w:r>
        <w:t xml:space="preserve">homophobic comments in class and will strive to use inclusive language.</w:t>
      </w:r>
      <w:r>
        <w:t xml:space="preserve"> </w:t>
      </w:r>
      <w:r>
        <w:t xml:space="preserve">Please visit http://www.allies.tcu.edu/training.asp for more</w:t>
      </w:r>
      <w:r>
        <w:t xml:space="preserve"> </w:t>
      </w:r>
      <w:r>
        <w:t xml:space="preserve">information.</w:t>
      </w:r>
    </w:p>
    <w:bookmarkEnd w:id="40"/>
    <w:bookmarkStart w:id="41" w:name="class-norms-recordings"/>
    <w:p>
      <w:pPr>
        <w:pStyle w:val="Heading3"/>
      </w:pPr>
      <w:r>
        <w:t xml:space="preserve">Class Norms &amp; Recordings</w:t>
      </w:r>
    </w:p>
    <w:p>
      <w:pPr>
        <w:pStyle w:val="FirstParagraph"/>
      </w:pPr>
      <w:r>
        <w:t xml:space="preserve">We consider our classroom a safe space for people to learn, and we have</w:t>
      </w:r>
      <w:r>
        <w:t xml:space="preserve"> </w:t>
      </w:r>
      <w:r>
        <w:t xml:space="preserve">an obligation to ensure it remains intact. All members of the class are</w:t>
      </w:r>
      <w:r>
        <w:t xml:space="preserve"> </w:t>
      </w:r>
      <w:r>
        <w:t xml:space="preserve">expected to follow rules of common courtesy in person and in all email</w:t>
      </w:r>
      <w:r>
        <w:t xml:space="preserve"> </w:t>
      </w:r>
      <w:r>
        <w:t xml:space="preserve">messages, discussions, or any exchanges on a digital platform related to</w:t>
      </w:r>
      <w:r>
        <w:t xml:space="preserve"> </w:t>
      </w:r>
      <w:r>
        <w:t xml:space="preserve">this class.</w:t>
      </w:r>
    </w:p>
    <w:p>
      <w:pPr>
        <w:pStyle w:val="BodyText"/>
      </w:pPr>
      <w:r>
        <w:t xml:space="preserve">Our class sessions are not available for public consumption or</w:t>
      </w:r>
      <w:r>
        <w:t xml:space="preserve"> </w:t>
      </w:r>
      <w:r>
        <w:t xml:space="preserve">circulation beyond the intended uses for this class. Audio, video, or</w:t>
      </w:r>
      <w:r>
        <w:t xml:space="preserve"> </w:t>
      </w:r>
      <w:r>
        <w:t xml:space="preserve">screen recording (including screen shots, snips, grabs, etc.) is</w:t>
      </w:r>
      <w:r>
        <w:t xml:space="preserve"> </w:t>
      </w:r>
      <w:r>
        <w:t xml:space="preserve">prohibited and can result in a failing grade for this course and</w:t>
      </w:r>
      <w:r>
        <w:t xml:space="preserve"> </w:t>
      </w:r>
      <w:r>
        <w:t xml:space="preserve">suspension of access to University Computing Resources. TCU students are</w:t>
      </w:r>
      <w:r>
        <w:t xml:space="preserve"> </w:t>
      </w:r>
      <w:r>
        <w:t xml:space="preserve">prohibited from sharing any portion of course materials (including</w:t>
      </w:r>
      <w:r>
        <w:t xml:space="preserve"> </w:t>
      </w:r>
      <w:r>
        <w:t xml:space="preserve">videos, PowerPoint slides, assignments, or notes) with others, including</w:t>
      </w:r>
      <w:r>
        <w:t xml:space="preserve"> </w:t>
      </w:r>
      <w:r>
        <w:t xml:space="preserve">on social media, without written permission by the course instructors.</w:t>
      </w:r>
      <w:r>
        <w:t xml:space="preserve"> </w:t>
      </w:r>
      <w:r>
        <w:t xml:space="preserve">Be sure to read the full TCU policy.</w:t>
      </w:r>
    </w:p>
    <w:p>
      <w:pPr>
        <w:pStyle w:val="BodyText"/>
      </w:pPr>
      <w:r>
        <w:t xml:space="preserve">Of course, if you have accommodations that allow you to make audio</w:t>
      </w:r>
      <w:r>
        <w:t xml:space="preserve"> </w:t>
      </w:r>
      <w:r>
        <w:t xml:space="preserve">recordings, you can. However, please review Student Access and</w:t>
      </w:r>
      <w:r>
        <w:t xml:space="preserve"> </w:t>
      </w:r>
      <w:r>
        <w:t xml:space="preserve">Accommodation and contact me immediately if this is the case. You can,</w:t>
      </w:r>
      <w:r>
        <w:t xml:space="preserve"> </w:t>
      </w:r>
      <w:r>
        <w:t xml:space="preserve">of course, take good notes. If you cannot attend a class for any reason,</w:t>
      </w:r>
      <w:r>
        <w:t xml:space="preserve"> </w:t>
      </w:r>
      <w:r>
        <w:t xml:space="preserve">you’re welcome to contact another classmate to find out what you missed,</w:t>
      </w:r>
      <w:r>
        <w:t xml:space="preserve"> </w:t>
      </w:r>
      <w:r>
        <w:t xml:space="preserve">and you can always set up a one-on-one conference with me if you have</w:t>
      </w:r>
      <w:r>
        <w:t xml:space="preserve"> </w:t>
      </w:r>
      <w:r>
        <w:t xml:space="preserve">questions about the material.</w:t>
      </w:r>
    </w:p>
    <w:bookmarkEnd w:id="41"/>
    <w:bookmarkStart w:id="42" w:name="technology-policies"/>
    <w:p>
      <w:pPr>
        <w:pStyle w:val="Heading3"/>
      </w:pPr>
      <w:r>
        <w:t xml:space="preserve">Technology Policies</w:t>
      </w:r>
    </w:p>
    <w:p>
      <w:pPr>
        <w:pStyle w:val="FirstParagraph"/>
      </w:pPr>
      <w:r>
        <w:t xml:space="preserve">Students are expected to bring their charged and fully operational</w:t>
      </w:r>
      <w:r>
        <w:t xml:space="preserve"> </w:t>
      </w:r>
      <w:r>
        <w:t xml:space="preserve">laptops to every class. AI tools (Copilot, ChatGPT, Claude, Gemini) are</w:t>
      </w:r>
      <w:r>
        <w:t xml:space="preserve"> </w:t>
      </w:r>
      <w:r>
        <w:t xml:space="preserve">permitted as learning aids but must be cited. You must be able to explain</w:t>
      </w:r>
      <w:r>
        <w:t xml:space="preserve"> </w:t>
      </w:r>
      <w:r>
        <w:t xml:space="preserve">the choices and reasoning behind any work you submit.</w:t>
      </w:r>
    </w:p>
    <w:bookmarkEnd w:id="42"/>
    <w:bookmarkEnd w:id="43"/>
    <w:bookmarkEnd w:id="44"/>
    <w:bookmarkStart w:id="45" w:name="course-schedule"/>
    <w:p>
      <w:pPr>
        <w:pStyle w:val="Heading1"/>
      </w:pPr>
      <w:r>
        <w:t xml:space="preserve">Course Schedule</w:t>
      </w:r>
    </w:p>
    <w:p>
      <w:pPr>
        <w:pStyle w:val="FirstParagraph"/>
      </w:pPr>
      <w:r>
        <w:t xml:space="preserve">This calendar represents current course plans. Plans may need to change</w:t>
      </w:r>
      <w:r>
        <w:t xml:space="preserve"> </w:t>
      </w:r>
      <w:r>
        <w:t xml:space="preserve">to enhance the learning opportunities and will be communicated via D2L.</w:t>
      </w:r>
    </w:p>
    <w:p>
      <w:pPr>
        <w:pStyle w:val="BodyText"/>
      </w:pPr>
      <w:r>
        <w:rPr>
          <w:i/>
          <w:iCs/>
        </w:rPr>
        <w:t xml:space="preserve">80-minute sessions, Tuesday/Thursday</w:t>
      </w:r>
    </w:p>
    <w:tbl>
      <w:tblPr>
        <w:tblStyle w:val="Table"/>
        <w:tblW w:type="pct" w:w="4867"/>
        <w:jc w:val="center"/>
        <w:tblLayout w:type="fixed"/>
        <w:tblLook w:firstRow="1" w:lastRow="0" w:firstColumn="0" w:lastColumn="0" w:noHBand="0" w:noVBand="0" w:val="0020"/>
      </w:tblPr>
      <w:tblGrid>
        <w:gridCol w:w="1900"/>
        <w:gridCol w:w="2745"/>
        <w:gridCol w:w="3062"/>
      </w:tblGrid>
      <w:tr>
        <w:trPr>
          <w:tblHeader w:val="on"/>
        </w:trP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Week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Tuesday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4A2C82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Thursday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Course Introduction: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Why Visualize? Data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Everyday Life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Workshop: Setting Up Tools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(Excel, Accounts); Baseline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Reflection assigned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Module 1: What Counts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as Data?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1a: From Observation 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Spreadsheet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From Numbers 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Arguments: How Charts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Claim Things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1b: Your First Chart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Module 1 Deliverable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due; Module 1H: Seeing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Data—A Short History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of Visualization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1Ha: Reading Historical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Visualizations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The Politics of Display: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Du Bois, Nightingale,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and the Act of Showing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1Hb: What Were They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Arguing?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Module 1H Deliverable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due; Module 2: What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Does This Chart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Actually Say?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2a: Chart Anatomy and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Rhetoric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Same Data, Different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Story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2b: Same Data, Different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Story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BREAK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BREAK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Module 2 Deliverable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due; Module 3: What’s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Missing?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3a: Gaps, Absences, and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Limits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Making Absence Visible;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Introduction 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Notebooks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3b: Making Absence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Visible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Module 3 Deliverable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due; Midterm Reflection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due; Module 4: Who Is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This For?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4a: Audience, Purpose,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and Ethics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12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Designing for an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Audience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Lab 4b: Building for an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Audience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13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Module 4 Deliverable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due; Data Story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Proposals and Peer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Feedback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Workshop: Data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Story—Finding and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Preparing Data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14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Workshop: Data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Story—Building Your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Visualizations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Workshop: Data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Story—Writing the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Narrative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15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Workshop: Data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Story—Revision and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Rehearsal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Data Story Presentations</w:t>
            </w:r>
          </w:p>
        </w:tc>
      </w:tr>
      <w:tr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16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Data Story Presentations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(continued); Final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Reflection due</w:t>
            </w:r>
          </w:p>
        </w:tc>
        <w:tc>
          <w:tcPr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  <w:shd w:fill="FAFAFA" w:val="clear"/>
          </w:tcPr>
          <w:p>
            <w:pPr>
              <w:pStyle w:val="Compact"/>
              <w:spacing w:before="40" w:after="40"/>
            </w:pPr>
          </w:p>
        </w:tc>
      </w:tr>
    </w:tbl>
    <w:bookmarkEnd w:id="45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Calibri" w:hAnsi="Calibri"/>
      <w:color w:val="333333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hAnsi="Calibri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hAnsi="Calibri"/>
      <w:color w:val="3333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4A2C82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  <w:jc w:val="center"/>
    </w:pPr>
    <w:rPr>
      <w:rFonts w:ascii="Calibri" w:cstheme="majorBidi" w:eastAsiaTheme="majorEastAsia" w:hAnsi="Calibri"/>
      <w:b w:val="0"/>
      <w:color w:val="555555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80"/>
      <w:outlineLvl w:val="0"/>
      <w:pBdr>
        <w:bottom w:color="4A2C82" w:space="4" w:sz="8" w:val="single"/>
      </w:pBdr>
    </w:pPr>
    <w:rPr>
      <w:rFonts w:ascii="Calibri" w:asciiTheme="majorHAnsi" w:cstheme="majorBidi" w:eastAsiaTheme="majorEastAsia" w:hAnsi="Calibri" w:hAnsiTheme="majorHAnsi"/>
      <w:b/>
      <w:color w:val="4A2C82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Calibri" w:asciiTheme="majorHAnsi" w:cstheme="majorBidi" w:eastAsiaTheme="majorEastAsia" w:hAnsi="Calibri" w:hAnsiTheme="majorHAnsi"/>
      <w:b/>
      <w:color w:val="4A2C8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libri" w:cstheme="majorBidi" w:eastAsiaTheme="majorEastAsia" w:hAnsi="Calibri"/>
      <w:b/>
      <w:color w:val="333333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cte.tcu.edu/tcu-syllabus-policies/#academicmisconduct" TargetMode="External"/><Relationship Id="rId14" Type="http://schemas.openxmlformats.org/officeDocument/2006/relationships/hyperlink" Target="https://cte.tcu.edu/tcu-syllabus-policies/#access" TargetMode="External"/><Relationship Id="rId16" Type="http://schemas.openxmlformats.org/officeDocument/2006/relationships/hyperlink" Target="https://cte.tcu.edu/tcu-syllabus-policies/#emergency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cte.tcu.edu/tcu-syllabus-policies/#academicmisconduct" TargetMode="External"/><Relationship Id="rId14" Type="http://schemas.openxmlformats.org/officeDocument/2006/relationships/hyperlink" Target="https://cte.tcu.edu/tcu-syllabus-policies/#access" TargetMode="External"/><Relationship Id="rId16" Type="http://schemas.openxmlformats.org/officeDocument/2006/relationships/hyperlink" Target="https://cte.tcu.edu/tcu-syllabus-policies/#emerg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2026-02-06T21:39:44Z</dcterms:created>
  <dcterms:modified xsi:type="dcterms:W3CDTF">2026-02-06T21:39:44Z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