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BF3C5">
      <w:pPr>
        <w:spacing w:before="120" w:after="120" w:line="360" w:lineRule="auto"/>
        <w:rPr>
          <w:rFonts w:ascii="Arial" w:hAnsi="Arial" w:cs="Arial"/>
          <w:sz w:val="28"/>
          <w:szCs w:val="28"/>
        </w:rPr>
      </w:pPr>
      <w:r>
        <w:rPr>
          <w:rFonts w:ascii="Arial" w:hAnsi="Arial" w:cs="Arial"/>
          <w:sz w:val="28"/>
          <w:szCs w:val="28"/>
        </w:rPr>
        <w:t>Staff, volunteers and students procedures</w:t>
      </w:r>
    </w:p>
    <w:p w14:paraId="6D98A12B">
      <w:pPr>
        <w:spacing w:before="120" w:after="120" w:line="360" w:lineRule="auto"/>
        <w:rPr>
          <w:rFonts w:ascii="Arial" w:hAnsi="Arial" w:cs="Arial"/>
          <w:b/>
          <w:sz w:val="22"/>
          <w:szCs w:val="22"/>
        </w:rPr>
      </w:pPr>
      <w:r>
        <w:rPr>
          <w:rFonts w:ascii="Arial" w:hAnsi="Arial" w:cs="Arial"/>
          <w:b/>
          <w:bCs/>
          <w:sz w:val="28"/>
          <w:szCs w:val="28"/>
        </w:rPr>
        <w:t>Student placement</w:t>
      </w:r>
    </w:p>
    <w:p w14:paraId="41C86836">
      <w:pPr>
        <w:spacing w:before="120" w:after="120" w:line="360" w:lineRule="auto"/>
        <w:rPr>
          <w:rFonts w:ascii="Arial" w:hAnsi="Arial" w:cs="Arial"/>
          <w:bCs/>
          <w:sz w:val="22"/>
          <w:szCs w:val="22"/>
        </w:rPr>
      </w:pPr>
      <w:r>
        <w:rPr>
          <w:rFonts w:ascii="Arial" w:hAnsi="Arial" w:cs="Arial"/>
          <w:bCs/>
          <w:sz w:val="22"/>
          <w:szCs w:val="22"/>
        </w:rPr>
        <w:t xml:space="preserve">Qualifications and training make an important contribution to the quality of care and education. As part of our commitment, we may offer placements to students undertaking relevant qualifications/training. We aim to provide students experiences that will contribute to the successful completion of their studies and provide examples of quality practice in early years care and education. </w:t>
      </w:r>
    </w:p>
    <w:p w14:paraId="0F1E6D39">
      <w:pPr>
        <w:numPr>
          <w:ilvl w:val="0"/>
          <w:numId w:val="1"/>
        </w:numPr>
        <w:spacing w:before="120" w:after="120" w:line="360" w:lineRule="auto"/>
        <w:rPr>
          <w:rFonts w:ascii="Arial" w:hAnsi="Arial" w:cs="Arial"/>
          <w:b/>
          <w:sz w:val="22"/>
          <w:szCs w:val="22"/>
        </w:rPr>
      </w:pPr>
      <w:r>
        <w:rPr>
          <w:rFonts w:ascii="Arial" w:hAnsi="Arial" w:cs="Arial"/>
          <w:sz w:val="22"/>
          <w:szCs w:val="22"/>
        </w:rPr>
        <w:t>The setting manager ensures that students meet the ‘suitable person’ requirements.</w:t>
      </w:r>
    </w:p>
    <w:p w14:paraId="573AC0E0">
      <w:pPr>
        <w:numPr>
          <w:ilvl w:val="0"/>
          <w:numId w:val="1"/>
        </w:numPr>
        <w:spacing w:before="120" w:after="120" w:line="360" w:lineRule="auto"/>
        <w:rPr>
          <w:rFonts w:ascii="Arial" w:hAnsi="Arial" w:cs="Arial"/>
          <w:b/>
          <w:sz w:val="22"/>
          <w:szCs w:val="22"/>
        </w:rPr>
      </w:pPr>
      <w:r>
        <w:rPr>
          <w:rFonts w:ascii="Arial" w:hAnsi="Arial" w:cs="Arial"/>
          <w:sz w:val="22"/>
          <w:szCs w:val="22"/>
        </w:rPr>
        <w:t>The setting manager discusses the aim of the placement with the student’s tutor prior to the placement commencing. The expectations of both parties are agreed at this point.</w:t>
      </w:r>
    </w:p>
    <w:p w14:paraId="0AD792F3">
      <w:pPr>
        <w:numPr>
          <w:ilvl w:val="0"/>
          <w:numId w:val="1"/>
        </w:numPr>
        <w:spacing w:before="120" w:after="120" w:line="360" w:lineRule="auto"/>
        <w:rPr>
          <w:rFonts w:ascii="Arial" w:hAnsi="Arial" w:cs="Arial"/>
          <w:b/>
          <w:sz w:val="22"/>
          <w:szCs w:val="22"/>
        </w:rPr>
      </w:pPr>
      <w:r>
        <w:rPr>
          <w:rFonts w:ascii="Arial" w:hAnsi="Arial" w:cs="Arial"/>
          <w:sz w:val="22"/>
          <w:szCs w:val="22"/>
        </w:rPr>
        <w:t>The good character of students under 17 years old is vouched for by the establishment that places them, the setting manager must be satisfied that all relevant checks have been made.</w:t>
      </w:r>
    </w:p>
    <w:p w14:paraId="45A041D8">
      <w:pPr>
        <w:numPr>
          <w:ilvl w:val="0"/>
          <w:numId w:val="1"/>
        </w:numPr>
        <w:spacing w:before="120" w:after="120" w:line="360" w:lineRule="auto"/>
        <w:rPr>
          <w:rFonts w:ascii="Arial" w:hAnsi="Arial" w:cs="Arial"/>
          <w:b/>
          <w:sz w:val="22"/>
          <w:szCs w:val="22"/>
        </w:rPr>
      </w:pPr>
      <w:r>
        <w:rPr>
          <w:rFonts w:ascii="Arial" w:hAnsi="Arial" w:cs="Arial"/>
          <w:sz w:val="22"/>
          <w:szCs w:val="22"/>
        </w:rPr>
        <w:t xml:space="preserve">Students do not have unsupervised access to children. </w:t>
      </w:r>
    </w:p>
    <w:p w14:paraId="6C0A631B">
      <w:pPr>
        <w:numPr>
          <w:ilvl w:val="0"/>
          <w:numId w:val="1"/>
        </w:numPr>
        <w:spacing w:before="120" w:after="120" w:line="360" w:lineRule="auto"/>
        <w:rPr>
          <w:rFonts w:ascii="Arial" w:hAnsi="Arial" w:cs="Arial"/>
          <w:b/>
          <w:sz w:val="22"/>
          <w:szCs w:val="22"/>
        </w:rPr>
      </w:pPr>
      <w:r>
        <w:rPr>
          <w:rFonts w:ascii="Arial" w:hAnsi="Arial" w:cs="Arial"/>
          <w:sz w:val="22"/>
          <w:szCs w:val="22"/>
        </w:rPr>
        <w:t>Students and apprentices who are undertaking L3 or above may be counted in ratios if the setting manager is convinced that they are suitably experienced.</w:t>
      </w:r>
    </w:p>
    <w:p w14:paraId="349E4F09">
      <w:pPr>
        <w:numPr>
          <w:ilvl w:val="0"/>
          <w:numId w:val="1"/>
        </w:numPr>
        <w:spacing w:before="120" w:after="120" w:line="360" w:lineRule="auto"/>
        <w:rPr>
          <w:rFonts w:ascii="Arial" w:hAnsi="Arial" w:cs="Arial"/>
          <w:b/>
          <w:sz w:val="22"/>
          <w:szCs w:val="22"/>
        </w:rPr>
      </w:pPr>
      <w:r>
        <w:rPr>
          <w:rFonts w:ascii="Arial" w:hAnsi="Arial" w:cs="Arial"/>
          <w:sz w:val="22"/>
          <w:szCs w:val="22"/>
        </w:rPr>
        <w:t>Employed trainee staff over the age of 17 may be included in staffing ratios if deemed competent.</w:t>
      </w:r>
    </w:p>
    <w:p w14:paraId="4E82B62C">
      <w:pPr>
        <w:numPr>
          <w:ilvl w:val="0"/>
          <w:numId w:val="1"/>
        </w:numPr>
        <w:spacing w:before="120" w:after="120" w:line="360" w:lineRule="auto"/>
        <w:rPr>
          <w:rFonts w:ascii="Arial" w:hAnsi="Arial" w:cs="Arial"/>
          <w:b/>
          <w:sz w:val="22"/>
          <w:szCs w:val="22"/>
        </w:rPr>
      </w:pPr>
      <w:r>
        <w:rPr>
          <w:rFonts w:ascii="Arial" w:hAnsi="Arial" w:cs="Arial"/>
          <w:sz w:val="22"/>
          <w:szCs w:val="22"/>
        </w:rPr>
        <w:t>Staff working as apprentices (aged 16 or over) may be included in staffing ratios if deemed competent.</w:t>
      </w:r>
      <w:bookmarkStart w:id="0" w:name="_GoBack"/>
      <w:bookmarkEnd w:id="0"/>
    </w:p>
    <w:p w14:paraId="70C0ED2F">
      <w:pPr>
        <w:numPr>
          <w:ilvl w:val="0"/>
          <w:numId w:val="1"/>
        </w:numPr>
        <w:spacing w:before="120" w:after="120" w:line="360" w:lineRule="auto"/>
        <w:rPr>
          <w:rFonts w:ascii="Arial" w:hAnsi="Arial" w:cs="Arial"/>
          <w:b/>
          <w:sz w:val="22"/>
          <w:szCs w:val="22"/>
        </w:rPr>
      </w:pPr>
      <w:r>
        <w:rPr>
          <w:rFonts w:ascii="Arial" w:hAnsi="Arial" w:cs="Arial"/>
          <w:sz w:val="22"/>
          <w:szCs w:val="22"/>
        </w:rPr>
        <w:t>Students are aware of confidentiality.</w:t>
      </w:r>
    </w:p>
    <w:p w14:paraId="504DBD41">
      <w:pPr>
        <w:numPr>
          <w:ilvl w:val="0"/>
          <w:numId w:val="1"/>
        </w:numPr>
        <w:spacing w:before="120" w:after="120" w:line="360" w:lineRule="auto"/>
        <w:rPr>
          <w:rFonts w:ascii="Arial" w:hAnsi="Arial" w:cs="Arial"/>
          <w:b/>
          <w:sz w:val="22"/>
          <w:szCs w:val="22"/>
        </w:rPr>
      </w:pPr>
      <w:r>
        <w:rPr>
          <w:rFonts w:ascii="Arial" w:hAnsi="Arial" w:cs="Arial"/>
          <w:sz w:val="22"/>
          <w:szCs w:val="22"/>
        </w:rPr>
        <w:t>Student induction includes how the setting and sessions are managed, and policies and procedures, in particular safeguarding, confidentiality and health and safety.</w:t>
      </w:r>
    </w:p>
    <w:p w14:paraId="3FB8CC64">
      <w:pPr>
        <w:numPr>
          <w:ilvl w:val="0"/>
          <w:numId w:val="1"/>
        </w:numPr>
        <w:spacing w:before="120" w:after="120" w:line="360" w:lineRule="auto"/>
        <w:rPr>
          <w:rFonts w:ascii="Arial" w:hAnsi="Arial" w:cs="Arial"/>
          <w:b/>
          <w:sz w:val="22"/>
          <w:szCs w:val="22"/>
        </w:rPr>
      </w:pPr>
      <w:r>
        <w:rPr>
          <w:rFonts w:ascii="Arial" w:hAnsi="Arial" w:cs="Arial"/>
          <w:sz w:val="22"/>
          <w:szCs w:val="22"/>
        </w:rPr>
        <w:t>Appropriate members of staff co-operate with students’ tutors to assist them in fulfilling the requirements of their course of study.</w:t>
      </w:r>
    </w:p>
    <w:p w14:paraId="475A390F">
      <w:pPr>
        <w:numPr>
          <w:ilvl w:val="0"/>
          <w:numId w:val="1"/>
        </w:numPr>
        <w:spacing w:before="120" w:after="120" w:line="360" w:lineRule="auto"/>
        <w:rPr>
          <w:rFonts w:ascii="Arial" w:hAnsi="Arial" w:cs="Arial"/>
          <w:b/>
          <w:sz w:val="22"/>
          <w:szCs w:val="22"/>
        </w:rPr>
      </w:pPr>
      <w:r>
        <w:rPr>
          <w:rFonts w:ascii="Arial" w:hAnsi="Arial" w:cs="Arial"/>
          <w:sz w:val="22"/>
          <w:szCs w:val="22"/>
        </w:rPr>
        <w:t>The setting communicates a positive message to students about the value of qualifications and training.</w:t>
      </w:r>
    </w:p>
    <w:p w14:paraId="16D01DE2">
      <w:pPr>
        <w:numPr>
          <w:ilvl w:val="0"/>
          <w:numId w:val="1"/>
        </w:numPr>
        <w:spacing w:before="120" w:after="120" w:line="360" w:lineRule="auto"/>
        <w:rPr>
          <w:rFonts w:ascii="Arial" w:hAnsi="Arial" w:cs="Arial"/>
          <w:b/>
          <w:sz w:val="22"/>
          <w:szCs w:val="22"/>
        </w:rPr>
      </w:pPr>
      <w:r>
        <w:rPr>
          <w:rFonts w:ascii="Arial" w:hAnsi="Arial" w:cs="Arial"/>
          <w:sz w:val="22"/>
          <w:szCs w:val="22"/>
        </w:rPr>
        <w:t>The needs of the children and their families remain paramount at all times and students are only admitted in numbers that do not hinder the work of the setting.</w:t>
      </w:r>
    </w:p>
    <w:sectPr>
      <w:footerReference r:id="rId3" w:type="default"/>
      <w:pgSz w:w="11906" w:h="16838"/>
      <w:pgMar w:top="720" w:right="720" w:bottom="720" w:left="720" w:header="708" w:footer="708" w:gutter="0"/>
      <w:pgNumType w:start="14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544F8">
    <w:pPr>
      <w:pStyle w:val="9"/>
      <w:rPr>
        <w:rFonts w:ascii="Arial" w:hAnsi="Arial" w:cs="Arial"/>
        <w:sz w:val="20"/>
      </w:rPr>
    </w:pPr>
    <w:r>
      <w:rPr>
        <w:rFonts w:ascii="Arial" w:hAnsi="Arial" w:cs="Arial"/>
        <w:i/>
        <w:iCs/>
        <w:sz w:val="20"/>
      </w:rPr>
      <w:t>Policies &amp; Procedures for the EYFS 202</w:t>
    </w:r>
    <w:r>
      <w:rPr>
        <w:rFonts w:ascii="Arial" w:hAnsi="Arial" w:cs="Arial"/>
        <w:i/>
        <w:iCs/>
        <w:sz w:val="20"/>
        <w:lang w:val="en-GB"/>
      </w:rPr>
      <w:t xml:space="preserve">4 </w:t>
    </w:r>
    <w:r>
      <w:rPr>
        <w:rFonts w:ascii="Arial" w:hAnsi="Arial" w:cs="Arial"/>
        <w:sz w:val="20"/>
      </w:rPr>
      <w:t>(Early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B716E"/>
    <w:multiLevelType w:val="multilevel"/>
    <w:tmpl w:val="5F5B716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63"/>
    <w:rsid w:val="00011757"/>
    <w:rsid w:val="0002077E"/>
    <w:rsid w:val="00022503"/>
    <w:rsid w:val="00041D49"/>
    <w:rsid w:val="00055A40"/>
    <w:rsid w:val="00060B56"/>
    <w:rsid w:val="000628A8"/>
    <w:rsid w:val="00066E91"/>
    <w:rsid w:val="00082BC8"/>
    <w:rsid w:val="000945EF"/>
    <w:rsid w:val="0009581D"/>
    <w:rsid w:val="000A18D8"/>
    <w:rsid w:val="000B76C5"/>
    <w:rsid w:val="000C5AFA"/>
    <w:rsid w:val="000D1A03"/>
    <w:rsid w:val="000D1A3A"/>
    <w:rsid w:val="000D749B"/>
    <w:rsid w:val="0010367B"/>
    <w:rsid w:val="00105CB5"/>
    <w:rsid w:val="0011227F"/>
    <w:rsid w:val="00116A84"/>
    <w:rsid w:val="001266A5"/>
    <w:rsid w:val="00140CA4"/>
    <w:rsid w:val="00154351"/>
    <w:rsid w:val="00170B27"/>
    <w:rsid w:val="0019007B"/>
    <w:rsid w:val="00192A67"/>
    <w:rsid w:val="001A39A1"/>
    <w:rsid w:val="00220A0B"/>
    <w:rsid w:val="00234875"/>
    <w:rsid w:val="00254C68"/>
    <w:rsid w:val="0028570F"/>
    <w:rsid w:val="00286E9E"/>
    <w:rsid w:val="002B55EC"/>
    <w:rsid w:val="002F16CD"/>
    <w:rsid w:val="003016EB"/>
    <w:rsid w:val="00305E68"/>
    <w:rsid w:val="00313662"/>
    <w:rsid w:val="00320E1B"/>
    <w:rsid w:val="00327224"/>
    <w:rsid w:val="00332576"/>
    <w:rsid w:val="003628DD"/>
    <w:rsid w:val="00374A44"/>
    <w:rsid w:val="003950BC"/>
    <w:rsid w:val="003B0CA7"/>
    <w:rsid w:val="003B1055"/>
    <w:rsid w:val="003B4953"/>
    <w:rsid w:val="003B7782"/>
    <w:rsid w:val="003C4DB7"/>
    <w:rsid w:val="003E4ABD"/>
    <w:rsid w:val="0040529E"/>
    <w:rsid w:val="004052D3"/>
    <w:rsid w:val="00406A8A"/>
    <w:rsid w:val="00413DAA"/>
    <w:rsid w:val="00417E25"/>
    <w:rsid w:val="00417F7A"/>
    <w:rsid w:val="00425949"/>
    <w:rsid w:val="00475A22"/>
    <w:rsid w:val="00484560"/>
    <w:rsid w:val="004A47C5"/>
    <w:rsid w:val="004B2A77"/>
    <w:rsid w:val="004B7581"/>
    <w:rsid w:val="004B7F2C"/>
    <w:rsid w:val="004C43F9"/>
    <w:rsid w:val="004E2052"/>
    <w:rsid w:val="004E6C7C"/>
    <w:rsid w:val="00504F69"/>
    <w:rsid w:val="00511008"/>
    <w:rsid w:val="00511399"/>
    <w:rsid w:val="00511FF1"/>
    <w:rsid w:val="00526E59"/>
    <w:rsid w:val="0053395E"/>
    <w:rsid w:val="005520FE"/>
    <w:rsid w:val="00560A59"/>
    <w:rsid w:val="00561D5B"/>
    <w:rsid w:val="00583641"/>
    <w:rsid w:val="00584B01"/>
    <w:rsid w:val="005874A8"/>
    <w:rsid w:val="00597C75"/>
    <w:rsid w:val="005A1BD2"/>
    <w:rsid w:val="005A6B35"/>
    <w:rsid w:val="005C5D50"/>
    <w:rsid w:val="005E7B47"/>
    <w:rsid w:val="005F2AC2"/>
    <w:rsid w:val="0060155A"/>
    <w:rsid w:val="006145C3"/>
    <w:rsid w:val="0061795C"/>
    <w:rsid w:val="00640654"/>
    <w:rsid w:val="00662687"/>
    <w:rsid w:val="00694305"/>
    <w:rsid w:val="00697EA5"/>
    <w:rsid w:val="006A2B5E"/>
    <w:rsid w:val="006A78F8"/>
    <w:rsid w:val="006E5386"/>
    <w:rsid w:val="00701904"/>
    <w:rsid w:val="00735140"/>
    <w:rsid w:val="00742FCD"/>
    <w:rsid w:val="00747D88"/>
    <w:rsid w:val="00755395"/>
    <w:rsid w:val="00777DBF"/>
    <w:rsid w:val="0078030A"/>
    <w:rsid w:val="0078470C"/>
    <w:rsid w:val="00790866"/>
    <w:rsid w:val="007A1D98"/>
    <w:rsid w:val="007A6DFB"/>
    <w:rsid w:val="007A7AE4"/>
    <w:rsid w:val="007B48FD"/>
    <w:rsid w:val="007B4A8F"/>
    <w:rsid w:val="007C2B7B"/>
    <w:rsid w:val="007C5EA7"/>
    <w:rsid w:val="007E509D"/>
    <w:rsid w:val="007F3E8E"/>
    <w:rsid w:val="007F467C"/>
    <w:rsid w:val="007F6C5E"/>
    <w:rsid w:val="00816057"/>
    <w:rsid w:val="00823FF7"/>
    <w:rsid w:val="00832CB7"/>
    <w:rsid w:val="008372B1"/>
    <w:rsid w:val="00841FBB"/>
    <w:rsid w:val="00860FEB"/>
    <w:rsid w:val="00872A0D"/>
    <w:rsid w:val="00873833"/>
    <w:rsid w:val="00881A67"/>
    <w:rsid w:val="00886471"/>
    <w:rsid w:val="00886E9C"/>
    <w:rsid w:val="00890D86"/>
    <w:rsid w:val="0089173E"/>
    <w:rsid w:val="008F2C7E"/>
    <w:rsid w:val="009150F3"/>
    <w:rsid w:val="00920BCE"/>
    <w:rsid w:val="00960379"/>
    <w:rsid w:val="009635C2"/>
    <w:rsid w:val="009646A9"/>
    <w:rsid w:val="00967871"/>
    <w:rsid w:val="00983A83"/>
    <w:rsid w:val="009A7C60"/>
    <w:rsid w:val="009B1520"/>
    <w:rsid w:val="009B498B"/>
    <w:rsid w:val="009C4D50"/>
    <w:rsid w:val="009C686C"/>
    <w:rsid w:val="009F6AA8"/>
    <w:rsid w:val="009F72F5"/>
    <w:rsid w:val="00A12363"/>
    <w:rsid w:val="00A245AE"/>
    <w:rsid w:val="00A32A5E"/>
    <w:rsid w:val="00A43DEB"/>
    <w:rsid w:val="00A561A9"/>
    <w:rsid w:val="00A74A27"/>
    <w:rsid w:val="00A74B86"/>
    <w:rsid w:val="00A83DB7"/>
    <w:rsid w:val="00A85C8B"/>
    <w:rsid w:val="00AA2716"/>
    <w:rsid w:val="00AB79B1"/>
    <w:rsid w:val="00AC1154"/>
    <w:rsid w:val="00AC2768"/>
    <w:rsid w:val="00B03630"/>
    <w:rsid w:val="00B157C5"/>
    <w:rsid w:val="00B204D7"/>
    <w:rsid w:val="00B513EB"/>
    <w:rsid w:val="00B84A8A"/>
    <w:rsid w:val="00B935AA"/>
    <w:rsid w:val="00BA1C3B"/>
    <w:rsid w:val="00BE69CB"/>
    <w:rsid w:val="00C04636"/>
    <w:rsid w:val="00C3110D"/>
    <w:rsid w:val="00C4539C"/>
    <w:rsid w:val="00C53A3F"/>
    <w:rsid w:val="00C57680"/>
    <w:rsid w:val="00C728B1"/>
    <w:rsid w:val="00C859A1"/>
    <w:rsid w:val="00C96E42"/>
    <w:rsid w:val="00CA4246"/>
    <w:rsid w:val="00CB245F"/>
    <w:rsid w:val="00CC3DD1"/>
    <w:rsid w:val="00CD3B41"/>
    <w:rsid w:val="00CF760D"/>
    <w:rsid w:val="00D004C0"/>
    <w:rsid w:val="00D34595"/>
    <w:rsid w:val="00D35C37"/>
    <w:rsid w:val="00D538E5"/>
    <w:rsid w:val="00D56AF5"/>
    <w:rsid w:val="00D62AEE"/>
    <w:rsid w:val="00D70A31"/>
    <w:rsid w:val="00D70B54"/>
    <w:rsid w:val="00D80966"/>
    <w:rsid w:val="00D97A40"/>
    <w:rsid w:val="00E41E8D"/>
    <w:rsid w:val="00E47987"/>
    <w:rsid w:val="00E56F0F"/>
    <w:rsid w:val="00E716F6"/>
    <w:rsid w:val="00EA025B"/>
    <w:rsid w:val="00EA2315"/>
    <w:rsid w:val="00EB3C49"/>
    <w:rsid w:val="00ED0D09"/>
    <w:rsid w:val="00ED5EF9"/>
    <w:rsid w:val="00EE2B0F"/>
    <w:rsid w:val="00EF079B"/>
    <w:rsid w:val="00F1246E"/>
    <w:rsid w:val="00F2022B"/>
    <w:rsid w:val="00F3337A"/>
    <w:rsid w:val="00F51AEC"/>
    <w:rsid w:val="00F52015"/>
    <w:rsid w:val="00F557F3"/>
    <w:rsid w:val="00F6305E"/>
    <w:rsid w:val="00F8678D"/>
    <w:rsid w:val="00FB1884"/>
    <w:rsid w:val="00FB71BE"/>
    <w:rsid w:val="00FC06C2"/>
    <w:rsid w:val="00FC3134"/>
    <w:rsid w:val="00FD0867"/>
    <w:rsid w:val="00FD1CE1"/>
    <w:rsid w:val="00FE2A12"/>
    <w:rsid w:val="00FE638A"/>
    <w:rsid w:val="00FF06D4"/>
    <w:rsid w:val="00FF0BEF"/>
    <w:rsid w:val="00FF4D1B"/>
    <w:rsid w:val="04269E7D"/>
    <w:rsid w:val="05D630CA"/>
    <w:rsid w:val="062AD387"/>
    <w:rsid w:val="099F6C23"/>
    <w:rsid w:val="0AF8C1E6"/>
    <w:rsid w:val="0BF48BB6"/>
    <w:rsid w:val="0FBE0EAE"/>
    <w:rsid w:val="11757966"/>
    <w:rsid w:val="12ACD3C2"/>
    <w:rsid w:val="12C47715"/>
    <w:rsid w:val="16A14133"/>
    <w:rsid w:val="185CE96B"/>
    <w:rsid w:val="1884F662"/>
    <w:rsid w:val="1E451B1F"/>
    <w:rsid w:val="23D2E29D"/>
    <w:rsid w:val="24267980"/>
    <w:rsid w:val="27F06237"/>
    <w:rsid w:val="2820EF41"/>
    <w:rsid w:val="28E0D322"/>
    <w:rsid w:val="29882FEA"/>
    <w:rsid w:val="29984F70"/>
    <w:rsid w:val="334A0CFE"/>
    <w:rsid w:val="342D0729"/>
    <w:rsid w:val="36149708"/>
    <w:rsid w:val="36B3FF0C"/>
    <w:rsid w:val="38CE0FC1"/>
    <w:rsid w:val="3AC48B27"/>
    <w:rsid w:val="419CDBDA"/>
    <w:rsid w:val="44AC3CC3"/>
    <w:rsid w:val="454212B5"/>
    <w:rsid w:val="45D4775A"/>
    <w:rsid w:val="471BDFDE"/>
    <w:rsid w:val="4791911A"/>
    <w:rsid w:val="4A250FDA"/>
    <w:rsid w:val="50338503"/>
    <w:rsid w:val="50FDF2C6"/>
    <w:rsid w:val="55A40E01"/>
    <w:rsid w:val="57741E32"/>
    <w:rsid w:val="5ADA7A1D"/>
    <w:rsid w:val="5F6099B6"/>
    <w:rsid w:val="68FF4A9D"/>
    <w:rsid w:val="6B03DFE6"/>
    <w:rsid w:val="6B700516"/>
    <w:rsid w:val="6B74020B"/>
    <w:rsid w:val="6C404FD9"/>
    <w:rsid w:val="6DEF21A0"/>
    <w:rsid w:val="7005436E"/>
    <w:rsid w:val="70529EE2"/>
    <w:rsid w:val="7126CDFB"/>
    <w:rsid w:val="750E9473"/>
    <w:rsid w:val="754E6904"/>
    <w:rsid w:val="7787437F"/>
    <w:rsid w:val="78F153B4"/>
    <w:rsid w:val="7B62EC6B"/>
    <w:rsid w:val="7BD249DF"/>
    <w:rsid w:val="7C2400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lang w:val="zh-CN" w:eastAsia="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uiPriority w:val="99"/>
    <w:rPr>
      <w:rFonts w:ascii="Tahoma" w:hAnsi="Tahoma"/>
      <w:sz w:val="16"/>
      <w:szCs w:val="16"/>
      <w:lang w:val="zh-CN" w:eastAsia="zh-CN"/>
    </w:rPr>
  </w:style>
  <w:style w:type="character" w:styleId="6">
    <w:name w:val="annotation reference"/>
    <w:semiHidden/>
    <w:unhideWhenUsed/>
    <w:qFormat/>
    <w:uiPriority w:val="99"/>
    <w:rPr>
      <w:sz w:val="16"/>
      <w:szCs w:val="16"/>
    </w:rPr>
  </w:style>
  <w:style w:type="paragraph" w:styleId="7">
    <w:name w:val="annotation text"/>
    <w:basedOn w:val="1"/>
    <w:link w:val="17"/>
    <w:semiHidden/>
    <w:unhideWhenUsed/>
    <w:uiPriority w:val="99"/>
    <w:rPr>
      <w:sz w:val="20"/>
      <w:szCs w:val="20"/>
      <w:lang w:val="zh-CN" w:eastAsia="zh-CN"/>
    </w:rPr>
  </w:style>
  <w:style w:type="paragraph" w:styleId="8">
    <w:name w:val="annotation subject"/>
    <w:basedOn w:val="7"/>
    <w:next w:val="7"/>
    <w:link w:val="18"/>
    <w:semiHidden/>
    <w:unhideWhenUsed/>
    <w:qFormat/>
    <w:uiPriority w:val="99"/>
    <w:rPr>
      <w:b/>
      <w:bCs/>
    </w:rPr>
  </w:style>
  <w:style w:type="paragraph" w:styleId="9">
    <w:name w:val="footer"/>
    <w:basedOn w:val="1"/>
    <w:link w:val="13"/>
    <w:unhideWhenUsed/>
    <w:qFormat/>
    <w:uiPriority w:val="99"/>
    <w:pPr>
      <w:tabs>
        <w:tab w:val="center" w:pos="4513"/>
        <w:tab w:val="right" w:pos="9026"/>
      </w:tabs>
    </w:pPr>
    <w:rPr>
      <w:szCs w:val="20"/>
      <w:lang w:val="zh-CN" w:eastAsia="zh-CN"/>
    </w:rPr>
  </w:style>
  <w:style w:type="paragraph" w:styleId="10">
    <w:name w:val="header"/>
    <w:basedOn w:val="1"/>
    <w:link w:val="12"/>
    <w:unhideWhenUsed/>
    <w:qFormat/>
    <w:uiPriority w:val="99"/>
    <w:pPr>
      <w:tabs>
        <w:tab w:val="center" w:pos="4513"/>
        <w:tab w:val="right" w:pos="9026"/>
      </w:tabs>
    </w:pPr>
    <w:rPr>
      <w:szCs w:val="20"/>
      <w:lang w:val="zh-CN" w:eastAsia="zh-CN"/>
    </w:rPr>
  </w:style>
  <w:style w:type="paragraph" w:styleId="11">
    <w:name w:val="Normal (Web)"/>
    <w:basedOn w:val="1"/>
    <w:unhideWhenUsed/>
    <w:qFormat/>
    <w:uiPriority w:val="99"/>
    <w:pPr>
      <w:spacing w:before="60" w:after="160" w:line="288" w:lineRule="atLeast"/>
      <w:ind w:left="100" w:right="100"/>
    </w:pPr>
    <w:rPr>
      <w:color w:val="000000"/>
      <w:lang w:eastAsia="en-GB"/>
    </w:rPr>
  </w:style>
  <w:style w:type="character" w:customStyle="1" w:styleId="12">
    <w:name w:val="Header Char"/>
    <w:link w:val="10"/>
    <w:qFormat/>
    <w:uiPriority w:val="99"/>
    <w:rPr>
      <w:rFonts w:ascii="Times New Roman" w:hAnsi="Times New Roman" w:eastAsia="Times New Roman" w:cs="Times New Roman"/>
      <w:sz w:val="24"/>
    </w:rPr>
  </w:style>
  <w:style w:type="character" w:customStyle="1" w:styleId="13">
    <w:name w:val="Footer Char"/>
    <w:link w:val="9"/>
    <w:uiPriority w:val="99"/>
    <w:rPr>
      <w:rFonts w:ascii="Times New Roman" w:hAnsi="Times New Roman" w:eastAsia="Times New Roman" w:cs="Times New Roman"/>
      <w:sz w:val="24"/>
    </w:rPr>
  </w:style>
  <w:style w:type="character" w:customStyle="1" w:styleId="14">
    <w:name w:val="Balloon Text Char"/>
    <w:link w:val="5"/>
    <w:semiHidden/>
    <w:qFormat/>
    <w:uiPriority w:val="99"/>
    <w:rPr>
      <w:rFonts w:ascii="Tahoma" w:hAnsi="Tahoma" w:eastAsia="Times New Roman" w:cs="Tahoma"/>
      <w:sz w:val="16"/>
      <w:szCs w:val="16"/>
    </w:rPr>
  </w:style>
  <w:style w:type="character" w:customStyle="1" w:styleId="15">
    <w:name w:val="Heading 1 Char"/>
    <w:link w:val="2"/>
    <w:qFormat/>
    <w:uiPriority w:val="0"/>
    <w:rPr>
      <w:rFonts w:eastAsia="Times New Roman"/>
      <w:b/>
      <w:bCs/>
      <w:kern w:val="32"/>
      <w:sz w:val="32"/>
      <w:szCs w:val="32"/>
    </w:rPr>
  </w:style>
  <w:style w:type="paragraph" w:customStyle="1" w:styleId="16">
    <w:name w:val="Medium Grid 1 - Accent 21"/>
    <w:basedOn w:val="1"/>
    <w:qFormat/>
    <w:uiPriority w:val="34"/>
    <w:pPr>
      <w:ind w:left="720"/>
      <w:contextualSpacing/>
    </w:pPr>
  </w:style>
  <w:style w:type="character" w:customStyle="1" w:styleId="17">
    <w:name w:val="Comment Text Char"/>
    <w:link w:val="7"/>
    <w:semiHidden/>
    <w:qFormat/>
    <w:uiPriority w:val="99"/>
    <w:rPr>
      <w:rFonts w:ascii="Times New Roman" w:hAnsi="Times New Roman" w:eastAsia="Times New Roman" w:cs="Times New Roman"/>
      <w:sz w:val="20"/>
      <w:szCs w:val="20"/>
    </w:rPr>
  </w:style>
  <w:style w:type="character" w:customStyle="1" w:styleId="18">
    <w:name w:val="Comment Subject Char"/>
    <w:link w:val="8"/>
    <w:semiHidden/>
    <w:qFormat/>
    <w:uiPriority w:val="99"/>
    <w:rPr>
      <w:rFonts w:ascii="Times New Roman" w:hAnsi="Times New Roman" w:eastAsia="Times New Roman" w:cs="Times New Roman"/>
      <w:b/>
      <w:bCs/>
      <w:sz w:val="20"/>
      <w:szCs w:val="20"/>
    </w:rPr>
  </w:style>
  <w:style w:type="paragraph" w:styleId="19">
    <w:name w:val="List Paragraph"/>
    <w:basedOn w:val="1"/>
    <w:qFormat/>
    <w:uiPriority w:val="34"/>
    <w:pPr>
      <w:ind w:left="720"/>
      <w:contextualSpacing/>
    </w:pPr>
  </w:style>
  <w:style w:type="paragraph" w:customStyle="1" w:styleId="20">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332</Words>
  <Characters>1898</Characters>
  <Lines>15</Lines>
  <Paragraphs>4</Paragraphs>
  <TotalTime>2</TotalTime>
  <ScaleCrop>false</ScaleCrop>
  <LinksUpToDate>false</LinksUpToDate>
  <CharactersWithSpaces>2226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2024-01-03T13:13:00Z</dcterms:created>
  <dc:creator>halle</dc:creator>
  <cp:lastModifiedBy>Sylwia Ferreday</cp:lastModifiedBy>
  <cp:lastPrinted>2018-05-04T18:42:00Z</cp:lastPrinted>
  <dcterms:modified xsi:type="dcterms:W3CDTF">2024-11-25T09:16:29Z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2057-12.2.0.18911</vt:lpwstr>
  </property>
  <property fmtid="{D5CDD505-2E9C-101B-9397-08002B2CF9AE}" pid="5" name="ICV">
    <vt:lpwstr>0F595785EEA84BA08BA51B53F8DB61CF_13</vt:lpwstr>
  </property>
</Properties>
</file>