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51C30"/>
          <w:sz w:val="20"/>
        </w:rPr>
        <w:t>CHULALONGKORN UNIVERSITY · FACULTY OF ENGINEERING</w:t>
      </w:r>
    </w:p>
    <w:p>
      <w:r>
        <w:rPr>
          <w:b/>
          <w:color w:val="002B49"/>
          <w:sz w:val="42"/>
        </w:rPr>
        <w:br/>
        <w:t>Seating &amp; Event Availability Tracking System (SEATS)</w:t>
        <w:br/>
        <w:t>for La Loy Restaurant</w:t>
      </w:r>
    </w:p>
    <w:p>
      <w:r>
        <w:rPr>
          <w:i/>
          <w:sz w:val="23"/>
        </w:rPr>
        <w:t>Milestone 2 Deliverable 1:</w:t>
        <w:br/>
        <w:t>Review Board Decision Log (consolidated)</w:t>
        <w:br/>
      </w:r>
    </w:p>
    <w:p>
      <w:r>
        <w:rPr>
          <w:sz w:val="21"/>
        </w:rPr>
        <w:t>Course: 2110722 Software Project Management</w:t>
        <w:br/>
        <w:t>Submitted to: Assoc. Prof. Twittie Senivongse</w:t>
        <w:br/>
      </w:r>
    </w:p>
    <w:p>
      <w:r>
        <w:rPr>
          <w:sz w:val="20"/>
        </w:rPr>
        <w:t>By: SE69 Group 1 (regular program)</w:t>
        <w:br/>
        <w:t>• Boonnisa Tangjitpermkwamdee   Student ID 6970156821</w:t>
        <w:br/>
        <w:t>• Sirapatr Chalermwattanatrai   Student ID 6970292421</w:t>
        <w:br/>
        <w:t>• Chawanakorn Sanannam          Student ID 6970064721</w:t>
        <w:br/>
        <w:t>• Watayut Aiamanan              Student ID 6970267821</w:t>
        <w:br/>
      </w:r>
    </w:p>
    <w:p>
      <w:r>
        <w:t>Version 1.0 · October 2026</w:t>
        <w:br/>
        <w:t>Department of Computer Engineering, Faculty of Engineering, Chulalongkorn University</w:t>
        <w:br/>
        <w:t>Semester 1, Academic Year 2569</w:t>
      </w:r>
    </w:p>
    <w:p>
      <w:r>
        <w:br w:type="page"/>
      </w:r>
    </w:p>
    <w:p>
      <w:pPr>
        <w:pStyle w:val="Heading1"/>
        <w:pageBreakBefore/>
      </w:pPr>
      <w:r>
        <w:t>Review Board Decision Log</w:t>
      </w:r>
    </w:p>
    <w:p>
      <w:r>
        <w:t>The four members of SE69 Group 1 hold one Review Board meeting per artifact set, after each member's prompting session for the Milestone 2 deliverables. Every artifact is reviewed against the three criteria of the brief: Requirement Satisfaction, PMBOK Correctness, and Project Consistency (consistency with the SEATS Milestone 1 Part 2 Final Deliverables and with the other Milestone 2 artifacts). The board keeps the role separation of the tailored RUP: each artifact has exactly one accountable owner, and the reviewer is never the author. The members named in the 'Member (prompt design)' column design the prompts for the artifact; their prompt records, and the review and disposition of each, are documented in the consolidated SEATS Generative AI Log (Part 1), and every prompt draws on the same single source of truth (the SEATS M1 report: dates, release scope, rates, phase effort and budget).</w:t>
      </w:r>
    </w:p>
    <w:p>
      <w:r>
        <w:t>One row is recorded per artifact or artifact part, with a short, concrete suggestion and the joint decision of the board. Where a suggestion requires rework the decision is 'Revise', and the prompt revision and the evidence of the correction are documented in the corresponding record of the SEATS Generative AI Log; the final disposition after re-submission is also given in that record.</w:t>
      </w:r>
    </w:p>
    <w:tbl>
      <w:tblPr>
        <w:tblW w:type="dxa" w:w="9936"/>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648"/>
        <w:gridCol w:w="2520"/>
        <w:gridCol w:w="1655"/>
        <w:gridCol w:w="4104"/>
        <w:gridCol w:w="1007"/>
      </w:tblGrid>
      <w:tr>
        <w:trPr>
          <w:tblHeader w:val="true"/>
        </w:trPr>
        <w:tc>
          <w:tcPr>
            <w:tcW w:type="dxa" w:w="648"/>
            <w:shd w:fill="002B49"/>
            <w:tcMar>
              <w:top w:w="140" w:type="dxa"/>
              <w:bottom w:w="140" w:type="dxa"/>
              <w:left w:w="180" w:type="dxa"/>
              <w:right w:w="180" w:type="dxa"/>
            </w:tcMar>
            <w:vAlign w:val="center"/>
          </w:tcPr>
          <w:p>
            <w:pPr>
              <w:spacing w:before="0" w:after="0"/>
              <w:jc w:val="center"/>
            </w:pPr>
            <w:r>
              <w:rPr>
                <w:b/>
                <w:color w:val="FFFFFF"/>
                <w:sz w:val="18"/>
              </w:rPr>
              <w:t>No.</w:t>
            </w:r>
          </w:p>
        </w:tc>
        <w:tc>
          <w:tcPr>
            <w:tcW w:type="dxa" w:w="2520"/>
            <w:shd w:fill="002B49"/>
            <w:tcMar>
              <w:top w:w="140" w:type="dxa"/>
              <w:bottom w:w="140" w:type="dxa"/>
              <w:left w:w="180" w:type="dxa"/>
              <w:right w:w="180" w:type="dxa"/>
            </w:tcMar>
            <w:vAlign w:val="center"/>
          </w:tcPr>
          <w:p>
            <w:pPr>
              <w:spacing w:before="0" w:after="0"/>
              <w:jc w:val="center"/>
            </w:pPr>
            <w:r>
              <w:rPr>
                <w:b/>
                <w:color w:val="FFFFFF"/>
                <w:sz w:val="18"/>
              </w:rPr>
              <w:t>Artifact</w:t>
            </w:r>
          </w:p>
        </w:tc>
        <w:tc>
          <w:tcPr>
            <w:tcW w:type="dxa" w:w="1656"/>
            <w:shd w:fill="002B49"/>
            <w:tcMar>
              <w:top w:w="140" w:type="dxa"/>
              <w:bottom w:w="140" w:type="dxa"/>
              <w:left w:w="180" w:type="dxa"/>
              <w:right w:w="180" w:type="dxa"/>
            </w:tcMar>
            <w:vAlign w:val="center"/>
          </w:tcPr>
          <w:p>
            <w:pPr>
              <w:spacing w:before="0" w:after="0"/>
              <w:jc w:val="center"/>
            </w:pPr>
            <w:r>
              <w:rPr>
                <w:b/>
                <w:color w:val="FFFFFF"/>
                <w:sz w:val="18"/>
              </w:rPr>
              <w:t>Member (prompt design)</w:t>
            </w:r>
          </w:p>
        </w:tc>
        <w:tc>
          <w:tcPr>
            <w:tcW w:type="dxa" w:w="4104"/>
            <w:shd w:fill="002B49"/>
            <w:tcMar>
              <w:top w:w="140" w:type="dxa"/>
              <w:bottom w:w="140" w:type="dxa"/>
              <w:left w:w="180" w:type="dxa"/>
              <w:right w:w="180" w:type="dxa"/>
            </w:tcMar>
            <w:vAlign w:val="center"/>
          </w:tcPr>
          <w:p>
            <w:pPr>
              <w:spacing w:before="0" w:after="0"/>
              <w:jc w:val="center"/>
            </w:pPr>
            <w:r>
              <w:rPr>
                <w:b/>
                <w:color w:val="FFFFFF"/>
                <w:sz w:val="18"/>
              </w:rPr>
              <w:t>Suggestion from team (in brief)</w:t>
            </w:r>
          </w:p>
        </w:tc>
        <w:tc>
          <w:tcPr>
            <w:tcW w:type="dxa" w:w="1008"/>
            <w:shd w:fill="002B49"/>
            <w:tcMar>
              <w:top w:w="140" w:type="dxa"/>
              <w:bottom w:w="140" w:type="dxa"/>
              <w:left w:w="180" w:type="dxa"/>
              <w:right w:w="180" w:type="dxa"/>
            </w:tcMar>
            <w:vAlign w:val="center"/>
          </w:tcPr>
          <w:p>
            <w:pPr>
              <w:spacing w:before="0" w:after="0"/>
              <w:jc w:val="center"/>
            </w:pPr>
            <w:r>
              <w:rPr>
                <w:b/>
                <w:color w:val="FFFFFF"/>
                <w:sz w:val="18"/>
              </w:rPr>
              <w:t>Decision (Accept / Revise / Reject)</w:t>
            </w:r>
          </w:p>
        </w:tc>
      </w:tr>
      <w:tr>
        <w:trPr>
          <w:cantSplit/>
        </w:trPr>
        <w:tc>
          <w:tcPr>
            <w:tcW w:type="dxa" w:w="648"/>
            <w:tcMar>
              <w:top w:w="80" w:type="dxa"/>
              <w:bottom w:w="80" w:type="dxa"/>
              <w:left w:w="120" w:type="dxa"/>
              <w:right w:w="120" w:type="dxa"/>
            </w:tcMar>
            <w:vAlign w:val="center"/>
          </w:tcPr>
          <w:p>
            <w:pPr>
              <w:spacing w:before="0" w:after="0"/>
              <w:jc w:val="center"/>
            </w:pPr>
            <w:r>
              <w:rPr>
                <w:sz w:val="17"/>
              </w:rPr>
              <w:t>1</w:t>
            </w:r>
          </w:p>
        </w:tc>
        <w:tc>
          <w:tcPr>
            <w:tcW w:type="dxa" w:w="2520"/>
            <w:tcMar>
              <w:top w:w="80" w:type="dxa"/>
              <w:bottom w:w="80" w:type="dxa"/>
              <w:left w:w="120" w:type="dxa"/>
              <w:right w:w="120" w:type="dxa"/>
            </w:tcMar>
            <w:vAlign w:val="center"/>
          </w:tcPr>
          <w:p>
            <w:pPr>
              <w:spacing w:before="0" w:after="0"/>
            </w:pPr>
            <w:r>
              <w:rPr>
                <w:sz w:val="17"/>
              </w:rPr>
              <w:t>Scope statement and deliverables (Sec 1)</w:t>
            </w:r>
          </w:p>
        </w:tc>
        <w:tc>
          <w:tcPr>
            <w:tcW w:type="dxa" w:w="1656"/>
            <w:tcMar>
              <w:top w:w="80" w:type="dxa"/>
              <w:bottom w:w="80" w:type="dxa"/>
              <w:left w:w="120" w:type="dxa"/>
              <w:right w:w="120" w:type="dxa"/>
            </w:tcMar>
            <w:vAlign w:val="center"/>
          </w:tcPr>
          <w:p>
            <w:pPr>
              <w:spacing w:before="0" w:after="0"/>
            </w:pPr>
            <w:r>
              <w:rPr>
                <w:sz w:val="17"/>
              </w:rPr>
              <w:t>Boonnisa T.</w:t>
            </w:r>
          </w:p>
        </w:tc>
        <w:tc>
          <w:tcPr>
            <w:tcW w:type="dxa" w:w="4104"/>
            <w:tcMar>
              <w:top w:w="80" w:type="dxa"/>
              <w:bottom w:w="80" w:type="dxa"/>
              <w:left w:w="120" w:type="dxa"/>
              <w:right w:w="120" w:type="dxa"/>
            </w:tcMar>
            <w:vAlign w:val="center"/>
          </w:tcPr>
          <w:p>
            <w:pPr>
              <w:spacing w:before="0" w:after="0"/>
            </w:pPr>
            <w:r>
              <w:rPr>
                <w:sz w:val="17"/>
              </w:rPr>
              <w:t>The draft mixed project-management, product and closure deliverables and did not list exclusions. Separate the three deliverable categories, state the exclusions and retain the release boundaries.</w:t>
            </w:r>
          </w:p>
        </w:tc>
        <w:tc>
          <w:tcPr>
            <w:tcW w:type="dxa" w:w="1008"/>
            <w:tcMar>
              <w:top w:w="80" w:type="dxa"/>
              <w:bottom w:w="80" w:type="dxa"/>
              <w:left w:w="120" w:type="dxa"/>
              <w:right w:w="120" w:type="dxa"/>
            </w:tcMar>
            <w:vAlign w:val="center"/>
          </w:tcPr>
          <w:p>
            <w:pPr>
              <w:spacing w:before="0" w:after="0"/>
              <w:jc w:val="center"/>
            </w:pPr>
            <w:r>
              <w:rPr>
                <w:sz w:val="17"/>
              </w:rPr>
              <w:t>Revise</w:t>
            </w:r>
          </w:p>
        </w:tc>
      </w:tr>
      <w:tr>
        <w:trPr>
          <w:cantSplit/>
        </w:trPr>
        <w:tc>
          <w:tcPr>
            <w:tcW w:type="dxa" w:w="648"/>
            <w:shd w:fill="F7F9FA"/>
            <w:tcMar>
              <w:top w:w="80" w:type="dxa"/>
              <w:bottom w:w="80" w:type="dxa"/>
              <w:left w:w="120" w:type="dxa"/>
              <w:right w:w="120" w:type="dxa"/>
            </w:tcMar>
            <w:vAlign w:val="center"/>
          </w:tcPr>
          <w:p>
            <w:pPr>
              <w:spacing w:before="0" w:after="0"/>
              <w:jc w:val="center"/>
            </w:pPr>
            <w:r>
              <w:rPr>
                <w:sz w:val="17"/>
              </w:rPr>
              <w:t>2</w:t>
            </w:r>
          </w:p>
        </w:tc>
        <w:tc>
          <w:tcPr>
            <w:tcW w:type="dxa" w:w="2520"/>
            <w:shd w:fill="F7F9FA"/>
            <w:tcMar>
              <w:top w:w="80" w:type="dxa"/>
              <w:bottom w:w="80" w:type="dxa"/>
              <w:left w:w="120" w:type="dxa"/>
              <w:right w:w="120" w:type="dxa"/>
            </w:tcMar>
            <w:vAlign w:val="center"/>
          </w:tcPr>
          <w:p>
            <w:pPr>
              <w:spacing w:before="0" w:after="0"/>
            </w:pPr>
            <w:r>
              <w:rPr>
                <w:sz w:val="17"/>
              </w:rPr>
              <w:t>Success criteria and budget baseline (Sec 1.5, 5)</w:t>
            </w:r>
          </w:p>
        </w:tc>
        <w:tc>
          <w:tcPr>
            <w:tcW w:type="dxa" w:w="1656"/>
            <w:shd w:fill="F7F9FA"/>
            <w:tcMar>
              <w:top w:w="80" w:type="dxa"/>
              <w:bottom w:w="80" w:type="dxa"/>
              <w:left w:w="120" w:type="dxa"/>
              <w:right w:w="120" w:type="dxa"/>
            </w:tcMar>
            <w:vAlign w:val="center"/>
          </w:tcPr>
          <w:p>
            <w:pPr>
              <w:spacing w:before="0" w:after="0"/>
            </w:pPr>
            <w:r>
              <w:rPr>
                <w:sz w:val="17"/>
              </w:rPr>
              <w:t>Boonnisa T.</w:t>
            </w:r>
          </w:p>
        </w:tc>
        <w:tc>
          <w:tcPr>
            <w:tcW w:type="dxa" w:w="4104"/>
            <w:shd w:fill="F7F9FA"/>
            <w:tcMar>
              <w:top w:w="80" w:type="dxa"/>
              <w:bottom w:w="80" w:type="dxa"/>
              <w:left w:w="120" w:type="dxa"/>
              <w:right w:w="120" w:type="dxa"/>
            </w:tcMar>
            <w:vAlign w:val="center"/>
          </w:tcPr>
          <w:p>
            <w:pPr>
              <w:spacing w:before="0" w:after="0"/>
            </w:pPr>
            <w:r>
              <w:rPr>
                <w:sz w:val="17"/>
              </w:rPr>
              <w:t>Success measures needed numeric targets and evidence. Use the source targets (booking &lt;= 3 min, no-show reduction of 35%, &gt;= 5 transactions/sec, response &lt;= 2 s, check-in &lt;= 15 s/table, recovery &lt;= 2 h) and keep the budget at 1,010,590 THB.</w:t>
            </w:r>
          </w:p>
        </w:tc>
        <w:tc>
          <w:tcPr>
            <w:tcW w:type="dxa" w:w="1008"/>
            <w:shd w:fill="F7F9FA"/>
            <w:tcMar>
              <w:top w:w="80" w:type="dxa"/>
              <w:bottom w:w="80" w:type="dxa"/>
              <w:left w:w="120" w:type="dxa"/>
              <w:right w:w="120" w:type="dxa"/>
            </w:tcMar>
            <w:vAlign w:val="center"/>
          </w:tcPr>
          <w:p>
            <w:pPr>
              <w:spacing w:before="0" w:after="0"/>
              <w:jc w:val="center"/>
            </w:pPr>
            <w:r>
              <w:rPr>
                <w:sz w:val="17"/>
              </w:rPr>
              <w:t>Accept</w:t>
            </w:r>
          </w:p>
        </w:tc>
      </w:tr>
      <w:tr>
        <w:trPr>
          <w:cantSplit/>
        </w:trPr>
        <w:tc>
          <w:tcPr>
            <w:tcW w:type="dxa" w:w="648"/>
            <w:tcMar>
              <w:top w:w="80" w:type="dxa"/>
              <w:bottom w:w="80" w:type="dxa"/>
              <w:left w:w="120" w:type="dxa"/>
              <w:right w:w="120" w:type="dxa"/>
            </w:tcMar>
            <w:vAlign w:val="center"/>
          </w:tcPr>
          <w:p>
            <w:pPr>
              <w:spacing w:before="0" w:after="0"/>
              <w:jc w:val="center"/>
            </w:pPr>
            <w:r>
              <w:rPr>
                <w:sz w:val="17"/>
              </w:rPr>
              <w:t>3</w:t>
            </w:r>
          </w:p>
        </w:tc>
        <w:tc>
          <w:tcPr>
            <w:tcW w:type="dxa" w:w="2520"/>
            <w:tcMar>
              <w:top w:w="80" w:type="dxa"/>
              <w:bottom w:w="80" w:type="dxa"/>
              <w:left w:w="120" w:type="dxa"/>
              <w:right w:w="120" w:type="dxa"/>
            </w:tcMar>
            <w:vAlign w:val="center"/>
          </w:tcPr>
          <w:p>
            <w:pPr>
              <w:spacing w:before="0" w:after="0"/>
            </w:pPr>
            <w:r>
              <w:rPr>
                <w:sz w:val="17"/>
              </w:rPr>
              <w:t>WBS and schedule structure (Sec 2)</w:t>
            </w:r>
          </w:p>
        </w:tc>
        <w:tc>
          <w:tcPr>
            <w:tcW w:type="dxa" w:w="1656"/>
            <w:tcMar>
              <w:top w:w="80" w:type="dxa"/>
              <w:bottom w:w="80" w:type="dxa"/>
              <w:left w:w="120" w:type="dxa"/>
              <w:right w:w="120" w:type="dxa"/>
            </w:tcMar>
            <w:vAlign w:val="center"/>
          </w:tcPr>
          <w:p>
            <w:pPr>
              <w:spacing w:before="0" w:after="0"/>
            </w:pPr>
            <w:r>
              <w:rPr>
                <w:sz w:val="17"/>
              </w:rPr>
              <w:t>Sirapatr C.</w:t>
            </w:r>
          </w:p>
        </w:tc>
        <w:tc>
          <w:tcPr>
            <w:tcW w:type="dxa" w:w="4104"/>
            <w:tcMar>
              <w:top w:w="80" w:type="dxa"/>
              <w:bottom w:w="80" w:type="dxa"/>
              <w:left w:w="120" w:type="dxa"/>
              <w:right w:w="120" w:type="dxa"/>
            </w:tcMar>
            <w:vAlign w:val="center"/>
          </w:tcPr>
          <w:p>
            <w:pPr>
              <w:spacing w:before="0" w:after="0"/>
            </w:pPr>
            <w:r>
              <w:rPr>
                <w:sz w:val="17"/>
              </w:rPr>
              <w:t>The first WBS was phase-based with verb-action labels and no schedule columns. Re-decompose the six workstreams to two levels with 100% deliverable-oriented noun phrases and add WBS ID, Task, Responsible Role, Duration, Predecessor(s), Start, Finish and Expected Output/Milestone Measure, preserving the source iteration dates.</w:t>
            </w:r>
          </w:p>
        </w:tc>
        <w:tc>
          <w:tcPr>
            <w:tcW w:type="dxa" w:w="1008"/>
            <w:tcMar>
              <w:top w:w="80" w:type="dxa"/>
              <w:bottom w:w="80" w:type="dxa"/>
              <w:left w:w="120" w:type="dxa"/>
              <w:right w:w="120" w:type="dxa"/>
            </w:tcMar>
            <w:vAlign w:val="center"/>
          </w:tcPr>
          <w:p>
            <w:pPr>
              <w:spacing w:before="0" w:after="0"/>
              <w:jc w:val="center"/>
            </w:pPr>
            <w:r>
              <w:rPr>
                <w:sz w:val="17"/>
              </w:rPr>
              <w:t>Revise</w:t>
            </w:r>
          </w:p>
        </w:tc>
      </w:tr>
      <w:tr>
        <w:trPr>
          <w:cantSplit/>
        </w:trPr>
        <w:tc>
          <w:tcPr>
            <w:tcW w:type="dxa" w:w="648"/>
            <w:shd w:fill="F7F9FA"/>
            <w:tcMar>
              <w:top w:w="80" w:type="dxa"/>
              <w:bottom w:w="80" w:type="dxa"/>
              <w:left w:w="120" w:type="dxa"/>
              <w:right w:w="120" w:type="dxa"/>
            </w:tcMar>
            <w:vAlign w:val="center"/>
          </w:tcPr>
          <w:p>
            <w:pPr>
              <w:spacing w:before="0" w:after="0"/>
              <w:jc w:val="center"/>
            </w:pPr>
            <w:r>
              <w:rPr>
                <w:sz w:val="17"/>
              </w:rPr>
              <w:t>4</w:t>
            </w:r>
          </w:p>
        </w:tc>
        <w:tc>
          <w:tcPr>
            <w:tcW w:type="dxa" w:w="2520"/>
            <w:shd w:fill="F7F9FA"/>
            <w:tcMar>
              <w:top w:w="80" w:type="dxa"/>
              <w:bottom w:w="80" w:type="dxa"/>
              <w:left w:w="120" w:type="dxa"/>
              <w:right w:w="120" w:type="dxa"/>
            </w:tcMar>
            <w:vAlign w:val="center"/>
          </w:tcPr>
          <w:p>
            <w:pPr>
              <w:spacing w:before="0" w:after="0"/>
            </w:pPr>
            <w:r>
              <w:rPr>
                <w:sz w:val="17"/>
              </w:rPr>
              <w:t>Milestones and critical path (Sec 6.2, 6.3)</w:t>
            </w:r>
          </w:p>
        </w:tc>
        <w:tc>
          <w:tcPr>
            <w:tcW w:type="dxa" w:w="1656"/>
            <w:shd w:fill="F7F9FA"/>
            <w:tcMar>
              <w:top w:w="80" w:type="dxa"/>
              <w:bottom w:w="80" w:type="dxa"/>
              <w:left w:w="120" w:type="dxa"/>
              <w:right w:w="120" w:type="dxa"/>
            </w:tcMar>
            <w:vAlign w:val="center"/>
          </w:tcPr>
          <w:p>
            <w:pPr>
              <w:spacing w:before="0" w:after="0"/>
            </w:pPr>
            <w:r>
              <w:rPr>
                <w:sz w:val="17"/>
              </w:rPr>
              <w:t>Sirapatr C.</w:t>
            </w:r>
          </w:p>
        </w:tc>
        <w:tc>
          <w:tcPr>
            <w:tcW w:type="dxa" w:w="4104"/>
            <w:shd w:fill="F7F9FA"/>
            <w:tcMar>
              <w:top w:w="80" w:type="dxa"/>
              <w:bottom w:w="80" w:type="dxa"/>
              <w:left w:w="120" w:type="dxa"/>
              <w:right w:w="120" w:type="dxa"/>
            </w:tcMar>
            <w:vAlign w:val="center"/>
          </w:tcPr>
          <w:p>
            <w:pPr>
              <w:spacing w:before="0" w:after="0"/>
            </w:pPr>
            <w:r>
              <w:rPr>
                <w:sz w:val="17"/>
              </w:rPr>
              <w:t>The source gives iteration dates but no formally calculated critical path. Derive the chain with the standard float formulas (TS = LS - ES = LF - EF), show the zero-slack path I1-I2-E1-E2-C1-C2-T1-C3-T2-C4-T3-GATE, keep pilot operation as parallel float work, and qualify the result as a planning analysis.</w:t>
            </w:r>
          </w:p>
        </w:tc>
        <w:tc>
          <w:tcPr>
            <w:tcW w:type="dxa" w:w="1008"/>
            <w:shd w:fill="F7F9FA"/>
            <w:tcMar>
              <w:top w:w="80" w:type="dxa"/>
              <w:bottom w:w="80" w:type="dxa"/>
              <w:left w:w="120" w:type="dxa"/>
              <w:right w:w="120" w:type="dxa"/>
            </w:tcMar>
            <w:vAlign w:val="center"/>
          </w:tcPr>
          <w:p>
            <w:pPr>
              <w:spacing w:before="0" w:after="0"/>
              <w:jc w:val="center"/>
            </w:pPr>
            <w:r>
              <w:rPr>
                <w:sz w:val="17"/>
              </w:rPr>
              <w:t>Accept</w:t>
            </w:r>
          </w:p>
        </w:tc>
      </w:tr>
      <w:tr>
        <w:trPr>
          <w:cantSplit/>
        </w:trPr>
        <w:tc>
          <w:tcPr>
            <w:tcW w:type="dxa" w:w="648"/>
            <w:tcMar>
              <w:top w:w="80" w:type="dxa"/>
              <w:bottom w:w="80" w:type="dxa"/>
              <w:left w:w="120" w:type="dxa"/>
              <w:right w:w="120" w:type="dxa"/>
            </w:tcMar>
            <w:vAlign w:val="center"/>
          </w:tcPr>
          <w:p>
            <w:pPr>
              <w:spacing w:before="0" w:after="0"/>
              <w:jc w:val="center"/>
            </w:pPr>
            <w:r>
              <w:rPr>
                <w:sz w:val="17"/>
              </w:rPr>
              <w:t>5</w:t>
            </w:r>
          </w:p>
        </w:tc>
        <w:tc>
          <w:tcPr>
            <w:tcW w:type="dxa" w:w="2520"/>
            <w:tcMar>
              <w:top w:w="80" w:type="dxa"/>
              <w:bottom w:w="80" w:type="dxa"/>
              <w:left w:w="120" w:type="dxa"/>
              <w:right w:w="120" w:type="dxa"/>
            </w:tcMar>
            <w:vAlign w:val="center"/>
          </w:tcPr>
          <w:p>
            <w:pPr>
              <w:spacing w:before="0" w:after="0"/>
            </w:pPr>
            <w:r>
              <w:rPr>
                <w:sz w:val="17"/>
              </w:rPr>
              <w:t>Effort estimation for tasks (Sec 3)</w:t>
            </w:r>
          </w:p>
        </w:tc>
        <w:tc>
          <w:tcPr>
            <w:tcW w:type="dxa" w:w="1656"/>
            <w:tcMar>
              <w:top w:w="80" w:type="dxa"/>
              <w:bottom w:w="80" w:type="dxa"/>
              <w:left w:w="120" w:type="dxa"/>
              <w:right w:w="120" w:type="dxa"/>
            </w:tcMar>
            <w:vAlign w:val="center"/>
          </w:tcPr>
          <w:p>
            <w:pPr>
              <w:spacing w:before="0" w:after="0"/>
            </w:pPr>
            <w:r>
              <w:rPr>
                <w:sz w:val="17"/>
              </w:rPr>
              <w:t>Chawanakorn S.</w:t>
            </w:r>
          </w:p>
        </w:tc>
        <w:tc>
          <w:tcPr>
            <w:tcW w:type="dxa" w:w="4104"/>
            <w:tcMar>
              <w:top w:w="80" w:type="dxa"/>
              <w:bottom w:w="80" w:type="dxa"/>
              <w:left w:w="120" w:type="dxa"/>
              <w:right w:w="120" w:type="dxa"/>
            </w:tcMar>
            <w:vAlign w:val="center"/>
          </w:tcPr>
          <w:p>
            <w:pPr>
              <w:spacing w:before="0" w:after="0"/>
            </w:pPr>
            <w:r>
              <w:rPr>
                <w:sz w:val="17"/>
              </w:rPr>
              <w:t>The C1 payment-gateway effort was too low against the M1 baseline and the basis of estimates was missing. Reconcile the work-package allocations to 2,632 hours and 846,600 THB (0% variance), state the basis of estimates and use three-point/PERT for the gateway, LINE and load-test items.</w:t>
            </w:r>
          </w:p>
        </w:tc>
        <w:tc>
          <w:tcPr>
            <w:tcW w:type="dxa" w:w="1008"/>
            <w:tcMar>
              <w:top w:w="80" w:type="dxa"/>
              <w:bottom w:w="80" w:type="dxa"/>
              <w:left w:w="120" w:type="dxa"/>
              <w:right w:w="120" w:type="dxa"/>
            </w:tcMar>
            <w:vAlign w:val="center"/>
          </w:tcPr>
          <w:p>
            <w:pPr>
              <w:spacing w:before="0" w:after="0"/>
              <w:jc w:val="center"/>
            </w:pPr>
            <w:r>
              <w:rPr>
                <w:sz w:val="17"/>
              </w:rPr>
              <w:t>Revise</w:t>
            </w:r>
          </w:p>
        </w:tc>
      </w:tr>
      <w:tr>
        <w:trPr>
          <w:cantSplit/>
        </w:trPr>
        <w:tc>
          <w:tcPr>
            <w:tcW w:type="dxa" w:w="648"/>
            <w:shd w:fill="F7F9FA"/>
            <w:tcMar>
              <w:top w:w="80" w:type="dxa"/>
              <w:bottom w:w="80" w:type="dxa"/>
              <w:left w:w="120" w:type="dxa"/>
              <w:right w:w="120" w:type="dxa"/>
            </w:tcMar>
            <w:vAlign w:val="center"/>
          </w:tcPr>
          <w:p>
            <w:pPr>
              <w:spacing w:before="0" w:after="0"/>
              <w:jc w:val="center"/>
            </w:pPr>
            <w:r>
              <w:rPr>
                <w:sz w:val="17"/>
              </w:rPr>
              <w:t>6</w:t>
            </w:r>
          </w:p>
        </w:tc>
        <w:tc>
          <w:tcPr>
            <w:tcW w:type="dxa" w:w="2520"/>
            <w:shd w:fill="F7F9FA"/>
            <w:tcMar>
              <w:top w:w="80" w:type="dxa"/>
              <w:bottom w:w="80" w:type="dxa"/>
              <w:left w:w="120" w:type="dxa"/>
              <w:right w:w="120" w:type="dxa"/>
            </w:tcMar>
            <w:vAlign w:val="center"/>
          </w:tcPr>
          <w:p>
            <w:pPr>
              <w:spacing w:before="0" w:after="0"/>
            </w:pPr>
            <w:r>
              <w:rPr>
                <w:sz w:val="17"/>
              </w:rPr>
              <w:t>WBS decomposition and features by release (Sec 2)</w:t>
            </w:r>
          </w:p>
        </w:tc>
        <w:tc>
          <w:tcPr>
            <w:tcW w:type="dxa" w:w="1656"/>
            <w:shd w:fill="F7F9FA"/>
            <w:tcMar>
              <w:top w:w="80" w:type="dxa"/>
              <w:bottom w:w="80" w:type="dxa"/>
              <w:left w:w="120" w:type="dxa"/>
              <w:right w:w="120" w:type="dxa"/>
            </w:tcMar>
            <w:vAlign w:val="center"/>
          </w:tcPr>
          <w:p>
            <w:pPr>
              <w:spacing w:before="0" w:after="0"/>
            </w:pPr>
            <w:r>
              <w:rPr>
                <w:sz w:val="17"/>
              </w:rPr>
              <w:t>Chawanakorn S.</w:t>
            </w:r>
          </w:p>
        </w:tc>
        <w:tc>
          <w:tcPr>
            <w:tcW w:type="dxa" w:w="4104"/>
            <w:shd w:fill="F7F9FA"/>
            <w:tcMar>
              <w:top w:w="80" w:type="dxa"/>
              <w:bottom w:w="80" w:type="dxa"/>
              <w:left w:w="120" w:type="dxa"/>
              <w:right w:w="120" w:type="dxa"/>
            </w:tcMar>
            <w:vAlign w:val="center"/>
          </w:tcPr>
          <w:p>
            <w:pPr>
              <w:spacing w:before="0" w:after="0"/>
            </w:pPr>
            <w:r>
              <w:rPr>
                <w:sz w:val="17"/>
              </w:rPr>
              <w:t>Core, Growth and productization features were mixed and some items were listed by page. Cover every feature F1-F35 and the C4/T3 productization exactly once, use noun-form work packages and one numbering scheme across all tables.</w:t>
            </w:r>
          </w:p>
        </w:tc>
        <w:tc>
          <w:tcPr>
            <w:tcW w:type="dxa" w:w="1008"/>
            <w:shd w:fill="F7F9FA"/>
            <w:tcMar>
              <w:top w:w="80" w:type="dxa"/>
              <w:bottom w:w="80" w:type="dxa"/>
              <w:left w:w="120" w:type="dxa"/>
              <w:right w:w="120" w:type="dxa"/>
            </w:tcMar>
            <w:vAlign w:val="center"/>
          </w:tcPr>
          <w:p>
            <w:pPr>
              <w:spacing w:before="0" w:after="0"/>
              <w:jc w:val="center"/>
            </w:pPr>
            <w:r>
              <w:rPr>
                <w:sz w:val="17"/>
              </w:rPr>
              <w:t>Revise</w:t>
            </w:r>
          </w:p>
        </w:tc>
      </w:tr>
      <w:tr>
        <w:trPr>
          <w:cantSplit/>
        </w:trPr>
        <w:tc>
          <w:tcPr>
            <w:tcW w:type="dxa" w:w="648"/>
            <w:tcMar>
              <w:top w:w="80" w:type="dxa"/>
              <w:bottom w:w="80" w:type="dxa"/>
              <w:left w:w="120" w:type="dxa"/>
              <w:right w:w="120" w:type="dxa"/>
            </w:tcMar>
            <w:vAlign w:val="center"/>
          </w:tcPr>
          <w:p>
            <w:pPr>
              <w:spacing w:before="0" w:after="0"/>
              <w:jc w:val="center"/>
            </w:pPr>
            <w:r>
              <w:rPr>
                <w:sz w:val="17"/>
              </w:rPr>
              <w:t>7</w:t>
            </w:r>
          </w:p>
        </w:tc>
        <w:tc>
          <w:tcPr>
            <w:tcW w:type="dxa" w:w="2520"/>
            <w:tcMar>
              <w:top w:w="80" w:type="dxa"/>
              <w:bottom w:w="80" w:type="dxa"/>
              <w:left w:w="120" w:type="dxa"/>
              <w:right w:w="120" w:type="dxa"/>
            </w:tcMar>
            <w:vAlign w:val="center"/>
          </w:tcPr>
          <w:p>
            <w:pPr>
              <w:spacing w:before="0" w:after="0"/>
            </w:pPr>
            <w:r>
              <w:rPr>
                <w:sz w:val="17"/>
              </w:rPr>
              <w:t>Quality requirements and tests (Sec 1.2, 1.5)</w:t>
            </w:r>
          </w:p>
        </w:tc>
        <w:tc>
          <w:tcPr>
            <w:tcW w:type="dxa" w:w="1656"/>
            <w:tcMar>
              <w:top w:w="80" w:type="dxa"/>
              <w:bottom w:w="80" w:type="dxa"/>
              <w:left w:w="120" w:type="dxa"/>
              <w:right w:w="120" w:type="dxa"/>
            </w:tcMar>
            <w:vAlign w:val="center"/>
          </w:tcPr>
          <w:p>
            <w:pPr>
              <w:spacing w:before="0" w:after="0"/>
            </w:pPr>
            <w:r>
              <w:rPr>
                <w:sz w:val="17"/>
              </w:rPr>
              <w:t>Watayut A.</w:t>
            </w:r>
          </w:p>
        </w:tc>
        <w:tc>
          <w:tcPr>
            <w:tcW w:type="dxa" w:w="4104"/>
            <w:tcMar>
              <w:top w:w="80" w:type="dxa"/>
              <w:bottom w:w="80" w:type="dxa"/>
              <w:left w:w="120" w:type="dxa"/>
              <w:right w:w="120" w:type="dxa"/>
            </w:tcMar>
            <w:vAlign w:val="center"/>
          </w:tcPr>
          <w:p>
            <w:pPr>
              <w:spacing w:before="0" w:after="0"/>
            </w:pPr>
            <w:r>
              <w:rPr>
                <w:sz w:val="17"/>
              </w:rPr>
              <w:t>Quality requirements lacked verification methods. Map response time, throughput, check-in, recovery, backup and browser compatibility to test evidence with measurable thresholds.</w:t>
            </w:r>
          </w:p>
        </w:tc>
        <w:tc>
          <w:tcPr>
            <w:tcW w:type="dxa" w:w="1008"/>
            <w:tcMar>
              <w:top w:w="80" w:type="dxa"/>
              <w:bottom w:w="80" w:type="dxa"/>
              <w:left w:w="120" w:type="dxa"/>
              <w:right w:w="120" w:type="dxa"/>
            </w:tcMar>
            <w:vAlign w:val="center"/>
          </w:tcPr>
          <w:p>
            <w:pPr>
              <w:spacing w:before="0" w:after="0"/>
              <w:jc w:val="center"/>
            </w:pPr>
            <w:r>
              <w:rPr>
                <w:sz w:val="17"/>
              </w:rPr>
              <w:t>Revise</w:t>
            </w:r>
          </w:p>
        </w:tc>
      </w:tr>
      <w:tr>
        <w:trPr>
          <w:cantSplit/>
        </w:trPr>
        <w:tc>
          <w:tcPr>
            <w:tcW w:type="dxa" w:w="648"/>
            <w:shd w:fill="F7F9FA"/>
            <w:tcMar>
              <w:top w:w="80" w:type="dxa"/>
              <w:bottom w:w="80" w:type="dxa"/>
              <w:left w:w="120" w:type="dxa"/>
              <w:right w:w="120" w:type="dxa"/>
            </w:tcMar>
            <w:vAlign w:val="center"/>
          </w:tcPr>
          <w:p>
            <w:pPr>
              <w:spacing w:before="0" w:after="0"/>
              <w:jc w:val="center"/>
            </w:pPr>
            <w:r>
              <w:rPr>
                <w:sz w:val="17"/>
              </w:rPr>
              <w:t>8</w:t>
            </w:r>
          </w:p>
        </w:tc>
        <w:tc>
          <w:tcPr>
            <w:tcW w:type="dxa" w:w="2520"/>
            <w:shd w:fill="F7F9FA"/>
            <w:tcMar>
              <w:top w:w="80" w:type="dxa"/>
              <w:bottom w:w="80" w:type="dxa"/>
              <w:left w:w="120" w:type="dxa"/>
              <w:right w:w="120" w:type="dxa"/>
            </w:tcMar>
            <w:vAlign w:val="center"/>
          </w:tcPr>
          <w:p>
            <w:pPr>
              <w:spacing w:before="0" w:after="0"/>
            </w:pPr>
            <w:r>
              <w:rPr>
                <w:sz w:val="17"/>
              </w:rPr>
              <w:t>Cost estimate consistency (Sec 5)</w:t>
            </w:r>
          </w:p>
        </w:tc>
        <w:tc>
          <w:tcPr>
            <w:tcW w:type="dxa" w:w="1656"/>
            <w:shd w:fill="F7F9FA"/>
            <w:tcMar>
              <w:top w:w="80" w:type="dxa"/>
              <w:bottom w:w="80" w:type="dxa"/>
              <w:left w:w="120" w:type="dxa"/>
              <w:right w:w="120" w:type="dxa"/>
            </w:tcMar>
            <w:vAlign w:val="center"/>
          </w:tcPr>
          <w:p>
            <w:pPr>
              <w:spacing w:before="0" w:after="0"/>
            </w:pPr>
            <w:r>
              <w:rPr>
                <w:sz w:val="17"/>
              </w:rPr>
              <w:t>Watayut A.</w:t>
            </w:r>
          </w:p>
        </w:tc>
        <w:tc>
          <w:tcPr>
            <w:tcW w:type="dxa" w:w="4104"/>
            <w:shd w:fill="F7F9FA"/>
            <w:tcMar>
              <w:top w:w="80" w:type="dxa"/>
              <w:bottom w:w="80" w:type="dxa"/>
              <w:left w:w="120" w:type="dxa"/>
              <w:right w:w="120" w:type="dxa"/>
            </w:tcMar>
            <w:vAlign w:val="center"/>
          </w:tcPr>
          <w:p>
            <w:pPr>
              <w:spacing w:before="0" w:after="0"/>
            </w:pPr>
            <w:r>
              <w:rPr>
                <w:sz w:val="17"/>
              </w:rPr>
              <w:t>The budget needed transparent categories, exclusions and a final arithmetic check. Preserve the reported figures (Year 0 767,690; Year 1 242,900; total 1,010,590; labor 846,600; pilot fee 150,000; net 860,590) and flag the reconciliation for team verification.</w:t>
            </w:r>
          </w:p>
        </w:tc>
        <w:tc>
          <w:tcPr>
            <w:tcW w:type="dxa" w:w="1008"/>
            <w:shd w:fill="F7F9FA"/>
            <w:tcMar>
              <w:top w:w="80" w:type="dxa"/>
              <w:bottom w:w="80" w:type="dxa"/>
              <w:left w:w="120" w:type="dxa"/>
              <w:right w:w="120" w:type="dxa"/>
            </w:tcMar>
            <w:vAlign w:val="center"/>
          </w:tcPr>
          <w:p>
            <w:pPr>
              <w:spacing w:before="0" w:after="0"/>
              <w:jc w:val="center"/>
            </w:pPr>
            <w:r>
              <w:rPr>
                <w:sz w:val="17"/>
              </w:rPr>
              <w:t>Accept</w:t>
            </w:r>
          </w:p>
        </w:tc>
      </w:tr>
    </w:tbl>
    <w:p>
      <w:r>
        <w:br/>
        <w:t>All dispositions recorded here match the Review fields of the prompt records in the consolidated SEATS Generative AI Log (Part 1): every 'Revise' decision corresponds to a recorded revision, and every artifact was accepted by the board into the SEATS project baseline after its revision. The mapping is one-to-one and unambiguous — Decision RD-01 -&gt; AI-01, RD-02 -&gt; AI-02, RD-03 -&gt; AI-03, RD-04 -&gt; AI-04, RD-05 -&gt; AI-05, RD-06 -&gt; AI-06, RD-07 -&gt; AI-07, RD-08 -&gt; AI-08.</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r>
    <w:r>
      <w:rPr>
        <w:color w:val="787878"/>
        <w:sz w:val="16"/>
      </w:rPr>
      <w:t xml:space="preserve">Chulalongkorn University · Department of Computer Engineering · Academic Year 2569   |   Page </w:t>
    </w:r>
    <w:r>
      <w:rPr>
        <w:color w:val="787878"/>
        <w:sz w:val="16"/>
      </w:rPr>
      <w:fldChar w:fldCharType="begin"/>
      <w:instrText xml:space="preserve">PAGE</w:instrText>
      <w:fldChar w:fldCharType="end"/>
    </w:r>
    <w:r>
      <w:rPr>
        <w:color w:val="787878"/>
        <w:sz w:val="16"/>
      </w:rPr>
      <w:t xml:space="preserve"> of </w:t>
    </w:r>
    <w:r>
      <w:rPr>
        <w:color w:val="787878"/>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2110722 Software Project Management  |  SEATS Review Board Decision 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2B49"/>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2B49"/>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2B4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