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pBdr>
          <w:bottom w:val="single" w:color="1F4E79" w:sz="12" w:space="10"/>
        </w:pBdr>
        <w:spacing w:after="60"/>
        <w:jc w:val="center"/>
      </w:pPr>
      <w:r>
        <w:rPr>
          <w:b/>
          <w:bCs/>
          <w:color w:val="1F4E79"/>
          <w:spacing w:val="60"/>
          <w:sz w:val="26"/>
          <w:szCs w:val="26"/>
        </w:rPr>
        <w:t xml:space="preserve">PROJECT HARPER</w:t>
      </w:r>
    </w:p>
    <w:p>
      <w:pPr>
        <w:spacing w:after="120" w:before="260"/>
        <w:jc w:val="center"/>
      </w:pPr>
      <w:r>
        <w:rPr>
          <w:b/>
          <w:bCs/>
          <w:color w:val="1F3864"/>
          <w:sz w:val="52"/>
          <w:szCs w:val="52"/>
        </w:rPr>
        <w:t xml:space="preserve">Detecting Human Trafficking in the Emergency Department</w:t>
      </w:r>
    </w:p>
    <w:p>
      <w:pPr>
        <w:spacing w:after="60"/>
        <w:jc w:val="center"/>
      </w:pPr>
      <w:r>
        <w:rPr>
          <w:color w:val="595959"/>
          <w:sz w:val="26"/>
          <w:szCs w:val="26"/>
        </w:rPr>
        <w:t xml:space="preserve">An Open-Source Use-Case Specification for a Real-Time Clinical</w:t>
      </w:r>
    </w:p>
    <w:p>
      <w:pPr>
        <w:spacing w:after="500"/>
        <w:jc w:val="center"/>
      </w:pPr>
      <w:r>
        <w:rPr>
          <w:color w:val="595959"/>
          <w:sz w:val="26"/>
          <w:szCs w:val="26"/>
        </w:rPr>
        <w:t xml:space="preserve">Screening and Response Platform</w:t>
      </w:r>
    </w:p>
    <w:p>
      <w:pPr>
        <w:spacing w:after="40"/>
        <w:jc w:val="center"/>
      </w:pPr>
      <w:r>
        <w:rPr>
          <w:i/>
          <w:iCs/>
          <w:color w:val="595959"/>
          <w:sz w:val="22"/>
          <w:szCs w:val="22"/>
        </w:rPr>
        <w:t xml:space="preserve">A license-free rebuild of the 2022 “Greenbaum 2.0” interoperability blueprint,</w:t>
      </w:r>
    </w:p>
    <w:p>
      <w:pPr>
        <w:spacing w:after="700"/>
        <w:jc w:val="center"/>
      </w:pPr>
      <w:r>
        <w:rPr>
          <w:i/>
          <w:iCs/>
          <w:color w:val="595959"/>
          <w:sz w:val="22"/>
          <w:szCs w:val="22"/>
        </w:rPr>
        <w:t xml:space="preserve">targeted at commercial hospital emergency departments.</w:t>
      </w:r>
    </w:p>
    <w:p>
      <w:pPr>
        <w:spacing w:after="30"/>
        <w:jc w:val="center"/>
      </w:pPr>
      <w:r>
        <w:rPr>
          <w:b/>
          <w:bCs/>
          <w:sz w:val="22"/>
          <w:szCs w:val="22"/>
        </w:rPr>
        <w:t xml:space="preserve">Version 1.2  •  Final</w:t>
      </w:r>
    </w:p>
    <w:p>
      <w:pPr>
        <w:spacing w:after="30"/>
        <w:jc w:val="center"/>
      </w:pPr>
      <w:r>
        <w:rPr>
          <w:sz w:val="22"/>
          <w:szCs w:val="22"/>
        </w:rPr>
        <w:t xml:space="preserve">1 July 2026</w:t>
      </w:r>
    </w:p>
    <w:p>
      <w:pPr>
        <w:spacing w:after="30"/>
        <w:jc w:val="center"/>
      </w:pPr>
      <w:r>
        <w:rPr>
          <w:sz w:val="22"/>
          <w:szCs w:val="22"/>
        </w:rPr>
        <w:t xml:space="preserve">Prepared by Ben Cushing</w:t>
      </w:r>
    </w:p>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Field</w:t>
            </w:r>
          </w:p>
        </w:tc>
        <w:tc>
          <w:tcPr>
            <w:tcW w:type="dxa" w:w="69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Detail</w:t>
            </w:r>
          </w:p>
        </w:tc>
      </w:tr>
      <w:tr>
        <w:tc>
          <w:tcPr>
            <w:tcW w:type="dxa" w:w="2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Document title</w:t>
            </w:r>
          </w:p>
        </w:tc>
        <w:tc>
          <w:tcPr>
            <w:tcW w:type="dxa" w:w="69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Detecting Human Trafficking in the Emergency Department — Open-Source Use-Case Specification</w:t>
            </w:r>
          </w:p>
        </w:tc>
      </w:tr>
      <w:tr>
        <w:tc>
          <w:tcPr>
            <w:tcW w:type="dxa" w:w="2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Project</w:t>
            </w:r>
          </w:p>
        </w:tc>
        <w:tc>
          <w:tcPr>
            <w:tcW w:type="dxa" w:w="69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Harper</w:t>
            </w:r>
          </w:p>
        </w:tc>
      </w:tr>
      <w:tr>
        <w:tc>
          <w:tcPr>
            <w:tcW w:type="dxa" w:w="2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Version</w:t>
            </w:r>
          </w:p>
        </w:tc>
        <w:tc>
          <w:tcPr>
            <w:tcW w:type="dxa" w:w="69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1.2 (Final)</w:t>
            </w:r>
          </w:p>
        </w:tc>
      </w:tr>
      <w:tr>
        <w:tc>
          <w:tcPr>
            <w:tcW w:type="dxa" w:w="2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Date</w:t>
            </w:r>
          </w:p>
        </w:tc>
        <w:tc>
          <w:tcPr>
            <w:tcW w:type="dxa" w:w="69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1 July 2026</w:t>
            </w:r>
          </w:p>
        </w:tc>
      </w:tr>
      <w:tr>
        <w:tc>
          <w:tcPr>
            <w:tcW w:type="dxa" w:w="2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Author</w:t>
            </w:r>
          </w:p>
        </w:tc>
        <w:tc>
          <w:tcPr>
            <w:tcW w:type="dxa" w:w="69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Ben Cushing</w:t>
            </w:r>
          </w:p>
        </w:tc>
      </w:tr>
      <w:tr>
        <w:tc>
          <w:tcPr>
            <w:tcW w:type="dxa" w:w="2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Status</w:t>
            </w:r>
          </w:p>
        </w:tc>
        <w:tc>
          <w:tcPr>
            <w:tcW w:type="dxa" w:w="69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Finalized for review and prototyping</w:t>
            </w:r>
          </w:p>
        </w:tc>
      </w:tr>
      <w:tr>
        <w:tc>
          <w:tcPr>
            <w:tcW w:type="dxa" w:w="2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Reference engine</w:t>
            </w:r>
          </w:p>
        </w:tc>
        <w:tc>
          <w:tcPr>
            <w:tcW w:type="dxa" w:w="69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Kogito (KIE) — open-source BPMN/DMN on Quarkus</w:t>
            </w:r>
          </w:p>
        </w:tc>
      </w:tr>
      <w:tr>
        <w:tc>
          <w:tcPr>
            <w:tcW w:type="dxa" w:w="2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Deployment target</w:t>
            </w:r>
          </w:p>
        </w:tc>
        <w:tc>
          <w:tcPr>
            <w:tcW w:type="dxa" w:w="69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Kubernetes (containerized services)</w:t>
            </w:r>
          </w:p>
        </w:tc>
      </w:tr>
      <w:tr>
        <w:tc>
          <w:tcPr>
            <w:tcW w:type="dxa" w:w="2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Supersedes</w:t>
            </w:r>
          </w:p>
        </w:tc>
        <w:tc>
          <w:tcPr>
            <w:tcW w:type="dxa" w:w="69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HIMSS 2022 Interoperability Showcase use case “Detecting Human Trafficking” (multi-vendor blueprint)</w:t>
            </w:r>
          </w:p>
        </w:tc>
      </w:tr>
      <w:tr>
        <w:tc>
          <w:tcPr>
            <w:tcW w:type="dxa" w:w="2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Audience</w:t>
            </w:r>
          </w:p>
        </w:tc>
        <w:tc>
          <w:tcPr>
            <w:tcW w:type="dxa" w:w="69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Solution architects, clinical informaticists, ED clinical leadership, safeguarding / anti-trafficking program leads, developers</w:t>
            </w:r>
          </w:p>
        </w:tc>
      </w:tr>
      <w:tr>
        <w:tc>
          <w:tcPr>
            <w:tcW w:type="dxa" w:w="2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Classification</w:t>
            </w:r>
          </w:p>
        </w:tc>
        <w:tc>
          <w:tcPr>
            <w:tcW w:type="dxa" w:w="69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Sensitive — discusses screening of minors; handle per institutional policy</w:t>
            </w:r>
          </w:p>
        </w:tc>
      </w:tr>
    </w:tbl>
    <w:p>
      <w:pPr>
        <w:spacing w:after="80"/>
      </w:pP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50"/>
        <w:gridCol w:w="1300"/>
        <w:gridCol w:w="5710"/>
      </w:tblGrid>
      <w:tr>
        <w:trPr>
          <w:tblHeader/>
        </w:trPr>
        <w:tc>
          <w:tcPr>
            <w:tcW w:type="dxa" w:w="10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Version</w:t>
            </w:r>
          </w:p>
        </w:tc>
        <w:tc>
          <w:tcPr>
            <w:tcW w:type="dxa" w:w="135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Date</w:t>
            </w:r>
          </w:p>
        </w:tc>
        <w:tc>
          <w:tcPr>
            <w:tcW w:type="dxa" w:w="13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Author</w:t>
            </w:r>
          </w:p>
        </w:tc>
        <w:tc>
          <w:tcPr>
            <w:tcW w:type="dxa" w:w="571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Summary of change</w:t>
            </w:r>
          </w:p>
        </w:tc>
      </w:tr>
      <w:tr>
        <w:tc>
          <w:tcPr>
            <w:tcW w:type="dxa" w:w="1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0.1</w:t>
            </w:r>
          </w:p>
        </w:tc>
        <w:tc>
          <w:tcPr>
            <w:tcW w:type="dxa" w:w="13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2026-07-01</w:t>
            </w:r>
          </w:p>
        </w:tc>
        <w:tc>
          <w:tcPr>
            <w:tcW w:type="dxa" w:w="1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 Cushing</w:t>
            </w:r>
          </w:p>
        </w:tc>
        <w:tc>
          <w:tcPr>
            <w:tcW w:type="dxa" w:w="571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Initial draft. Establishes scope, personas, clinical workflow, functional and non-functional requirements, open-source reference architecture, and data model for the rebuild.</w:t>
            </w:r>
          </w:p>
        </w:tc>
      </w:tr>
      <w:tr>
        <w:tc>
          <w:tcPr>
            <w:tcW w:type="dxa" w:w="1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1.0</w:t>
            </w:r>
          </w:p>
        </w:tc>
        <w:tc>
          <w:tcPr>
            <w:tcW w:type="dxa" w:w="13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2026-07-01</w:t>
            </w:r>
          </w:p>
        </w:tc>
        <w:tc>
          <w:tcPr>
            <w:tcW w:type="dxa" w:w="1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B. Cushing</w:t>
            </w:r>
          </w:p>
        </w:tc>
        <w:tc>
          <w:tcPr>
            <w:tcW w:type="dxa" w:w="571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Finalized. Full open-standards / open-source emphasis (added the openness summary, §4.1); Kubernetes deployment scheme (§10.3); Kogito (KIE) selected as the BPMN/DMN engine; incorporated the delivered BPMN collaboration, three sub-processes, and three DMN decisions (§10.4).</w:t>
            </w:r>
          </w:p>
        </w:tc>
      </w:tr>
      <w:tr>
        <w:tc>
          <w:tcPr>
            <w:tcW w:type="dxa" w:w="1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1.1</w:t>
            </w:r>
          </w:p>
        </w:tc>
        <w:tc>
          <w:tcPr>
            <w:tcW w:type="dxa" w:w="13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2026-07-01</w:t>
            </w:r>
          </w:p>
        </w:tc>
        <w:tc>
          <w:tcPr>
            <w:tcW w:type="dxa" w:w="1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 Cushing</w:t>
            </w:r>
          </w:p>
        </w:tc>
        <w:tc>
          <w:tcPr>
            <w:tcW w:type="dxa" w:w="571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Clarified referral governance: a positive screen or suspicious findings auto-drafts a social-work referral (FHIR Task status draft / intent proposal); a Licensed Independent Practitioner must finalize it before it routes. Added a Finalize-referral step to the Practitioner sub-process.</w:t>
            </w:r>
          </w:p>
        </w:tc>
      </w:tr>
      <w:tr>
        <w:tc>
          <w:tcPr>
            <w:tcW w:type="dxa" w:w="1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1.2</w:t>
            </w:r>
          </w:p>
        </w:tc>
        <w:tc>
          <w:tcPr>
            <w:tcW w:type="dxa" w:w="13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2026-07-01</w:t>
            </w:r>
          </w:p>
        </w:tc>
        <w:tc>
          <w:tcPr>
            <w:tcW w:type="dxa" w:w="1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B. Cushing</w:t>
            </w:r>
          </w:p>
        </w:tc>
        <w:tc>
          <w:tcPr>
            <w:tcW w:type="dxa" w:w="571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Formalized cross-lane signaling: the Nurse's at-risk decision throws a “Referral drafted” signal that starts the Practitioner swimlane; the Practitioner's Finalize step is the single throw of the “Suspect sex trafficking” signal to the Social Worker.</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rPr>
          <w:b w:val="false"/>
          <w:bCs w:val="false"/>
          <w:i w:val="false"/>
          <w:iCs w:val="false"/>
        </w:rPr>
        <w:t xml:space="preserve">Project Harper rebuilds a proven idea on a new foundation. In 2022, a multi-vendor team demonstrated — at the HIMSS Interoperability Showcase — that a patient could move through a busy emergency department (ED) while software quietly watched the clinical record, recognized the pattern of possible child sex trafficking, administered a clinically validated screen, and routed an alert to a social worker in near real time. The demonstration worked. Its limitation was commercial: the workflow was assembled from proprietary products (Cerner, Trisotech, Smile CDR, Red Hat, Visible Systems), so any hospital wanting to adopt it inherited a stack of licenses.</w:t>
      </w:r>
    </w:p>
    <w:p>
      <w:pPr>
        <w:spacing w:after="120" w:before="0" w:line="276"/>
      </w:pPr>
      <w:r>
        <w:rPr>
          <w:b w:val="false"/>
          <w:bCs w:val="false"/>
          <w:i w:val="false"/>
          <w:iCs w:val="false"/>
        </w:rPr>
        <w:t xml:space="preserve">Harper keeps the clinical model and the interoperability-first philosophy but replaces every proprietary component with a permissively licensed, open-source equivalent built on published HL7 and OMG standards — FHIR, CDS Hooks, SMART on FHIR, Structured Data Capture, and the BPM+ Health stack of BPMN, DMN, and CQL. The executable clinical process itself remains modeled in open-standard BPMN, orchestrating open-standard DMN decisions — the 2022 design intent, carried forward on an open engine. The result is a reference design a commercial hospital ED can stand up, inspect, and extend without paying for the detection capability itself.</w:t>
      </w:r>
    </w:p>
    <w:p>
      <w:pPr>
        <w:spacing w:after="120" w:before="0" w:line="276"/>
      </w:pPr>
      <w:r>
        <w:rPr>
          <w:b w:val="false"/>
          <w:bCs w:val="false"/>
          <w:i w:val="false"/>
          <w:iCs w:val="false"/>
        </w:rPr>
        <w:t xml:space="preserve">This document is a use-case specification: it is written to ground development and prototyping. It defines who the system serves, the exact clinical workflow it supports, the functional and non-functional requirements a build must satisfy, the FHIR data model and standards it exchanges, and an open-source reference architecture that maps one-to-one onto the 2022 design.</w:t>
      </w:r>
    </w:p>
    <w:p>
      <w:pPr>
        <w:pStyle w:val="Heading3"/>
      </w:pPr>
      <w:r>
        <w:t xml:space="preserve">What changes from the 2022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30"/>
        <w:gridCol w:w="4030"/>
      </w:tblGrid>
      <w:tr>
        <w:trPr>
          <w:tblHeader/>
        </w:trPr>
        <w:tc>
          <w:tcPr>
            <w:tcW w:type="dxa" w:w="17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Dimension</w:t>
            </w:r>
          </w:p>
        </w:tc>
        <w:tc>
          <w:tcPr>
            <w:tcW w:type="dxa" w:w="363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2022 Showcase blueprint</w:t>
            </w:r>
          </w:p>
        </w:tc>
        <w:tc>
          <w:tcPr>
            <w:tcW w:type="dxa" w:w="403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Harper (2026)</w:t>
            </w:r>
          </w:p>
        </w:tc>
      </w:tr>
      <w:tr>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Detection capability</w:t>
            </w:r>
          </w:p>
        </w:tc>
        <w:tc>
          <w:tcPr>
            <w:tcW w:type="dxa" w:w="363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Proprietary, multi-vendor</w:t>
            </w:r>
          </w:p>
        </w:tc>
        <w:tc>
          <w:tcPr>
            <w:tcW w:type="dxa" w:w="403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Open-source, permissively licensed (Apache-2.0 / MIT); no license fee to detect</w:t>
            </w:r>
          </w:p>
        </w:tc>
      </w:tr>
      <w:tr>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Real-time triggering</w:t>
            </w:r>
          </w:p>
        </w:tc>
        <w:tc>
          <w:tcPr>
            <w:tcW w:type="dxa" w:w="363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Vendor process engine watching a FHIR subscription</w:t>
            </w:r>
          </w:p>
        </w:tc>
        <w:tc>
          <w:tcPr>
            <w:tcW w:type="dxa" w:w="403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Hooks 2.0.1 (open HL7 standard) plus FHIR Subscriptions</w:t>
            </w:r>
          </w:p>
        </w:tc>
      </w:tr>
      <w:tr>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Orchestration &amp; decisions</w:t>
            </w:r>
          </w:p>
        </w:tc>
        <w:tc>
          <w:tcPr>
            <w:tcW w:type="dxa" w:w="363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Vendor BPMN/DMN suite; “metaheuristics” risk score</w:t>
            </w:r>
          </w:p>
        </w:tc>
        <w:tc>
          <w:tcPr>
            <w:tcW w:type="dxa" w:w="403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Same open BPMN 2.0 + DMN 1.3 standards executed on Kogito (KIE); transparent DMN/CQL screening decision; optional, explainable ML only to assist triage</w:t>
            </w:r>
          </w:p>
        </w:tc>
      </w:tr>
      <w:tr>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EHR coupling</w:t>
            </w:r>
          </w:p>
        </w:tc>
        <w:tc>
          <w:tcPr>
            <w:tcW w:type="dxa" w:w="363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Cerner Millennium specific</w:t>
            </w:r>
          </w:p>
        </w:tc>
        <w:tc>
          <w:tcPr>
            <w:tcW w:type="dxa" w:w="403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EHR-agnostic via US Core FHIR + SMART on FHIR (Epic, Oracle Health, athenahealth, or open EHRs)</w:t>
            </w:r>
          </w:p>
        </w:tc>
      </w:tr>
      <w:tr>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Deployment</w:t>
            </w:r>
          </w:p>
        </w:tc>
        <w:tc>
          <w:tcPr>
            <w:tcW w:type="dxa" w:w="363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Commercial OpenShift</w:t>
            </w:r>
          </w:p>
        </w:tc>
        <w:tc>
          <w:tcPr>
            <w:tcW w:type="dxa" w:w="403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Any conformant Kubernetes (containerized services via Helm); small-footprint Kubernetes at the edge for disconnected or rural sites</w:t>
            </w:r>
          </w:p>
        </w:tc>
      </w:tr>
      <w:tr>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Target adopter</w:t>
            </w:r>
          </w:p>
        </w:tc>
        <w:tc>
          <w:tcPr>
            <w:tcW w:type="dxa" w:w="363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Federal showcase</w:t>
            </w:r>
          </w:p>
        </w:tc>
        <w:tc>
          <w:tcPr>
            <w:tcW w:type="dxa" w:w="403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Commercial hospital emergency departments</w:t>
            </w:r>
          </w:p>
        </w:tc>
      </w:tr>
    </w:tbl>
    <w:p>
      <w:pPr>
        <w:spacing w:after="80"/>
      </w:pPr>
    </w:p>
    <w:p>
      <w:pPr>
        <w:spacing w:after="120" w:before="0" w:line="276"/>
      </w:pPr>
      <w:r>
        <w:rPr>
          <w:b w:val="false"/>
          <w:bCs w:val="false"/>
          <w:i w:val="false"/>
          <w:iCs w:val="false"/>
        </w:rPr>
        <w:t xml:space="preserve">Design stance carried forward from the original architect: </w:t>
      </w:r>
      <w:r>
        <w:rPr>
          <w:b w:val="false"/>
          <w:bCs w:val="false"/>
          <w:i/>
          <w:iCs/>
        </w:rPr>
        <w:t xml:space="preserve">“Automation needs to complement the existing safeguards.”</w:t>
      </w:r>
      <w:r>
        <w:rPr>
          <w:b w:val="false"/>
          <w:bCs w:val="false"/>
          <w:i w:val="false"/>
          <w:iCs w:val="false"/>
        </w:rPr>
        <w:t xml:space="preserve"> Harper assists clinicians; it never replaces clinical judgment, and it does not auto-escalate to law enforcement. Every consequential decision is transparent, logged, and confirmed by a human.</w:t>
      </w:r>
    </w:p>
    <w:p>
      <w:pPr>
        <w:pStyle w:val="Heading1"/>
      </w:pPr>
      <w:r>
        <w:t xml:space="preserve">2. Background and Problem Statement</w:t>
      </w:r>
    </w:p>
    <w:p>
      <w:pPr>
        <w:pStyle w:val="Heading2"/>
      </w:pPr>
      <w:r>
        <w:t xml:space="preserve">2.1 The problem</w:t>
      </w:r>
    </w:p>
    <w:p>
      <w:pPr>
        <w:spacing w:after="120" w:before="0" w:line="276"/>
      </w:pPr>
      <w:r>
        <w:rPr>
          <w:b w:val="false"/>
          <w:bCs w:val="false"/>
          <w:i w:val="false"/>
          <w:iCs w:val="false"/>
        </w:rPr>
        <w:t xml:space="preserve">Human trafficking, and child sex trafficking in particular, remains a large and under-detected problem in the United States, and the reported numbers continue to climb. In 2024 the National Human Trafficking Hotline logged 11,999 potential trafficking cases involving 21,865 potential victims, of which 6,647 situations were sex trafficking. The National Center for Missing &amp; Exploited Children (NCMEC) received 26,823 reports of possible child sex trafficking in 2024, a 55% increase over 2023; in 2025, following the REPORT Act’s expanded online-platform reporting requirements, that figure rose past 113,500. Reported cases are widely understood to represent a fraction of the true incidence.</w:t>
      </w:r>
    </w:p>
    <w:p>
      <w:pPr>
        <w:spacing w:after="120" w:before="0" w:line="276"/>
      </w:pPr>
      <w:r>
        <w:rPr>
          <w:b w:val="false"/>
          <w:bCs w:val="false"/>
          <w:i w:val="false"/>
          <w:iCs w:val="false"/>
        </w:rPr>
        <w:t xml:space="preserve">The emergency department is one of the highest-value points of contact. A frequently cited finding is that the large majority of trafficking survivors — commonly reported around 87% — accessed healthcare at least once while being trafficked, most often through an ED. Yet screening is rare: only about 1% of hospitals systematically screen for trafficking. Victims are, as the source material for this project put it, “hidden in plain sight.”</w:t>
      </w:r>
    </w:p>
    <w:p>
      <w:pPr>
        <w:pStyle w:val="Heading2"/>
      </w:pPr>
      <w:r>
        <w:t xml:space="preserve">2.2 Why detection fails today</w:t>
      </w:r>
    </w:p>
    <w:p>
      <w:pPr>
        <w:pStyle w:val="ListParagraph"/>
        <w:numPr>
          <w:ilvl w:val="0"/>
          <w:numId w:val="2"/>
        </w:numPr>
        <w:spacing w:after="80" w:line="276"/>
      </w:pPr>
      <w:r>
        <w:rPr>
          <w:b/>
          <w:bCs/>
        </w:rPr>
        <w:t xml:space="preserve">No standard at the bedside. </w:t>
      </w:r>
      <w:r>
        <w:t xml:space="preserve">Trafficking is an umbrella term; social-work screens run pages long and are impractical for a busy ED nurse managing multiple critical patients.</w:t>
      </w:r>
    </w:p>
    <w:p>
      <w:pPr>
        <w:pStyle w:val="ListParagraph"/>
        <w:numPr>
          <w:ilvl w:val="0"/>
          <w:numId w:val="2"/>
        </w:numPr>
        <w:spacing w:after="80" w:line="276"/>
      </w:pPr>
      <w:r>
        <w:rPr>
          <w:b/>
          <w:bCs/>
        </w:rPr>
        <w:t xml:space="preserve">The chief complaint dominates. </w:t>
      </w:r>
      <w:r>
        <w:t xml:space="preserve">Providers treat the presenting problem and the trafficking indicators go unnoticed, because the red flags are subtle and rarely the reason for the visit.</w:t>
      </w:r>
    </w:p>
    <w:p>
      <w:pPr>
        <w:pStyle w:val="ListParagraph"/>
        <w:numPr>
          <w:ilvl w:val="0"/>
          <w:numId w:val="2"/>
        </w:numPr>
        <w:spacing w:after="80" w:line="276"/>
      </w:pPr>
      <w:r>
        <w:rPr>
          <w:b/>
          <w:bCs/>
        </w:rPr>
        <w:t xml:space="preserve">Screening is manual and interruptive. </w:t>
      </w:r>
      <w:r>
        <w:t xml:space="preserve">The validated Greenbaum screen is typically administered verbally, requiring the provider to pause care to investigate — so it often is not done at all.</w:t>
      </w:r>
    </w:p>
    <w:p>
      <w:pPr>
        <w:pStyle w:val="ListParagraph"/>
        <w:numPr>
          <w:ilvl w:val="0"/>
          <w:numId w:val="2"/>
        </w:numPr>
        <w:spacing w:after="80" w:line="276"/>
      </w:pPr>
      <w:r>
        <w:rPr>
          <w:b/>
          <w:bCs/>
        </w:rPr>
        <w:t xml:space="preserve">Bias and inconsistency. </w:t>
      </w:r>
      <w:r>
        <w:t xml:space="preserve">Individual attitudes toward victims produce inconsistent recognition and response across staff and shifts.</w:t>
      </w:r>
    </w:p>
    <w:p>
      <w:pPr>
        <w:pStyle w:val="Heading2"/>
      </w:pPr>
      <w:r>
        <w:t xml:space="preserve">2.3 The opportunity</w:t>
      </w:r>
    </w:p>
    <w:p>
      <w:pPr>
        <w:spacing w:after="120" w:before="0" w:line="276"/>
      </w:pPr>
      <w:r>
        <w:rPr>
          <w:b w:val="false"/>
          <w:bCs w:val="false"/>
          <w:i w:val="false"/>
          <w:iCs w:val="false"/>
        </w:rPr>
        <w:t xml:space="preserve">Existing, clinically validated screening tools already work; what is missing is a way to run them consistently, unobtrusively, and in real time inside the clinical workflow. The 2022 blueprint proved this could be automated with interoperable standards. Harper makes that automation adoptable by removing the licensing barrier and rebuilding on open standards and open-source software, so a hospital can deploy real-time detection during the patient encounter — not retrospective population analytics — and connect a suspected victim to help before discharge.</w:t>
      </w:r>
    </w:p>
    <w:p>
      <w:pPr>
        <w:spacing w:after="120" w:before="0" w:line="276"/>
      </w:pPr>
      <w:r>
        <w:rPr>
          <w:b w:val="false"/>
          <w:bCs w:val="false"/>
          <w:i w:val="false"/>
          <w:iCs w:val="false"/>
        </w:rPr>
        <w:t xml:space="preserve">Screening for trafficking is not yet a universal regulatory mandate. The Joint Commission, ACEP, and others endorse protocols and require that hospitals assess for abuse and neglect and maintain referral criteria, but no standard compels universal trafficking screening as of 2024. Harper is therefore positioned as best-practice enablement, designed to be turned on where a hospital chooses to lead.</w:t>
      </w:r>
    </w:p>
    <w:p>
      <w:pPr>
        <w:pStyle w:val="Heading1"/>
      </w:pPr>
      <w:r>
        <w:t xml:space="preserve">3. Goals, Objectives, and Scope</w:t>
      </w:r>
    </w:p>
    <w:p>
      <w:pPr>
        <w:pStyle w:val="Heading2"/>
      </w:pPr>
      <w:r>
        <w:t xml:space="preserve">3.1 Goals</w:t>
      </w:r>
    </w:p>
    <w:p>
      <w:pPr>
        <w:pStyle w:val="ListParagraph"/>
        <w:numPr>
          <w:ilvl w:val="0"/>
          <w:numId w:val="2"/>
        </w:numPr>
        <w:spacing w:after="80" w:line="276"/>
      </w:pPr>
      <w:r>
        <w:t xml:space="preserve">Detect possible child sex trafficking in real time during an ED encounter using clinically validated screening logic.</w:t>
      </w:r>
    </w:p>
    <w:p>
      <w:pPr>
        <w:pStyle w:val="ListParagraph"/>
        <w:numPr>
          <w:ilvl w:val="0"/>
          <w:numId w:val="2"/>
        </w:numPr>
        <w:spacing w:after="80" w:line="276"/>
      </w:pPr>
      <w:r>
        <w:t xml:space="preserve">Deliver the capability as license-free, open-source software built on open standards, so commercial hospital EDs can adopt it without paying for detection.</w:t>
      </w:r>
    </w:p>
    <w:p>
      <w:pPr>
        <w:pStyle w:val="ListParagraph"/>
        <w:numPr>
          <w:ilvl w:val="0"/>
          <w:numId w:val="2"/>
        </w:numPr>
        <w:spacing w:after="80" w:line="276"/>
      </w:pPr>
      <w:r>
        <w:t xml:space="preserve">Keep the screening decision transparent, explainable, and auditable, with a human in the loop at every consequential step.</w:t>
      </w:r>
    </w:p>
    <w:p>
      <w:pPr>
        <w:pStyle w:val="ListParagraph"/>
        <w:numPr>
          <w:ilvl w:val="0"/>
          <w:numId w:val="2"/>
        </w:numPr>
        <w:spacing w:after="80" w:line="276"/>
      </w:pPr>
      <w:r>
        <w:t xml:space="preserve">Fit the existing ED workflow — registration, triage, examination, discharge — with minimal added clinician effort.</w:t>
      </w:r>
    </w:p>
    <w:p>
      <w:pPr>
        <w:pStyle w:val="ListParagraph"/>
        <w:numPr>
          <w:ilvl w:val="0"/>
          <w:numId w:val="2"/>
        </w:numPr>
        <w:spacing w:after="80" w:line="276"/>
      </w:pPr>
      <w:r>
        <w:t xml:space="preserve">Be portable, from a full cloud/Kubernetes deployment to a disconnected rural clinic.</w:t>
      </w:r>
    </w:p>
    <w:p>
      <w:pPr>
        <w:pStyle w:val="Heading2"/>
      </w:pPr>
      <w:r>
        <w:t xml:space="preserve">3.2 In scope</w:t>
      </w:r>
    </w:p>
    <w:p>
      <w:pPr>
        <w:pStyle w:val="ListParagraph"/>
        <w:numPr>
          <w:ilvl w:val="0"/>
          <w:numId w:val="2"/>
        </w:numPr>
        <w:spacing w:after="80" w:line="276"/>
      </w:pPr>
      <w:r>
        <w:t xml:space="preserve">Real-time eligibility detection (adolescent age band + high-risk chief complaint) and screening prompt.</w:t>
      </w:r>
    </w:p>
    <w:p>
      <w:pPr>
        <w:pStyle w:val="ListParagraph"/>
        <w:numPr>
          <w:ilvl w:val="0"/>
          <w:numId w:val="2"/>
        </w:numPr>
        <w:spacing w:after="80" w:line="276"/>
      </w:pPr>
      <w:r>
        <w:t xml:space="preserve">Automated administration and scoring of the validated Greenbaum Short Screen for Child Sex Trafficking (SSCST).</w:t>
      </w:r>
    </w:p>
    <w:p>
      <w:pPr>
        <w:pStyle w:val="ListParagraph"/>
        <w:numPr>
          <w:ilvl w:val="0"/>
          <w:numId w:val="2"/>
        </w:numPr>
        <w:spacing w:after="80" w:line="276"/>
      </w:pPr>
      <w:r>
        <w:t xml:space="preserve">Risk determination, flagging, and social-worker referral routing.</w:t>
      </w:r>
    </w:p>
    <w:p>
      <w:pPr>
        <w:pStyle w:val="ListParagraph"/>
        <w:numPr>
          <w:ilvl w:val="0"/>
          <w:numId w:val="2"/>
        </w:numPr>
        <w:spacing w:after="80" w:line="276"/>
      </w:pPr>
      <w:r>
        <w:t xml:space="preserve">Structured documentation and appropriate ICD-10-CM coding support.</w:t>
      </w:r>
    </w:p>
    <w:p>
      <w:pPr>
        <w:pStyle w:val="ListParagraph"/>
        <w:numPr>
          <w:ilvl w:val="0"/>
          <w:numId w:val="2"/>
        </w:numPr>
        <w:spacing w:after="80" w:line="276"/>
      </w:pPr>
      <w:r>
        <w:t xml:space="preserve">Consent, privacy, audit, and provenance controls appropriate to screening minors.</w:t>
      </w:r>
    </w:p>
    <w:p>
      <w:pPr>
        <w:pStyle w:val="ListParagraph"/>
        <w:numPr>
          <w:ilvl w:val="0"/>
          <w:numId w:val="2"/>
        </w:numPr>
        <w:spacing w:after="80" w:line="276"/>
      </w:pPr>
      <w:r>
        <w:t xml:space="preserve">An open-source reference architecture and FHIR data model to guide prototyping.</w:t>
      </w:r>
    </w:p>
    <w:p>
      <w:pPr>
        <w:pStyle w:val="Heading2"/>
      </w:pPr>
      <w:r>
        <w:t xml:space="preserve">3.3 Out of scope (this version)</w:t>
      </w:r>
    </w:p>
    <w:p>
      <w:pPr>
        <w:pStyle w:val="ListParagraph"/>
        <w:numPr>
          <w:ilvl w:val="0"/>
          <w:numId w:val="2"/>
        </w:numPr>
        <w:spacing w:after="80" w:line="276"/>
      </w:pPr>
      <w:r>
        <w:t xml:space="preserve">Adult and labor-trafficking screening (addressed in the extensibility roadmap; adults use the RAFT tool).</w:t>
      </w:r>
    </w:p>
    <w:p>
      <w:pPr>
        <w:pStyle w:val="ListParagraph"/>
        <w:numPr>
          <w:ilvl w:val="0"/>
          <w:numId w:val="2"/>
        </w:numPr>
        <w:spacing w:after="80" w:line="276"/>
      </w:pPr>
      <w:r>
        <w:t xml:space="preserve">Automated notification to law enforcement (explicitly a governed, human-initiated decision, not an automated action).</w:t>
      </w:r>
    </w:p>
    <w:p>
      <w:pPr>
        <w:pStyle w:val="ListParagraph"/>
        <w:numPr>
          <w:ilvl w:val="0"/>
          <w:numId w:val="2"/>
        </w:numPr>
        <w:spacing w:after="80" w:line="276"/>
      </w:pPr>
      <w:r>
        <w:t xml:space="preserve">A production-grade predictive ML model as the basis for referral (an optional, advisory triage aid only).</w:t>
      </w:r>
    </w:p>
    <w:p>
      <w:pPr>
        <w:pStyle w:val="ListParagraph"/>
        <w:numPr>
          <w:ilvl w:val="0"/>
          <w:numId w:val="2"/>
        </w:numPr>
        <w:spacing w:after="80" w:line="276"/>
      </w:pPr>
      <w:r>
        <w:t xml:space="preserve">EHR-vendor-specific certification and go-live procedures for a named hospital.</w:t>
      </w:r>
    </w:p>
    <w:p>
      <w:pPr>
        <w:pStyle w:val="Heading2"/>
      </w:pPr>
      <w:r>
        <w:t xml:space="preserve">3.4 Success criteria</w:t>
      </w:r>
    </w:p>
    <w:p>
      <w:pPr>
        <w:spacing w:after="120" w:before="0" w:line="276"/>
      </w:pPr>
      <w:r>
        <w:rPr>
          <w:b w:val="false"/>
          <w:bCs w:val="false"/>
          <w:i w:val="false"/>
          <w:iCs w:val="false"/>
        </w:rPr>
        <w:t xml:space="preserve">Harper succeeds when a commercial ED can: (a) deploy the stack from open-source components with no detection-capability license; (b) screen the eligible adolescent population at materially higher rates than manual practice; (c) generate a social-work referral within seconds of a positive screen; and (d) produce a complete, auditable rationale for every flag. Quantitative targets are defined in Section 13.</w:t>
      </w:r>
    </w:p>
    <w:p>
      <w:pPr>
        <w:pStyle w:val="Heading1"/>
      </w:pPr>
      <w:r>
        <w:t xml:space="preserve">4. Guiding Principles</w:t>
      </w:r>
    </w:p>
    <w:p>
      <w:pPr>
        <w:spacing w:after="120" w:before="0" w:line="276"/>
      </w:pPr>
      <w:r>
        <w:rPr>
          <w:b w:val="false"/>
          <w:bCs w:val="false"/>
          <w:i w:val="false"/>
          <w:iCs w:val="false"/>
        </w:rPr>
        <w:t xml:space="preserve">Harper is an open-standards, open-source system by deliberate design. Every layer — clinical data, real-time decision support, process orchestration, decision logic, screening apps, and the runtime platform — is built on a published open standard and implemented with permissively licensed open-source software. No proprietary product, per-seat license, or vendor runtime is required to detect trafficking. This is the single most important departure from the 2022 blueprint, and it governs every design choice that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Principle</w:t>
            </w:r>
          </w:p>
        </w:tc>
        <w:tc>
          <w:tcPr>
            <w:tcW w:type="dxa" w:w="70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What it means for the build</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Open and license-free</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Every layer is open-source and permissively licensed (Apache-2.0 / MIT / PostgreSQL). No proprietary runtime or per-seat license is required to detect. (Terminology licensing nuances are noted in §9.)</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Standards-first interoperability</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Loosely coupled services communicate only through published HL7 standards (FHIR R4/US Core, CDS Hooks, SMART on FHIR, SDC, DMN, CQL). No private interfaces.</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Explainable and human-in-the-loop</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The screening decision is deterministic and auditable. The system advises; a clinician or social worker decides. No automated escalation to law enforcement.</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Trauma-informed and victim-centered</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Screening is private, confidential, respectful, and never conducted in the presence of an accompanying person who could be a trafficker.</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Privacy by design</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Data minimization, least privilege, encryption, and strict role-based access to flags and referrals, with attention to minor confidentiality and 42 CFR Part 2.</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Portable and boundaryless</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Ships as containers and runs on any conformant Kubernetes — managed cloud, on-prem, or a single-node cluster at the edge — for sites with poor or no connectivity.</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Extensible</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The same pattern generalizes to adult, labor, and elder-abuse screening and to EMS and skilled-nursing settings.</w:t>
            </w:r>
          </w:p>
        </w:tc>
      </w:tr>
    </w:tbl>
    <w:p>
      <w:pPr>
        <w:pStyle w:val="Heading2"/>
      </w:pPr>
      <w:r>
        <w:t xml:space="preserve">4.1 Open by default — the whole stack</w:t>
      </w:r>
    </w:p>
    <w:p>
      <w:pPr>
        <w:spacing w:after="120" w:before="0" w:line="276"/>
      </w:pPr>
      <w:r>
        <w:rPr>
          <w:b w:val="false"/>
          <w:bCs w:val="false"/>
          <w:i w:val="false"/>
          <w:iCs w:val="false"/>
        </w:rPr>
        <w:t xml:space="preserve">Every layer maps to an open standard and an open-source implementation. Nothing in this table carries a runtime license fee for the detection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650"/>
        <w:gridCol w:w="3160"/>
        <w:gridCol w:w="1700"/>
      </w:tblGrid>
      <w:tr>
        <w:trPr>
          <w:tblHeader/>
        </w:trPr>
        <w:tc>
          <w:tcPr>
            <w:tcW w:type="dxa" w:w="185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Layer</w:t>
            </w:r>
          </w:p>
        </w:tc>
        <w:tc>
          <w:tcPr>
            <w:tcW w:type="dxa" w:w="265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Open standard(s)</w:t>
            </w:r>
          </w:p>
        </w:tc>
        <w:tc>
          <w:tcPr>
            <w:tcW w:type="dxa" w:w="31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Open-source implementation</w:t>
            </w:r>
          </w:p>
        </w:tc>
        <w:tc>
          <w:tcPr>
            <w:tcW w:type="dxa" w:w="17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License</w:t>
            </w:r>
          </w:p>
        </w:tc>
      </w:tr>
      <w:tr>
        <w:tc>
          <w:tcPr>
            <w:tcW w:type="dxa" w:w="18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Clinical data &amp; API</w:t>
            </w:r>
          </w:p>
        </w:tc>
        <w:tc>
          <w:tcPr>
            <w:tcW w:type="dxa" w:w="26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HL7 FHIR R4, US Core</w:t>
            </w:r>
          </w:p>
        </w:tc>
        <w:tc>
          <w:tcPr>
            <w:tcW w:type="dxa" w:w="3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HAPI FHIR</w:t>
            </w:r>
          </w:p>
        </w:tc>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Real-time decision support</w:t>
            </w:r>
          </w:p>
        </w:tc>
        <w:tc>
          <w:tcPr>
            <w:tcW w:type="dxa" w:w="26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Hooks 2.0.1, SMART on FHIR</w:t>
            </w:r>
          </w:p>
        </w:tc>
        <w:tc>
          <w:tcPr>
            <w:tcW w:type="dxa" w:w="3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service on Kogito / Quarkus</w:t>
            </w:r>
          </w:p>
        </w:tc>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Process orchestration</w:t>
            </w:r>
          </w:p>
        </w:tc>
        <w:tc>
          <w:tcPr>
            <w:tcW w:type="dxa" w:w="26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BPMN 2.0 (OMG)</w:t>
            </w:r>
          </w:p>
        </w:tc>
        <w:tc>
          <w:tcPr>
            <w:tcW w:type="dxa" w:w="3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Kogito (KIE)</w:t>
            </w:r>
          </w:p>
        </w:tc>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Decision logic</w:t>
            </w:r>
          </w:p>
        </w:tc>
        <w:tc>
          <w:tcPr>
            <w:tcW w:type="dxa" w:w="26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DMN 1.3 (OMG), CQL</w:t>
            </w:r>
          </w:p>
        </w:tc>
        <w:tc>
          <w:tcPr>
            <w:tcW w:type="dxa" w:w="3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Kogito / Drools DMN</w:t>
            </w:r>
          </w:p>
        </w:tc>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Screening &amp; worklist apps</w:t>
            </w:r>
          </w:p>
        </w:tc>
        <w:tc>
          <w:tcPr>
            <w:tcW w:type="dxa" w:w="26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SDC, SMART on FHIR</w:t>
            </w:r>
          </w:p>
        </w:tc>
        <w:tc>
          <w:tcPr>
            <w:tcW w:type="dxa" w:w="3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SMART app (e.g., React)</w:t>
            </w:r>
          </w:p>
        </w:tc>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 / MIT</w:t>
            </w:r>
          </w:p>
        </w:tc>
      </w:tr>
      <w:tr>
        <w:tc>
          <w:tcPr>
            <w:tcW w:type="dxa" w:w="18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Terminology</w:t>
            </w:r>
          </w:p>
        </w:tc>
        <w:tc>
          <w:tcPr>
            <w:tcW w:type="dxa" w:w="26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ICD-10-CM, LOINC, SNOMED CT</w:t>
            </w:r>
          </w:p>
        </w:tc>
        <w:tc>
          <w:tcPr>
            <w:tcW w:type="dxa" w:w="3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HAPI terminology / Snowstorm</w:t>
            </w:r>
          </w:p>
        </w:tc>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Service runtime</w:t>
            </w:r>
          </w:p>
        </w:tc>
        <w:tc>
          <w:tcPr>
            <w:tcW w:type="dxa" w:w="26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OCI images</w:t>
            </w:r>
          </w:p>
        </w:tc>
        <w:tc>
          <w:tcPr>
            <w:tcW w:type="dxa" w:w="3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Quarkus</w:t>
            </w:r>
          </w:p>
        </w:tc>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Orchestration platform</w:t>
            </w:r>
          </w:p>
        </w:tc>
        <w:tc>
          <w:tcPr>
            <w:tcW w:type="dxa" w:w="26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Kubernetes, Helm, OCI</w:t>
            </w:r>
          </w:p>
        </w:tc>
        <w:tc>
          <w:tcPr>
            <w:tcW w:type="dxa" w:w="3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Kubernetes (any distribution)</w:t>
            </w:r>
          </w:p>
        </w:tc>
        <w:tc>
          <w:tcPr>
            <w:tcW w:type="dxa" w:w="17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18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Data store</w:t>
            </w:r>
          </w:p>
        </w:tc>
        <w:tc>
          <w:tcPr>
            <w:tcW w:type="dxa" w:w="26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SQL</w:t>
            </w:r>
          </w:p>
        </w:tc>
        <w:tc>
          <w:tcPr>
            <w:tcW w:type="dxa" w:w="3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PostgreSQL</w:t>
            </w:r>
          </w:p>
        </w:tc>
        <w:tc>
          <w:tcPr>
            <w:tcW w:type="dxa" w:w="17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PostgreSQL License</w:t>
            </w:r>
          </w:p>
        </w:tc>
      </w:tr>
    </w:tbl>
    <w:p>
      <w:pPr>
        <w:spacing w:after="120" w:before="0" w:line="276"/>
      </w:pPr>
      <w:r>
        <w:rPr>
          <w:b w:val="false"/>
          <w:bCs w:val="false"/>
          <w:i/>
          <w:iCs/>
          <w:color w:val="595959"/>
        </w:rPr>
        <w:t xml:space="preserve">* The SNOMED CT tooling is open-source; the SNOMED CT content itself requires a license — free to use in the U.S. via the NLM/UMLS. ICD-10-CM and LOINC carry no such restriction.</w:t>
      </w:r>
    </w:p>
    <w:p>
      <w:pPr>
        <w:pStyle w:val="Heading1"/>
      </w:pPr>
      <w:r>
        <w:t xml:space="preserve">5. Personas and Actors</w:t>
      </w:r>
    </w:p>
    <w:p>
      <w:pPr>
        <w:pStyle w:val="Heading2"/>
      </w:pPr>
      <w:r>
        <w:t xml:space="preserve">5.1 Human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60"/>
        <w:gridCol w:w="3300"/>
      </w:tblGrid>
      <w:tr>
        <w:trPr>
          <w:tblHeader/>
        </w:trPr>
        <w:tc>
          <w:tcPr>
            <w:tcW w:type="dxa" w:w="19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Actor</w:t>
            </w:r>
          </w:p>
        </w:tc>
        <w:tc>
          <w:tcPr>
            <w:tcW w:type="dxa" w:w="41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Role in the workflow</w:t>
            </w:r>
          </w:p>
        </w:tc>
        <w:tc>
          <w:tcPr>
            <w:tcW w:type="dxa" w:w="33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Key needs</w:t>
            </w:r>
          </w:p>
        </w:tc>
      </w:tr>
      <w:tr>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Patient (adolescent)</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Presents to the ED with a chief complaint; subject of screening (validated for ages 13–17).</w:t>
            </w:r>
          </w:p>
        </w:tc>
        <w:tc>
          <w:tcPr>
            <w:tcW w:type="dxa" w:w="3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Privacy, safety, a confidential and non-judgmental screening experience, English or Spanish.</w:t>
            </w:r>
          </w:p>
        </w:tc>
      </w:tr>
      <w:tr>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Registrar</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Registers the patient; opens the encounter; captures demographics.</w:t>
            </w:r>
          </w:p>
        </w:tc>
        <w:tc>
          <w:tcPr>
            <w:tcW w:type="dxa" w:w="3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Fast registration; the system works in the background without extra steps.</w:t>
            </w:r>
          </w:p>
        </w:tc>
      </w:tr>
      <w:tr>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Triage / Primary Nurse</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Assesses acuity and chief complaint; receives the eligibility prompt; administers the screen.</w:t>
            </w:r>
          </w:p>
        </w:tc>
        <w:tc>
          <w:tcPr>
            <w:tcW w:type="dxa" w:w="3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 clear, non-interruptive prompt; a fast screen; guidance on next steps.</w:t>
            </w:r>
          </w:p>
        </w:tc>
      </w:tr>
      <w:tr>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Licensed Independent Provider (physician / APP)</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Examines the patient; performs holistic red-flag assessment; orders; documents; discharges.</w:t>
            </w:r>
          </w:p>
        </w:tc>
        <w:tc>
          <w:tcPr>
            <w:tcW w:type="dxa" w:w="3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Decision support surfaced in the exam workflow; defensible, documented rationale.</w:t>
            </w:r>
          </w:p>
        </w:tc>
      </w:tr>
      <w:tr>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Social Worker / Case Manager</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Receives referral; conducts safety assessment; coordinates services and safety planning.</w:t>
            </w:r>
          </w:p>
        </w:tc>
        <w:tc>
          <w:tcPr>
            <w:tcW w:type="dxa" w:w="3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 prioritized worklist; full context on why the patient was flagged; audit trail.</w:t>
            </w:r>
          </w:p>
        </w:tc>
      </w:tr>
      <w:tr>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Safeguarding / Program administrator</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Configures thresholds, eligibility rules, staffing routing; monitors quality metrics.</w:t>
            </w:r>
          </w:p>
        </w:tc>
        <w:tc>
          <w:tcPr>
            <w:tcW w:type="dxa" w:w="3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Configuration without code changes; dashboards; governance controls.</w:t>
            </w:r>
          </w:p>
        </w:tc>
      </w:tr>
    </w:tbl>
    <w:p>
      <w:pPr>
        <w:spacing w:after="80"/>
      </w:pPr>
    </w:p>
    <w:p>
      <w:pPr>
        <w:pStyle w:val="Heading2"/>
      </w:pPr>
      <w:r>
        <w:t xml:space="preserve">5.2 System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System actor</w:t>
            </w:r>
          </w:p>
        </w:tc>
        <w:tc>
          <w:tcPr>
            <w:tcW w:type="dxa" w:w="68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Responsibility</w:t>
            </w:r>
          </w:p>
        </w:tc>
      </w:tr>
      <w:tr>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EHR (CDS client)</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Source of truth for the encounter; fires CDS Hooks; launches SMART apps; stores clinical documentation.</w:t>
            </w:r>
          </w:p>
        </w:tc>
      </w:tr>
      <w:tr>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data platform</w:t>
            </w:r>
          </w:p>
        </w:tc>
        <w:tc>
          <w:tcPr>
            <w:tcW w:type="dxa" w:w="68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Standards-based clinical data store and API; holds Patient, Encounter, Observation, QuestionnaireResponse, RiskAssessment, Flag, Task, etc.</w:t>
            </w:r>
          </w:p>
        </w:tc>
      </w:tr>
      <w:tr>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CDS service (decision engine)</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Evaluates eligibility and screening logic (CQL/DMN); returns cards; creates risk, flag, and referral resources.</w:t>
            </w:r>
          </w:p>
        </w:tc>
      </w:tr>
      <w:tr>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Screening app (SMART on FHIR)</w:t>
            </w:r>
          </w:p>
        </w:tc>
        <w:tc>
          <w:tcPr>
            <w:tcW w:type="dxa" w:w="68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Renders the Greenbaum questionnaire (FHIR SDC), captures responses confidentially, submits QuestionnaireResponse.</w:t>
            </w:r>
          </w:p>
        </w:tc>
      </w:tr>
      <w:tr>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Social-worker worklist app</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Surfaces referral Tasks with context; supports disposition and safety planning.</w:t>
            </w:r>
          </w:p>
        </w:tc>
      </w:tr>
      <w:tr>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Terminology service</w:t>
            </w:r>
          </w:p>
        </w:tc>
        <w:tc>
          <w:tcPr>
            <w:tcW w:type="dxa" w:w="68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Serves value sets and code systems (ICD-10-CM, LOINC, SNOMED CT) for coded data and logic.</w:t>
            </w:r>
          </w:p>
        </w:tc>
      </w:tr>
      <w:tr>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Audit / provenance service</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Records AuditEvent and Provenance for every access and automated decision.</w:t>
            </w:r>
          </w:p>
        </w:tc>
      </w:tr>
    </w:tbl>
    <w:p>
      <w:pPr>
        <w:pStyle w:val="Heading1"/>
      </w:pPr>
      <w:r>
        <w:t xml:space="preserve">6. Clinical Workflow and Use-Case Narrative</w:t>
      </w:r>
    </w:p>
    <w:p>
      <w:pPr>
        <w:spacing w:after="120" w:before="0" w:line="276"/>
      </w:pPr>
      <w:r>
        <w:rPr>
          <w:b w:val="false"/>
          <w:bCs w:val="false"/>
          <w:i w:val="false"/>
          <w:iCs w:val="false"/>
        </w:rPr>
        <w:t xml:space="preserve">The workflow mirrors the patient journey through the ED. It is expressed first as a main (“happy path”) flow, then as alternate and exception flows, and is illustrated with the worked scenario carried from the original blueprint.</w:t>
      </w:r>
    </w:p>
    <w:p>
      <w:pPr>
        <w:pStyle w:val="Heading2"/>
      </w:pPr>
      <w:r>
        <w:t xml:space="preserve">6.1 Worked scenario</w:t>
      </w:r>
    </w:p>
    <w:p>
      <w:pPr>
        <w:spacing w:after="120" w:before="0" w:line="276"/>
      </w:pPr>
      <w:r>
        <w:rPr>
          <w:b/>
          <w:bCs/>
          <w:i w:val="false"/>
          <w:iCs w:val="false"/>
        </w:rPr>
        <w:t xml:space="preserve">Patient. </w:t>
      </w:r>
      <w:r>
        <w:rPr>
          <w:b w:val="false"/>
          <w:bCs w:val="false"/>
          <w:i w:val="false"/>
          <w:iCs w:val="false"/>
        </w:rPr>
        <w:t xml:space="preserve">A 16-year-old female is dropped off at the ED. Pertinent history: assaulted by a peer at age 13; repeated bullying leading to a school change; estranged from parents; history of drug and alcohol use. She presents with bruising and abrasions on her back, scars consistent with self-harm and a prior injury, and severe dehydration. She is tearful during the pelvic exam and cannot tolerate the speculum. These are exactly the subtle, non-chief-complaint signals that are routinely missed.</w:t>
      </w:r>
    </w:p>
    <w:p>
      <w:pPr>
        <w:pStyle w:val="Heading2"/>
      </w:pPr>
      <w:r>
        <w:t xml:space="preserve">6.2 Main flow</w:t>
      </w:r>
    </w:p>
    <w:p>
      <w:pPr>
        <w:spacing w:after="120" w:before="0" w:line="276"/>
      </w:pPr>
      <w:r>
        <w:rPr>
          <w:b w:val="false"/>
          <w:bCs w:val="false"/>
          <w:i w:val="false"/>
          <w:iCs w:val="false"/>
        </w:rPr>
        <w:t xml:space="preserve">The entire sequence below is one executable BPMN process (BPM+ Health): each stage is a BPMN task, decisions are DMN tasks, and interactions with the EHR/FHIR platform are CDS Hooks and FHIR service tasks. This is the same orchestration model as the 2022 blueprint, now running on an open-source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60"/>
        <w:gridCol w:w="2500"/>
      </w:tblGrid>
      <w:tr>
        <w:trPr>
          <w:tblHeader/>
        </w:trPr>
        <w:tc>
          <w:tcPr>
            <w:tcW w:type="dxa" w:w="5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w:t>
            </w:r>
          </w:p>
        </w:tc>
        <w:tc>
          <w:tcPr>
            <w:tcW w:type="dxa" w:w="20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Stage / actor</w:t>
            </w:r>
          </w:p>
        </w:tc>
        <w:tc>
          <w:tcPr>
            <w:tcW w:type="dxa" w:w="43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Action</w:t>
            </w:r>
          </w:p>
        </w:tc>
        <w:tc>
          <w:tcPr>
            <w:tcW w:type="dxa" w:w="25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Standards &amp; FHIR</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1</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Registration — Registrar</w:t>
            </w:r>
          </w:p>
        </w:tc>
        <w:tc>
          <w:tcPr>
            <w:tcW w:type="dxa" w:w="43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Patient registered; ED encounter opened. Local EHR history and, where available, external records via HIE are consulted.</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US Core Patient, Encounter</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2</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Trigger — EHR → CDS service</w:t>
            </w:r>
          </w:p>
        </w:tc>
        <w:tc>
          <w:tcPr>
            <w:tcW w:type="dxa" w:w="43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Opening the chart / recording the chief complaint fires a CDS Hook. The decision engine receives prefetch data and evaluates eligibility (adolescent age band + high-risk chief complaint).</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Hooks 2.0.1 (patient-view / encounter / order hooks); prefetch</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3</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Eligibility prompt — Nurse</w:t>
            </w:r>
          </w:p>
        </w:tc>
        <w:tc>
          <w:tcPr>
            <w:tcW w:type="dxa" w:w="43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If eligible, a CDS card appears in the nurse’s workflow: “Consider CST screening,” with a one-click launch of the screening app. Non-interruptive; dismissible with reason.</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CDS Hooks card; SMART launch link</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4</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Screening — Nurse + Patient</w:t>
            </w:r>
          </w:p>
        </w:tc>
        <w:tc>
          <w:tcPr>
            <w:tcW w:type="dxa" w:w="43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Nurse ensures the patient is alone, then launches the SMART app and administers the Greenbaum SSCST (tablet or private verbal), trauma-informed, English/Spanish.</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SMART on FHIR; FHIR SDC Questionnaire</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5</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Capture</w:t>
            </w:r>
          </w:p>
        </w:tc>
        <w:tc>
          <w:tcPr>
            <w:tcW w:type="dxa" w:w="43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Responses stored as a QuestionnaireResponse linked to the encounter.</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US Core QuestionnaireResponse</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6</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Score — CDS service</w:t>
            </w:r>
          </w:p>
        </w:tc>
        <w:tc>
          <w:tcPr>
            <w:tcW w:type="dxa" w:w="43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Deterministic DMN/CQL scores the screen (≥ 2 “yes” = positive). A RiskAssessment is produced with the explicit rationale.</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DMN, CQL; FHIR RiskAssessment</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7</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Flag &amp; draft referral</w:t>
            </w:r>
          </w:p>
        </w:tc>
        <w:tc>
          <w:tcPr>
            <w:tcW w:type="dxa" w:w="43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On a positive screen, the system raises a Flag and creates a draft social-worker referral Task (status “draft”); optionally a DetectedIssue.</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Flag, Task (draft), DetectedIssue</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8</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Exam — Provider</w:t>
            </w:r>
          </w:p>
        </w:tc>
        <w:tc>
          <w:tcPr>
            <w:tcW w:type="dxa" w:w="43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During examination a second CDS card prompts a holistic human-trafficking red-flag check. Findings recorded as Observations; suspicious findings can raise their own referral.</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Hooks; US Core Observation; FHIR Task</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9</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Finalize &amp; social work</w:t>
            </w:r>
          </w:p>
        </w:tc>
        <w:tc>
          <w:tcPr>
            <w:tcW w:type="dxa" w:w="43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 Licensed Independent Practitioner finalizes the draft referral (status → “requested”); only then does it appear on the social-worker worklist. Safety assessment, service coordination, and safety planning proceed; human review governs any external notification.</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Task, CarePlan, Communication</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10</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Diagnosis, care &amp; discharge — Provider</w:t>
            </w:r>
          </w:p>
        </w:tc>
        <w:tc>
          <w:tcPr>
            <w:tcW w:type="dxa" w:w="43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Immediate care delivered; diagnosis and coding applied; discharge and safety planning completed.</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 Core Condition; ICD-10-CM T74.5x / T76.5x / Z04.8x</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11</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Audit</w:t>
            </w:r>
          </w:p>
        </w:tc>
        <w:tc>
          <w:tcPr>
            <w:tcW w:type="dxa" w:w="43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Every automated decision and data access is recorded with provenance.</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Provenance, AuditEvent</w:t>
            </w:r>
          </w:p>
        </w:tc>
      </w:tr>
    </w:tbl>
    <w:p>
      <w:pPr>
        <w:spacing w:after="80"/>
      </w:pPr>
    </w:p>
    <w:p>
      <w:pPr>
        <w:pStyle w:val="Heading2"/>
      </w:pPr>
      <w:r>
        <w:t xml:space="preserve">6.3 Alternate and exception flows</w:t>
      </w:r>
    </w:p>
    <w:p>
      <w:pPr>
        <w:pStyle w:val="ListParagraph"/>
        <w:numPr>
          <w:ilvl w:val="0"/>
          <w:numId w:val="2"/>
        </w:numPr>
        <w:spacing w:after="80" w:line="276"/>
      </w:pPr>
      <w:r>
        <w:rPr>
          <w:b/>
          <w:bCs/>
        </w:rPr>
        <w:t xml:space="preserve">Not eligible. </w:t>
      </w:r>
      <w:r>
        <w:t xml:space="preserve">Age outside the validated band or no high-risk chief complaint → no prompt; nothing added to the record beyond normal care.</w:t>
      </w:r>
    </w:p>
    <w:p>
      <w:pPr>
        <w:pStyle w:val="ListParagraph"/>
        <w:numPr>
          <w:ilvl w:val="0"/>
          <w:numId w:val="2"/>
        </w:numPr>
        <w:spacing w:after="80" w:line="276"/>
      </w:pPr>
      <w:r>
        <w:rPr>
          <w:b/>
          <w:bCs/>
        </w:rPr>
        <w:t xml:space="preserve">Prompt declined. </w:t>
      </w:r>
      <w:r>
        <w:t xml:space="preserve">Nurse dismisses the card (e.g., clinically unstable patient, patient not alone). Reason captured; the prompt can re-fire later in the encounter.</w:t>
      </w:r>
    </w:p>
    <w:p>
      <w:pPr>
        <w:pStyle w:val="ListParagraph"/>
        <w:numPr>
          <w:ilvl w:val="0"/>
          <w:numId w:val="2"/>
        </w:numPr>
        <w:spacing w:after="80" w:line="276"/>
      </w:pPr>
      <w:r>
        <w:rPr>
          <w:b/>
          <w:bCs/>
        </w:rPr>
        <w:t xml:space="preserve">Patient accompanied by a potential trafficker. </w:t>
      </w:r>
      <w:r>
        <w:t xml:space="preserve">Screening is deferred until the patient can be seen alone; the system must never surface trafficking content where an accompanying person can see it.</w:t>
      </w:r>
    </w:p>
    <w:p>
      <w:pPr>
        <w:pStyle w:val="ListParagraph"/>
        <w:numPr>
          <w:ilvl w:val="0"/>
          <w:numId w:val="2"/>
        </w:numPr>
        <w:spacing w:after="80" w:line="276"/>
      </w:pPr>
      <w:r>
        <w:rPr>
          <w:b/>
          <w:bCs/>
        </w:rPr>
        <w:t xml:space="preserve">Screen negative but clinician concern. </w:t>
      </w:r>
      <w:r>
        <w:t xml:space="preserve">Provider can raise a referral manually; a negative screen never blocks clinical judgment.</w:t>
      </w:r>
    </w:p>
    <w:p>
      <w:pPr>
        <w:pStyle w:val="ListParagraph"/>
        <w:numPr>
          <w:ilvl w:val="0"/>
          <w:numId w:val="2"/>
        </w:numPr>
        <w:spacing w:after="80" w:line="276"/>
      </w:pPr>
      <w:r>
        <w:rPr>
          <w:b/>
          <w:bCs/>
        </w:rPr>
        <w:t xml:space="preserve">Prior-visit signal. </w:t>
      </w:r>
      <w:r>
        <w:t xml:space="preserve">History indicating a screen should have been triggered previously is surfaced at this encounter (as in the worked scenario).</w:t>
      </w:r>
    </w:p>
    <w:p>
      <w:pPr>
        <w:pStyle w:val="ListParagraph"/>
        <w:numPr>
          <w:ilvl w:val="0"/>
          <w:numId w:val="2"/>
        </w:numPr>
        <w:spacing w:after="80" w:line="276"/>
      </w:pPr>
      <w:r>
        <w:rPr>
          <w:b/>
          <w:bCs/>
        </w:rPr>
        <w:t xml:space="preserve">Connectivity loss. </w:t>
      </w:r>
      <w:r>
        <w:t xml:space="preserve">At edge/disconnected sites the screen still runs locally; referrals queue and reconcile when connectivity returns.</w:t>
      </w:r>
    </w:p>
    <w:p>
      <w:pPr>
        <w:pStyle w:val="Heading1"/>
      </w:pPr>
      <w:r>
        <w:t xml:space="preserve">7. Functional Requirements</w:t>
      </w:r>
    </w:p>
    <w:p>
      <w:pPr>
        <w:spacing w:after="120" w:before="0" w:line="276"/>
      </w:pPr>
      <w:r>
        <w:rPr>
          <w:b w:val="false"/>
          <w:bCs w:val="false"/>
          <w:i/>
          <w:iCs/>
        </w:rPr>
        <w:t xml:space="preserve">Requirements use stable IDs for traceability into development and test. “shall” denotes a mandatory requirement; “should” a strong recommendation.</w:t>
      </w:r>
    </w:p>
    <w:p>
      <w:pPr>
        <w:pStyle w:val="Heading2"/>
      </w:pPr>
      <w:r>
        <w:t xml:space="preserve">7.1 Detection &amp; triggering (FR-D)</w:t>
      </w:r>
    </w:p>
    <w:p>
      <w:pPr>
        <w:pStyle w:val="ListParagraph"/>
        <w:numPr>
          <w:ilvl w:val="0"/>
          <w:numId w:val="2"/>
        </w:numPr>
        <w:spacing w:after="80" w:line="276"/>
      </w:pPr>
      <w:r>
        <w:rPr>
          <w:b/>
          <w:bCs/>
        </w:rPr>
        <w:t xml:space="preserve">FR-D1. </w:t>
      </w:r>
      <w:r>
        <w:t xml:space="preserve">The system shall subscribe to ED encounter events via CDS Hooks and/or FHIR Subscriptions and evaluate eligibility without manual initiation.</w:t>
      </w:r>
    </w:p>
    <w:p>
      <w:pPr>
        <w:pStyle w:val="ListParagraph"/>
        <w:numPr>
          <w:ilvl w:val="0"/>
          <w:numId w:val="2"/>
        </w:numPr>
        <w:spacing w:after="80" w:line="276"/>
      </w:pPr>
      <w:r>
        <w:rPr>
          <w:b/>
          <w:bCs/>
        </w:rPr>
        <w:t xml:space="preserve">FR-D2. </w:t>
      </w:r>
      <w:r>
        <w:t xml:space="preserve">The system shall determine eligibility from patient age (validated band 13–17) and the presence of a configurable high-risk chief-complaint value set.</w:t>
      </w:r>
    </w:p>
    <w:p>
      <w:pPr>
        <w:pStyle w:val="ListParagraph"/>
        <w:numPr>
          <w:ilvl w:val="0"/>
          <w:numId w:val="2"/>
        </w:numPr>
        <w:spacing w:after="80" w:line="276"/>
      </w:pPr>
      <w:r>
        <w:rPr>
          <w:b/>
          <w:bCs/>
        </w:rPr>
        <w:t xml:space="preserve">FR-D3. </w:t>
      </w:r>
      <w:r>
        <w:t xml:space="preserve">The system shall present a non-interruptive, dismissible prompt to the nurse when a patient is eligible, with a one-click launch of the screening app.</w:t>
      </w:r>
    </w:p>
    <w:p>
      <w:pPr>
        <w:pStyle w:val="ListParagraph"/>
        <w:numPr>
          <w:ilvl w:val="0"/>
          <w:numId w:val="2"/>
        </w:numPr>
        <w:spacing w:after="80" w:line="276"/>
      </w:pPr>
      <w:r>
        <w:rPr>
          <w:b/>
          <w:bCs/>
        </w:rPr>
        <w:t xml:space="preserve">FR-D4. </w:t>
      </w:r>
      <w:r>
        <w:t xml:space="preserve">Eligibility rules (age band, chief-complaint value set, re-fire behavior) shall be configurable without code changes.</w:t>
      </w:r>
    </w:p>
    <w:p>
      <w:pPr>
        <w:pStyle w:val="Heading2"/>
      </w:pPr>
      <w:r>
        <w:t xml:space="preserve">7.2 Screening &amp; data capture (FR-S)</w:t>
      </w:r>
    </w:p>
    <w:p>
      <w:pPr>
        <w:pStyle w:val="ListParagraph"/>
        <w:numPr>
          <w:ilvl w:val="0"/>
          <w:numId w:val="2"/>
        </w:numPr>
        <w:spacing w:after="80" w:line="276"/>
      </w:pPr>
      <w:r>
        <w:rPr>
          <w:b/>
          <w:bCs/>
        </w:rPr>
        <w:t xml:space="preserve">FR-S1. </w:t>
      </w:r>
      <w:r>
        <w:t xml:space="preserve">The system shall render the Greenbaum SSCST as a FHIR SDC Questionnaire and support tablet self-entry and provider-administered verbal modes.</w:t>
      </w:r>
    </w:p>
    <w:p>
      <w:pPr>
        <w:pStyle w:val="ListParagraph"/>
        <w:numPr>
          <w:ilvl w:val="0"/>
          <w:numId w:val="2"/>
        </w:numPr>
        <w:spacing w:after="80" w:line="276"/>
      </w:pPr>
      <w:r>
        <w:rPr>
          <w:b/>
          <w:bCs/>
        </w:rPr>
        <w:t xml:space="preserve">FR-S2. </w:t>
      </w:r>
      <w:r>
        <w:t xml:space="preserve">The system shall support English and Spanish and be usable on a shared clinical tablet.</w:t>
      </w:r>
    </w:p>
    <w:p>
      <w:pPr>
        <w:pStyle w:val="ListParagraph"/>
        <w:numPr>
          <w:ilvl w:val="0"/>
          <w:numId w:val="2"/>
        </w:numPr>
        <w:spacing w:after="80" w:line="276"/>
      </w:pPr>
      <w:r>
        <w:rPr>
          <w:b/>
          <w:bCs/>
        </w:rPr>
        <w:t xml:space="preserve">FR-S3. </w:t>
      </w:r>
      <w:r>
        <w:t xml:space="preserve">The system shall store answers as a QuestionnaireResponse linked to the patient and encounter, with each item coded (LOINC where available).</w:t>
      </w:r>
    </w:p>
    <w:p>
      <w:pPr>
        <w:pStyle w:val="ListParagraph"/>
        <w:numPr>
          <w:ilvl w:val="0"/>
          <w:numId w:val="2"/>
        </w:numPr>
        <w:spacing w:after="80" w:line="276"/>
      </w:pPr>
      <w:r>
        <w:rPr>
          <w:b/>
          <w:bCs/>
        </w:rPr>
        <w:t xml:space="preserve">FR-S4. </w:t>
      </w:r>
      <w:r>
        <w:t xml:space="preserve">The screening UI shall follow trauma-informed design and shall not display trafficking-specific labels in a way visible to bystanders.</w:t>
      </w:r>
    </w:p>
    <w:p>
      <w:pPr>
        <w:pStyle w:val="Heading2"/>
      </w:pPr>
      <w:r>
        <w:t xml:space="preserve">7.3 Decisioning &amp; risk scoring (FR-R)</w:t>
      </w:r>
    </w:p>
    <w:p>
      <w:pPr>
        <w:pStyle w:val="ListParagraph"/>
        <w:numPr>
          <w:ilvl w:val="0"/>
          <w:numId w:val="2"/>
        </w:numPr>
        <w:spacing w:after="80" w:line="276"/>
      </w:pPr>
      <w:r>
        <w:rPr>
          <w:b/>
          <w:bCs/>
        </w:rPr>
        <w:t xml:space="preserve">FR-R1. </w:t>
      </w:r>
      <w:r>
        <w:t xml:space="preserve">The system shall score the SSCST deterministically (≥ 2 positive responses = positive screen) using DMN and/or CQL.</w:t>
      </w:r>
    </w:p>
    <w:p>
      <w:pPr>
        <w:pStyle w:val="ListParagraph"/>
        <w:numPr>
          <w:ilvl w:val="0"/>
          <w:numId w:val="2"/>
        </w:numPr>
        <w:spacing w:after="80" w:line="276"/>
      </w:pPr>
      <w:r>
        <w:rPr>
          <w:b/>
          <w:bCs/>
        </w:rPr>
        <w:t xml:space="preserve">FR-R2. </w:t>
      </w:r>
      <w:r>
        <w:t xml:space="preserve">The system shall record the result as a FHIR RiskAssessment that includes the contributing items (an explainable rationale).</w:t>
      </w:r>
    </w:p>
    <w:p>
      <w:pPr>
        <w:pStyle w:val="ListParagraph"/>
        <w:numPr>
          <w:ilvl w:val="0"/>
          <w:numId w:val="2"/>
        </w:numPr>
        <w:spacing w:after="80" w:line="276"/>
      </w:pPr>
      <w:r>
        <w:rPr>
          <w:b/>
          <w:bCs/>
        </w:rPr>
        <w:t xml:space="preserve">FR-R3. </w:t>
      </w:r>
      <w:r>
        <w:t xml:space="preserve">Any optional ML triage aid shall be advisory only, shall expose feature-level explanations, and shall never be the sole basis for a referral.</w:t>
      </w:r>
    </w:p>
    <w:p>
      <w:pPr>
        <w:pStyle w:val="ListParagraph"/>
        <w:numPr>
          <w:ilvl w:val="0"/>
          <w:numId w:val="2"/>
        </w:numPr>
        <w:spacing w:after="80" w:line="276"/>
      </w:pPr>
      <w:r>
        <w:rPr>
          <w:b/>
          <w:bCs/>
        </w:rPr>
        <w:t xml:space="preserve">FR-R4. </w:t>
      </w:r>
      <w:r>
        <w:t xml:space="preserve">Scoring thresholds and logic versions shall be versioned and auditable; a result shall reference the exact logic version used.</w:t>
      </w:r>
    </w:p>
    <w:p>
      <w:pPr>
        <w:pStyle w:val="Heading2"/>
      </w:pPr>
      <w:r>
        <w:t xml:space="preserve">7.4 Alerting &amp; referral (FR-A)</w:t>
      </w:r>
    </w:p>
    <w:p>
      <w:pPr>
        <w:pStyle w:val="ListParagraph"/>
        <w:numPr>
          <w:ilvl w:val="0"/>
          <w:numId w:val="2"/>
        </w:numPr>
        <w:spacing w:after="80" w:line="276"/>
      </w:pPr>
      <w:r>
        <w:rPr>
          <w:b/>
          <w:bCs/>
        </w:rPr>
        <w:t xml:space="preserve">FR-A1. </w:t>
      </w:r>
      <w:r>
        <w:t xml:space="preserve">On a positive screen or suspicious provider findings, the system shall create a social-worker referral Task as a draft proposal (FHIR Task status “draft”, intent “proposal”) within seconds and raise a patient Flag.</w:t>
      </w:r>
    </w:p>
    <w:p>
      <w:pPr>
        <w:pStyle w:val="ListParagraph"/>
        <w:numPr>
          <w:ilvl w:val="0"/>
          <w:numId w:val="2"/>
        </w:numPr>
        <w:spacing w:after="80" w:line="276"/>
      </w:pPr>
      <w:r>
        <w:rPr>
          <w:b/>
          <w:bCs/>
        </w:rPr>
        <w:t xml:space="preserve">FR-A2. </w:t>
      </w:r>
      <w:r>
        <w:t xml:space="preserve">Referral Tasks shall carry full context (screen result, contributing items, encounter reference) and, once finalized, route to the configured social-work queue.</w:t>
      </w:r>
    </w:p>
    <w:p>
      <w:pPr>
        <w:pStyle w:val="ListParagraph"/>
        <w:numPr>
          <w:ilvl w:val="0"/>
          <w:numId w:val="2"/>
        </w:numPr>
        <w:spacing w:after="80" w:line="276"/>
      </w:pPr>
      <w:r>
        <w:rPr>
          <w:b/>
          <w:bCs/>
        </w:rPr>
        <w:t xml:space="preserve">FR-A3. </w:t>
      </w:r>
      <w:r>
        <w:t xml:space="preserve">The system shall not automatically notify law enforcement; external notification shall be a human-initiated, policy-governed action.</w:t>
      </w:r>
    </w:p>
    <w:p>
      <w:pPr>
        <w:pStyle w:val="ListParagraph"/>
        <w:numPr>
          <w:ilvl w:val="0"/>
          <w:numId w:val="2"/>
        </w:numPr>
        <w:spacing w:after="80" w:line="276"/>
      </w:pPr>
      <w:r>
        <w:rPr>
          <w:b/>
          <w:bCs/>
        </w:rPr>
        <w:t xml:space="preserve">FR-A4. </w:t>
      </w:r>
      <w:r>
        <w:t xml:space="preserve">The system shall allow a provider to initiate a manual referral irrespective of screen outcome.</w:t>
      </w:r>
    </w:p>
    <w:p>
      <w:pPr>
        <w:pStyle w:val="ListParagraph"/>
        <w:numPr>
          <w:ilvl w:val="0"/>
          <w:numId w:val="2"/>
        </w:numPr>
        <w:spacing w:after="80" w:line="276"/>
      </w:pPr>
      <w:r>
        <w:rPr>
          <w:b/>
          <w:bCs/>
        </w:rPr>
        <w:t xml:space="preserve">FR-A5. </w:t>
      </w:r>
      <w:r>
        <w:t xml:space="preserve">A drafted referral shall not route until a Licensed Independent Practitioner finalizes it (status “draft”/intent “proposal” → status “requested”/intent “order”). Drafting is automated; finalization is an explicit human action, and the finalizing practitioner is recorded.</w:t>
      </w:r>
    </w:p>
    <w:p>
      <w:pPr>
        <w:pStyle w:val="Heading2"/>
      </w:pPr>
      <w:r>
        <w:t xml:space="preserve">7.5 Documentation &amp; coding (FR-C)</w:t>
      </w:r>
    </w:p>
    <w:p>
      <w:pPr>
        <w:pStyle w:val="ListParagraph"/>
        <w:numPr>
          <w:ilvl w:val="0"/>
          <w:numId w:val="2"/>
        </w:numPr>
        <w:spacing w:after="80" w:line="276"/>
      </w:pPr>
      <w:r>
        <w:rPr>
          <w:b/>
          <w:bCs/>
        </w:rPr>
        <w:t xml:space="preserve">FR-C1. </w:t>
      </w:r>
      <w:r>
        <w:t xml:space="preserve">The system shall support documentation of trafficking-related findings as coded Observations/Conditions.</w:t>
      </w:r>
    </w:p>
    <w:p>
      <w:pPr>
        <w:pStyle w:val="ListParagraph"/>
        <w:numPr>
          <w:ilvl w:val="0"/>
          <w:numId w:val="2"/>
        </w:numPr>
        <w:spacing w:after="80" w:line="276"/>
      </w:pPr>
      <w:r>
        <w:rPr>
          <w:b/>
          <w:bCs/>
        </w:rPr>
        <w:t xml:space="preserve">FR-C2. </w:t>
      </w:r>
      <w:r>
        <w:t xml:space="preserve">The system shall surface appropriate ICD-10-CM codes (confirmed T74.51/T74.52; suspected T76.51/T76.52; encounter-for-exam Z04.81/Z04.82) as suggestions, with clinician confirmation required.</w:t>
      </w:r>
    </w:p>
    <w:p>
      <w:pPr>
        <w:pStyle w:val="ListParagraph"/>
        <w:numPr>
          <w:ilvl w:val="0"/>
          <w:numId w:val="2"/>
        </w:numPr>
        <w:spacing w:after="80" w:line="276"/>
      </w:pPr>
      <w:r>
        <w:rPr>
          <w:b/>
          <w:bCs/>
        </w:rPr>
        <w:t xml:space="preserve">FR-C3. </w:t>
      </w:r>
      <w:r>
        <w:t xml:space="preserve">The system shall generate a discharge/safety-planning artifact reference for positive cases.</w:t>
      </w:r>
    </w:p>
    <w:p>
      <w:pPr>
        <w:pStyle w:val="Heading2"/>
      </w:pPr>
      <w:r>
        <w:t xml:space="preserve">7.6 Consent, privacy &amp; security (FR-P)</w:t>
      </w:r>
    </w:p>
    <w:p>
      <w:pPr>
        <w:pStyle w:val="ListParagraph"/>
        <w:numPr>
          <w:ilvl w:val="0"/>
          <w:numId w:val="2"/>
        </w:numPr>
        <w:spacing w:after="80" w:line="276"/>
      </w:pPr>
      <w:r>
        <w:rPr>
          <w:b/>
          <w:bCs/>
        </w:rPr>
        <w:t xml:space="preserve">FR-P1. </w:t>
      </w:r>
      <w:r>
        <w:t xml:space="preserve">Access to trafficking Flags, referrals, and screen content shall be restricted by role (least privilege).</w:t>
      </w:r>
    </w:p>
    <w:p>
      <w:pPr>
        <w:pStyle w:val="ListParagraph"/>
        <w:numPr>
          <w:ilvl w:val="0"/>
          <w:numId w:val="2"/>
        </w:numPr>
        <w:spacing w:after="80" w:line="276"/>
      </w:pPr>
      <w:r>
        <w:rPr>
          <w:b/>
          <w:bCs/>
        </w:rPr>
        <w:t xml:space="preserve">FR-P2. </w:t>
      </w:r>
      <w:r>
        <w:t xml:space="preserve">The system shall honor minor-confidentiality and 42 CFR Part 2 constraints applicable to substance-use content in the screen.</w:t>
      </w:r>
    </w:p>
    <w:p>
      <w:pPr>
        <w:pStyle w:val="ListParagraph"/>
        <w:numPr>
          <w:ilvl w:val="0"/>
          <w:numId w:val="2"/>
        </w:numPr>
        <w:spacing w:after="80" w:line="276"/>
      </w:pPr>
      <w:r>
        <w:rPr>
          <w:b/>
          <w:bCs/>
        </w:rPr>
        <w:t xml:space="preserve">FR-P3. </w:t>
      </w:r>
      <w:r>
        <w:t xml:space="preserve">All data shall be encrypted in transit and at rest; SMART/OAuth2 scopes shall be minimally necessary per CDS Hooks guidance.</w:t>
      </w:r>
    </w:p>
    <w:p>
      <w:pPr>
        <w:pStyle w:val="ListParagraph"/>
        <w:numPr>
          <w:ilvl w:val="0"/>
          <w:numId w:val="2"/>
        </w:numPr>
        <w:spacing w:after="80" w:line="276"/>
      </w:pPr>
      <w:r>
        <w:rPr>
          <w:b/>
          <w:bCs/>
        </w:rPr>
        <w:t xml:space="preserve">FR-P4. </w:t>
      </w:r>
      <w:r>
        <w:t xml:space="preserve">The system shall support a consent model appropriate to the jurisdiction and institutional policy.</w:t>
      </w:r>
    </w:p>
    <w:p>
      <w:pPr>
        <w:pStyle w:val="Heading2"/>
      </w:pPr>
      <w:r>
        <w:t xml:space="preserve">7.7 Audit &amp; provenance (FR-U)</w:t>
      </w:r>
    </w:p>
    <w:p>
      <w:pPr>
        <w:pStyle w:val="ListParagraph"/>
        <w:numPr>
          <w:ilvl w:val="0"/>
          <w:numId w:val="2"/>
        </w:numPr>
        <w:spacing w:after="80" w:line="276"/>
      </w:pPr>
      <w:r>
        <w:rPr>
          <w:b/>
          <w:bCs/>
        </w:rPr>
        <w:t xml:space="preserve">FR-U1. </w:t>
      </w:r>
      <w:r>
        <w:t xml:space="preserve">The system shall write a Provenance record for every automatically created or modified clinical resource.</w:t>
      </w:r>
    </w:p>
    <w:p>
      <w:pPr>
        <w:pStyle w:val="ListParagraph"/>
        <w:numPr>
          <w:ilvl w:val="0"/>
          <w:numId w:val="2"/>
        </w:numPr>
        <w:spacing w:after="80" w:line="276"/>
      </w:pPr>
      <w:r>
        <w:rPr>
          <w:b/>
          <w:bCs/>
        </w:rPr>
        <w:t xml:space="preserve">FR-U2. </w:t>
      </w:r>
      <w:r>
        <w:t xml:space="preserve">The system shall write an AuditEvent for every access to trafficking-related data and every CDS invocation.</w:t>
      </w:r>
    </w:p>
    <w:p>
      <w:pPr>
        <w:pStyle w:val="ListParagraph"/>
        <w:numPr>
          <w:ilvl w:val="0"/>
          <w:numId w:val="2"/>
        </w:numPr>
        <w:spacing w:after="80" w:line="276"/>
      </w:pPr>
      <w:r>
        <w:rPr>
          <w:b/>
          <w:bCs/>
        </w:rPr>
        <w:t xml:space="preserve">FR-U3. </w:t>
      </w:r>
      <w:r>
        <w:t xml:space="preserve">Audit records shall be immutable and retained per institutional policy.</w:t>
      </w:r>
    </w:p>
    <w:p>
      <w:pPr>
        <w:pStyle w:val="Heading2"/>
      </w:pPr>
      <w:r>
        <w:t xml:space="preserve">7.8 Configuration &amp; administration (FR-M)</w:t>
      </w:r>
    </w:p>
    <w:p>
      <w:pPr>
        <w:pStyle w:val="ListParagraph"/>
        <w:numPr>
          <w:ilvl w:val="0"/>
          <w:numId w:val="2"/>
        </w:numPr>
        <w:spacing w:after="80" w:line="276"/>
      </w:pPr>
      <w:r>
        <w:rPr>
          <w:b/>
          <w:bCs/>
        </w:rPr>
        <w:t xml:space="preserve">FR-M1. </w:t>
      </w:r>
      <w:r>
        <w:t xml:space="preserve">Administrators shall configure eligibility rules, thresholds, routing, and card content without redeployment.</w:t>
      </w:r>
    </w:p>
    <w:p>
      <w:pPr>
        <w:pStyle w:val="ListParagraph"/>
        <w:numPr>
          <w:ilvl w:val="0"/>
          <w:numId w:val="2"/>
        </w:numPr>
        <w:spacing w:after="80" w:line="276"/>
      </w:pPr>
      <w:r>
        <w:rPr>
          <w:b/>
          <w:bCs/>
        </w:rPr>
        <w:t xml:space="preserve">FR-M2. </w:t>
      </w:r>
      <w:r>
        <w:t xml:space="preserve">The system shall expose operational and quality dashboards (Section 13 metrics).</w:t>
      </w:r>
    </w:p>
    <w:p>
      <w:pPr>
        <w:pStyle w:val="ListParagraph"/>
        <w:numPr>
          <w:ilvl w:val="0"/>
          <w:numId w:val="2"/>
        </w:numPr>
        <w:spacing w:after="80" w:line="276"/>
      </w:pPr>
      <w:r>
        <w:rPr>
          <w:b/>
          <w:bCs/>
        </w:rPr>
        <w:t xml:space="preserve">FR-M3. </w:t>
      </w:r>
      <w:r>
        <w:t xml:space="preserve">Decision logic (CQL/DMN) shall be manageable as versioned, shareable artifacts.</w:t>
      </w:r>
    </w:p>
    <w:p>
      <w:pPr>
        <w:pStyle w:val="Heading2"/>
      </w:pPr>
      <w:r>
        <w:t xml:space="preserve">7.9 Interoperability (FR-I)</w:t>
      </w:r>
    </w:p>
    <w:p>
      <w:pPr>
        <w:pStyle w:val="ListParagraph"/>
        <w:numPr>
          <w:ilvl w:val="0"/>
          <w:numId w:val="2"/>
        </w:numPr>
        <w:spacing w:after="80" w:line="276"/>
      </w:pPr>
      <w:r>
        <w:rPr>
          <w:b/>
          <w:bCs/>
        </w:rPr>
        <w:t xml:space="preserve">FR-I1. </w:t>
      </w:r>
      <w:r>
        <w:t xml:space="preserve">All clinical data exchange shall conform to FHIR R4 and applicable US Core profiles.</w:t>
      </w:r>
    </w:p>
    <w:p>
      <w:pPr>
        <w:pStyle w:val="ListParagraph"/>
        <w:numPr>
          <w:ilvl w:val="0"/>
          <w:numId w:val="2"/>
        </w:numPr>
        <w:spacing w:after="80" w:line="276"/>
      </w:pPr>
      <w:r>
        <w:rPr>
          <w:b/>
          <w:bCs/>
        </w:rPr>
        <w:t xml:space="preserve">FR-I2. </w:t>
      </w:r>
      <w:r>
        <w:t xml:space="preserve">The system shall integrate with any US Core-conformant EHR via SMART on FHIR and CDS Hooks, with no EHR-proprietary interfaces.</w:t>
      </w:r>
    </w:p>
    <w:p>
      <w:pPr>
        <w:pStyle w:val="ListParagraph"/>
        <w:numPr>
          <w:ilvl w:val="0"/>
          <w:numId w:val="2"/>
        </w:numPr>
        <w:spacing w:after="80" w:line="276"/>
      </w:pPr>
      <w:r>
        <w:rPr>
          <w:b/>
          <w:bCs/>
        </w:rPr>
        <w:t xml:space="preserve">FR-I3. </w:t>
      </w:r>
      <w:r>
        <w:t xml:space="preserve">The clinical process and decision logic shall be expressed in shareable open standards (BPMN, DMN, CQL) so they are portable across engines and adoptable by other institutions.</w:t>
      </w:r>
    </w:p>
    <w:p>
      <w:pPr>
        <w:pStyle w:val="Heading1"/>
      </w:pPr>
      <w:r>
        <w:t xml:space="preserve">8. Screening and Decision Logic</w:t>
      </w:r>
    </w:p>
    <w:p>
      <w:pPr>
        <w:pStyle w:val="Heading2"/>
      </w:pPr>
      <w:r>
        <w:t xml:space="preserve">8.1 The Greenbaum Short Screen for Child Sex Trafficking (SSCST)</w:t>
      </w:r>
    </w:p>
    <w:p>
      <w:pPr>
        <w:spacing w:after="120" w:before="0" w:line="276"/>
      </w:pPr>
      <w:r>
        <w:rPr>
          <w:b w:val="false"/>
          <w:bCs w:val="false"/>
          <w:i w:val="false"/>
          <w:iCs w:val="false"/>
        </w:rPr>
        <w:t xml:space="preserve">The SSCST is the only screening instrument validated for identifying sex trafficking of minors in a healthcare setting. It was developed by Greenbaum and colleagues and evaluated in a pediatric ED population (Kaltiso et al., Academic Emergency Medicine, 2018). It is designed to be administered confidentially and with a trauma-informed approach, typically to adolescents who trigger a high-risk chief-complaint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2000"/>
      </w:tblGrid>
      <w:tr>
        <w:trPr>
          <w:tblHeader/>
        </w:trPr>
        <w:tc>
          <w:tcPr>
            <w:tcW w:type="dxa" w:w="5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w:t>
            </w:r>
          </w:p>
        </w:tc>
        <w:tc>
          <w:tcPr>
            <w:tcW w:type="dxa" w:w="68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Screen item (history of…)</w:t>
            </w:r>
          </w:p>
        </w:tc>
        <w:tc>
          <w:tcPr>
            <w:tcW w:type="dxa" w:w="20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Response</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1</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Drug and/or alcohol use</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Yes / No</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2</w:t>
            </w:r>
          </w:p>
        </w:tc>
        <w:tc>
          <w:tcPr>
            <w:tcW w:type="dxa" w:w="68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Ever run away from home</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Yes / No</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3</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Involvement / history with law enforcement</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Yes / No</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4</w:t>
            </w:r>
          </w:p>
        </w:tc>
        <w:tc>
          <w:tcPr>
            <w:tcW w:type="dxa" w:w="68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Ever broken a bone, had a traumatic loss of consciousness, or sustained a significant wound</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Yes / No</w:t>
            </w:r>
          </w:p>
        </w:tc>
      </w:tr>
      <w:tr>
        <w:tc>
          <w:tcPr>
            <w:tcW w:type="dxa" w:w="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5</w:t>
            </w:r>
          </w:p>
        </w:tc>
        <w:tc>
          <w:tcPr>
            <w:tcW w:type="dxa" w:w="68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History of sexually transmitted infection(s)</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Yes / No</w:t>
            </w:r>
          </w:p>
        </w:tc>
      </w:tr>
      <w:tr>
        <w:tc>
          <w:tcPr>
            <w:tcW w:type="dxa" w:w="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6</w:t>
            </w:r>
          </w:p>
        </w:tc>
        <w:tc>
          <w:tcPr>
            <w:tcW w:type="dxa" w:w="68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Sexual activity with more than five partners</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Yes / No</w:t>
            </w:r>
          </w:p>
        </w:tc>
      </w:tr>
    </w:tbl>
    <w:p>
      <w:pPr>
        <w:spacing w:after="80"/>
      </w:pPr>
    </w:p>
    <w:p>
      <w:pPr>
        <w:spacing w:after="120" w:before="0" w:line="276"/>
      </w:pPr>
      <w:r>
        <w:rPr>
          <w:b/>
          <w:bCs/>
          <w:i w:val="false"/>
          <w:iCs w:val="false"/>
        </w:rPr>
        <w:t xml:space="preserve">Scoring &amp; performance. </w:t>
      </w:r>
      <w:r>
        <w:rPr>
          <w:b w:val="false"/>
          <w:bCs w:val="false"/>
          <w:i w:val="false"/>
          <w:iCs w:val="false"/>
        </w:rPr>
        <w:t xml:space="preserve">A cutoff of two or more “yes” answers constitutes a positive screen and prompts a social-work consult. In validation the tool showed sensitivity 92%, specificity 73%, positive predictive value 51%, and negative predictive value 97% — a high-sensitivity, high-NPV profile appropriate for a busy ED, where the goal is to avoid missing victims while accepting that positives require human follow-up.</w:t>
      </w:r>
    </w:p>
    <w:p>
      <w:pPr>
        <w:spacing w:after="60"/>
      </w:pPr>
    </w:p>
    <w:p>
      <w:pPr>
        <w:spacing w:after="120" w:before="0" w:line="276"/>
      </w:pPr>
      <w:r>
        <w:rPr>
          <w:b/>
          <w:bCs/>
          <w:i w:val="false"/>
          <w:iCs w:val="false"/>
        </w:rPr>
        <w:t xml:space="preserve">Scope of the instrument. </w:t>
      </w:r>
      <w:r>
        <w:rPr>
          <w:b w:val="false"/>
          <w:bCs w:val="false"/>
          <w:i w:val="false"/>
          <w:iCs w:val="false"/>
        </w:rPr>
        <w:t xml:space="preserve">The SSCST is validated for sex trafficking of minors (not labor trafficking) and for the adolescent age band; adult screening uses a different validated tool (RAFT). Harper treats the age band and high-risk chief-complaint value set as configuration so a site can align with its clinical policy and any local validation.</w:t>
      </w:r>
    </w:p>
    <w:p>
      <w:pPr>
        <w:pStyle w:val="Heading2"/>
      </w:pPr>
      <w:r>
        <w:t xml:space="preserve">8.2 How the logic is expressed</w:t>
      </w:r>
    </w:p>
    <w:p>
      <w:pPr>
        <w:spacing w:after="120" w:before="0" w:line="276"/>
      </w:pPr>
      <w:r>
        <w:rPr>
          <w:b w:val="false"/>
          <w:bCs w:val="false"/>
          <w:i w:val="false"/>
          <w:iCs w:val="false"/>
        </w:rPr>
        <w:t xml:space="preserve">The clinical process and its decisions are delivered as executable open-standard models (see §10.4): a top-level BPMN collaboration, three BPMN sub-processes (Registrar, Nurse, Licensed Independent Practitioner), and three DMN decisions — all executed by Kogito (KIE).</w:t>
      </w:r>
    </w:p>
    <w:p>
      <w:pPr>
        <w:pStyle w:val="ListParagraph"/>
        <w:numPr>
          <w:ilvl w:val="0"/>
          <w:numId w:val="2"/>
        </w:numPr>
        <w:spacing w:after="80" w:line="276"/>
      </w:pPr>
      <w:r>
        <w:rPr>
          <w:b/>
          <w:bCs/>
        </w:rPr>
        <w:t xml:space="preserve">Process orchestration (BPMN). </w:t>
      </w:r>
      <w:r>
        <w:t xml:space="preserve">The ED pathway — registration, triage, eligibility, screening, scoring, referral, and disposition — is an executable BPMN 2.0 model. The Nurse's at-risk decision throws a “Referral drafted” signal that starts the Practitioner swimlane; the Practitioner's Finalize step throws the single “Suspect sex trafficking” signal that starts the Social Worker pool.</w:t>
      </w:r>
    </w:p>
    <w:p>
      <w:pPr>
        <w:pStyle w:val="ListParagraph"/>
        <w:numPr>
          <w:ilvl w:val="0"/>
          <w:numId w:val="2"/>
        </w:numPr>
        <w:spacing w:after="80" w:line="276"/>
      </w:pPr>
      <w:r>
        <w:rPr>
          <w:b/>
          <w:bCs/>
        </w:rPr>
        <w:t xml:space="preserve">ED Prescreen (DMN). </w:t>
      </w:r>
      <w:r>
        <w:t xml:space="preserve">A DMN 1.3 decision table decides whether to administer the screen from age band (13–17), a high-risk chief-complaint flag, and a standing order — deterministic and inspectable.</w:t>
      </w:r>
    </w:p>
    <w:p>
      <w:pPr>
        <w:pStyle w:val="ListParagraph"/>
        <w:numPr>
          <w:ilvl w:val="0"/>
          <w:numId w:val="2"/>
        </w:numPr>
        <w:spacing w:after="80" w:line="276"/>
      </w:pPr>
      <w:r>
        <w:rPr>
          <w:b/>
          <w:bCs/>
        </w:rPr>
        <w:t xml:space="preserve">Greenbaum screen (DMN). </w:t>
      </w:r>
      <w:r>
        <w:t xml:space="preserve">A DMN decision implements the validated ≥ 2 rule over the six items; a positive result is always explainable by the specific “yes” responses. It drives the “At risk?” gateway.</w:t>
      </w:r>
    </w:p>
    <w:p>
      <w:pPr>
        <w:pStyle w:val="ListParagraph"/>
        <w:numPr>
          <w:ilvl w:val="0"/>
          <w:numId w:val="2"/>
        </w:numPr>
        <w:spacing w:after="80" w:line="276"/>
      </w:pPr>
      <w:r>
        <w:rPr>
          <w:b/>
          <w:bCs/>
        </w:rPr>
        <w:t xml:space="preserve">Alarm Signs (DMN). </w:t>
      </w:r>
      <w:r>
        <w:t xml:space="preserve">A DMN decision counts the clinician’s holistic red-flag findings and flags suspicion at a configurable threshold — the Practitioner-side path to the same signal.</w:t>
      </w:r>
    </w:p>
    <w:p>
      <w:pPr>
        <w:pStyle w:val="ListParagraph"/>
        <w:numPr>
          <w:ilvl w:val="0"/>
          <w:numId w:val="2"/>
        </w:numPr>
        <w:spacing w:after="80" w:line="276"/>
      </w:pPr>
      <w:r>
        <w:rPr>
          <w:b/>
          <w:bCs/>
        </w:rPr>
        <w:t xml:space="preserve">Shareability. </w:t>
      </w:r>
      <w:r>
        <w:t xml:space="preserve">Because the logic is plain BPMN/DMN/CQL — not vendor script — another institution can adopt the exact models rather than re-implementing them.</w:t>
      </w:r>
    </w:p>
    <w:p>
      <w:pPr>
        <w:pStyle w:val="Heading2"/>
      </w:pPr>
      <w:r>
        <w:t xml:space="preserve">8.3 On “metaheuristics” and machine learning</w:t>
      </w:r>
    </w:p>
    <w:p>
      <w:pPr>
        <w:spacing w:after="120" w:before="0" w:line="276"/>
      </w:pPr>
      <w:r>
        <w:rPr>
          <w:b w:val="false"/>
          <w:bCs w:val="false"/>
          <w:i w:val="false"/>
          <w:iCs w:val="false"/>
        </w:rPr>
        <w:t xml:space="preserve">The 2022 blueprint described “metaheuristics” that compute a risk score from accumulating data points. Harper deliberately separates two concerns. The screening decision that can trigger a social-work referral is kept deterministic and transparent (DMN/CQL) for clinical safety, auditability, and defensibility. Separately, an optional machine-learning layer may help triage — for example, learning which chief-complaint patterns warrant a prompt — but it is advisory only, must be explainable (surfacing the features behind a suggestion), and never becomes the sole basis for a referral. This preserves the real-time ambition of the original while meeting a higher bar for accountability now expected of clinical AI.</w:t>
      </w:r>
    </w:p>
    <w:p>
      <w:pPr>
        <w:pStyle w:val="Heading1"/>
      </w:pPr>
      <w:r>
        <w:t xml:space="preserve">9. Data Model and Interoperability</w:t>
      </w:r>
    </w:p>
    <w:p>
      <w:pPr>
        <w:pStyle w:val="Heading2"/>
      </w:pPr>
      <w:r>
        <w:t xml:space="preserve">9.1 FHIR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Resource</w:t>
            </w:r>
          </w:p>
        </w:tc>
        <w:tc>
          <w:tcPr>
            <w:tcW w:type="dxa" w:w="19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Profile / basis</w:t>
            </w:r>
          </w:p>
        </w:tc>
        <w:tc>
          <w:tcPr>
            <w:tcW w:type="dxa" w:w="54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Purpose in Harper</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Patient</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US Core Patient</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Demographics, age determination, language.</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Encounter</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 Core Encounter</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The ED visit; anchors triggering and all artifacts.</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Condition</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US Core Condition</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Chief complaint / diagnoses; trafficking coding (T74.5x/T76.5x/Z04.8x).</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Observation</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 Core Observation</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Exam red-flag findings; injuries; clinical signals.</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Questionnaire</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SDC</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The SSCST instrument definition (coded items).</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QuestionnaireResponse</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 Core</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Captured screen answers linked to patient/encounter.</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RiskAssessment</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R4</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Screen result with explainable contributing factors.</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Flag</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R4</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Visible, access-controlled indicator of a positive screen.</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DetectedIssue</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R4</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Optional record of the identified concern.</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Task</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R4</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Social-worker referral — created as a draft proposal, finalized by a practitioner, then routed and tracked to disposition.</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ServiceRequest</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US Core</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Orders (labs, consults) associated with the pathway.</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Consent</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R4</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Consent state governing sensitive data handling.</w:t>
            </w:r>
          </w:p>
        </w:tc>
      </w:tr>
      <w:tr>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Communication / CarePlan</w:t>
            </w:r>
          </w:p>
        </w:tc>
        <w:tc>
          <w:tcPr>
            <w:tcW w:type="dxa" w:w="1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R4</w:t>
            </w:r>
          </w:p>
        </w:tc>
        <w:tc>
          <w:tcPr>
            <w:tcW w:type="dxa" w:w="54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Safety planning and coordination artifacts.</w:t>
            </w:r>
          </w:p>
        </w:tc>
      </w:tr>
      <w:tr>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Provenance / AuditEvent</w:t>
            </w:r>
          </w:p>
        </w:tc>
        <w:tc>
          <w:tcPr>
            <w:tcW w:type="dxa" w:w="1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 Core / FHIR</w:t>
            </w:r>
          </w:p>
        </w:tc>
        <w:tc>
          <w:tcPr>
            <w:tcW w:type="dxa" w:w="54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Provenance of automated actions and access audit.</w:t>
            </w:r>
          </w:p>
        </w:tc>
      </w:tr>
    </w:tbl>
    <w:p>
      <w:pPr>
        <w:spacing w:after="80"/>
      </w:pPr>
    </w:p>
    <w:p>
      <w:pPr>
        <w:pStyle w:val="Heading2"/>
      </w:pPr>
      <w:r>
        <w:t xml:space="preserve">9.2 Interaction pattern (open-standards replacement for the vendor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900"/>
        <w:gridCol w:w="2760"/>
      </w:tblGrid>
      <w:tr>
        <w:trPr>
          <w:tblHeader/>
        </w:trPr>
        <w:tc>
          <w:tcPr>
            <w:tcW w:type="dxa" w:w="12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Step</w:t>
            </w:r>
          </w:p>
        </w:tc>
        <w:tc>
          <w:tcPr>
            <w:tcW w:type="dxa" w:w="25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Producer → Consumer</w:t>
            </w:r>
          </w:p>
        </w:tc>
        <w:tc>
          <w:tcPr>
            <w:tcW w:type="dxa" w:w="29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Mechanism</w:t>
            </w:r>
          </w:p>
        </w:tc>
        <w:tc>
          <w:tcPr>
            <w:tcW w:type="dxa" w:w="27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Payload</w:t>
            </w:r>
          </w:p>
        </w:tc>
      </w:tr>
      <w:tr>
        <w:tc>
          <w:tcPr>
            <w:tcW w:type="dxa" w:w="1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Trigger</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EHR → CDS service</w:t>
            </w:r>
          </w:p>
        </w:tc>
        <w:tc>
          <w:tcPr>
            <w:tcW w:type="dxa" w:w="2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CDS Hooks 2.0.1 (patient-view / encounter / order-select)</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Hook context + prefetch (Patient, Encounter, Condition, Observation)</w:t>
            </w:r>
          </w:p>
        </w:tc>
      </w:tr>
      <w:tr>
        <w:tc>
          <w:tcPr>
            <w:tcW w:type="dxa" w:w="1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Eligibility card</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service → EHR</w:t>
            </w:r>
          </w:p>
        </w:tc>
        <w:tc>
          <w:tcPr>
            <w:tcW w:type="dxa" w:w="2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Hooks response card + SMART link</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Suggestion card, app-launch link</w:t>
            </w:r>
          </w:p>
        </w:tc>
      </w:tr>
      <w:tr>
        <w:tc>
          <w:tcPr>
            <w:tcW w:type="dxa" w:w="1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Screen launch</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EHR → Screening app</w:t>
            </w:r>
          </w:p>
        </w:tc>
        <w:tc>
          <w:tcPr>
            <w:tcW w:type="dxa" w:w="2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SMART on FHIR app launch (scoped OAuth2)</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Launch context (patient, encounter)</w:t>
            </w:r>
          </w:p>
        </w:tc>
      </w:tr>
      <w:tr>
        <w:tc>
          <w:tcPr>
            <w:tcW w:type="dxa" w:w="1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 render</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Screening app ↔ FHIR platform</w:t>
            </w:r>
          </w:p>
        </w:tc>
        <w:tc>
          <w:tcPr>
            <w:tcW w:type="dxa" w:w="2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SDC</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Questionnaire → QuestionnaireResponse</w:t>
            </w:r>
          </w:p>
        </w:tc>
      </w:tr>
      <w:tr>
        <w:tc>
          <w:tcPr>
            <w:tcW w:type="dxa" w:w="1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Score &amp; flag</w:t>
            </w:r>
          </w:p>
        </w:tc>
        <w:tc>
          <w:tcPr>
            <w:tcW w:type="dxa" w:w="2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CDS service → FHIR platform</w:t>
            </w:r>
          </w:p>
        </w:tc>
        <w:tc>
          <w:tcPr>
            <w:tcW w:type="dxa" w:w="29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REST (create/update)</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RiskAssessment, Flag, Task, DetectedIssue</w:t>
            </w:r>
          </w:p>
        </w:tc>
      </w:tr>
      <w:tr>
        <w:tc>
          <w:tcPr>
            <w:tcW w:type="dxa" w:w="1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Referral</w:t>
            </w:r>
          </w:p>
        </w:tc>
        <w:tc>
          <w:tcPr>
            <w:tcW w:type="dxa" w:w="2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platform → Social-worker app</w:t>
            </w:r>
          </w:p>
        </w:tc>
        <w:tc>
          <w:tcPr>
            <w:tcW w:type="dxa" w:w="29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Subscription / worklist query</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Task with context</w:t>
            </w:r>
          </w:p>
        </w:tc>
      </w:tr>
    </w:tbl>
    <w:p>
      <w:pPr>
        <w:spacing w:after="80"/>
      </w:pPr>
    </w:p>
    <w:p>
      <w:pPr>
        <w:pStyle w:val="Heading2"/>
      </w:pPr>
      <w:r>
        <w:t xml:space="preserve">9.3 Terminology and standards</w:t>
      </w:r>
    </w:p>
    <w:p>
      <w:pPr>
        <w:pStyle w:val="ListParagraph"/>
        <w:numPr>
          <w:ilvl w:val="0"/>
          <w:numId w:val="2"/>
        </w:numPr>
        <w:spacing w:after="80" w:line="276"/>
      </w:pPr>
      <w:r>
        <w:rPr>
          <w:b/>
          <w:bCs/>
        </w:rPr>
        <w:t xml:space="preserve">FHIR: </w:t>
      </w:r>
      <w:r>
        <w:t xml:space="preserve">R4 (4.0.1) with US Core (STU7 today; USCDI v6 is the binding certification target in 2026). US Core’s next major version is planned on FHIR R6 — Harper builds on R4 now and tracks R6.</w:t>
      </w:r>
    </w:p>
    <w:p>
      <w:pPr>
        <w:pStyle w:val="ListParagraph"/>
        <w:numPr>
          <w:ilvl w:val="0"/>
          <w:numId w:val="2"/>
        </w:numPr>
        <w:spacing w:after="80" w:line="276"/>
      </w:pPr>
      <w:r>
        <w:rPr>
          <w:b/>
          <w:bCs/>
        </w:rPr>
        <w:t xml:space="preserve">CDS Hooks: </w:t>
      </w:r>
      <w:r>
        <w:t xml:space="preserve">2.0.1 (on FHIR 4.0.1) for real-time, in-workflow decision support via cards.</w:t>
      </w:r>
    </w:p>
    <w:p>
      <w:pPr>
        <w:pStyle w:val="ListParagraph"/>
        <w:numPr>
          <w:ilvl w:val="0"/>
          <w:numId w:val="2"/>
        </w:numPr>
        <w:spacing w:after="80" w:line="276"/>
      </w:pPr>
      <w:r>
        <w:rPr>
          <w:b/>
          <w:bCs/>
        </w:rPr>
        <w:t xml:space="preserve">SMART on FHIR: </w:t>
      </w:r>
      <w:r>
        <w:t xml:space="preserve">app launch and OAuth2 scoping for the screening and worklist apps.</w:t>
      </w:r>
    </w:p>
    <w:p>
      <w:pPr>
        <w:pStyle w:val="ListParagraph"/>
        <w:numPr>
          <w:ilvl w:val="0"/>
          <w:numId w:val="2"/>
        </w:numPr>
        <w:spacing w:after="80" w:line="276"/>
      </w:pPr>
      <w:r>
        <w:rPr>
          <w:b/>
          <w:bCs/>
        </w:rPr>
        <w:t xml:space="preserve">Structured Data Capture (SDC): </w:t>
      </w:r>
      <w:r>
        <w:t xml:space="preserve">the questionnaire framework (adaptive behavior, calculation via CQL/FHIRPath).</w:t>
      </w:r>
    </w:p>
    <w:p>
      <w:pPr>
        <w:pStyle w:val="ListParagraph"/>
        <w:numPr>
          <w:ilvl w:val="0"/>
          <w:numId w:val="2"/>
        </w:numPr>
        <w:spacing w:after="80" w:line="276"/>
      </w:pPr>
      <w:r>
        <w:rPr>
          <w:b/>
          <w:bCs/>
        </w:rPr>
        <w:t xml:space="preserve">BPMN, DMN &amp; CQL: </w:t>
      </w:r>
      <w:r>
        <w:t xml:space="preserve">the BPM+ Health stack — BPMN models the executable clinical process; DMN provides the transparent screening decision table; CQL expresses shareable, computable logic. All are open OMG/HL7 standards, portable across engines.</w:t>
      </w:r>
    </w:p>
    <w:p>
      <w:pPr>
        <w:pStyle w:val="ListParagraph"/>
        <w:numPr>
          <w:ilvl w:val="0"/>
          <w:numId w:val="2"/>
        </w:numPr>
        <w:spacing w:after="80" w:line="276"/>
      </w:pPr>
      <w:r>
        <w:rPr>
          <w:b/>
          <w:bCs/>
        </w:rPr>
        <w:t xml:space="preserve">Code systems: </w:t>
      </w:r>
      <w:r>
        <w:t xml:space="preserve">ICD-10-CM (trafficking codes, free), LOINC (screen items, free), SNOMED CT (findings). Note: SNOMED CT requires a license — free to use in the U.S. via the NLM/UMLS, but licensing must be acknowledged; ICD-10-CM and LOINC carry no such restriction.</w:t>
      </w:r>
    </w:p>
    <w:p>
      <w:pPr>
        <w:pStyle w:val="Heading1"/>
      </w:pPr>
      <w:r>
        <w:t xml:space="preserve">10. Open-Source Reference Architecture</w:t>
      </w:r>
    </w:p>
    <w:p>
      <w:pPr>
        <w:pStyle w:val="Heading2"/>
      </w:pPr>
      <w:r>
        <w:t xml:space="preserve">10.1 Component mapping (2022 proprietary → Harper open-source)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560"/>
        <w:gridCol w:w="1500"/>
      </w:tblGrid>
      <w:tr>
        <w:trPr>
          <w:tblHeader/>
        </w:trPr>
        <w:tc>
          <w:tcPr>
            <w:tcW w:type="dxa" w:w="21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Capability</w:t>
            </w:r>
          </w:p>
        </w:tc>
        <w:tc>
          <w:tcPr>
            <w:tcW w:type="dxa" w:w="22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2022 proprietary</w:t>
            </w:r>
          </w:p>
        </w:tc>
        <w:tc>
          <w:tcPr>
            <w:tcW w:type="dxa" w:w="35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Harper open-source option(s)</w:t>
            </w:r>
          </w:p>
        </w:tc>
        <w:tc>
          <w:tcPr>
            <w:tcW w:type="dxa" w:w="15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License</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data platform</w:t>
            </w:r>
          </w:p>
        </w:tc>
        <w:tc>
          <w:tcPr>
            <w:tcW w:type="dxa" w:w="2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Smile CDR</w:t>
            </w:r>
          </w:p>
        </w:tc>
        <w:tc>
          <w:tcPr>
            <w:tcW w:type="dxa" w:w="35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HAPI FHIR (primary); Medplum</w:t>
            </w:r>
          </w:p>
        </w:tc>
        <w:tc>
          <w:tcPr>
            <w:tcW w:type="dxa" w:w="1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Process &amp; decision engine (BPMN/DMN)</w:t>
            </w:r>
          </w:p>
        </w:tc>
        <w:tc>
          <w:tcPr>
            <w:tcW w:type="dxa" w:w="2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Trisotech Digital Enterprise Suite</w:t>
            </w:r>
          </w:p>
        </w:tc>
        <w:tc>
          <w:tcPr>
            <w:tcW w:type="dxa" w:w="35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Kogito (KIE) on Quarkus — selected (Drools DMN); Flowable / Operaton as alternates</w:t>
            </w:r>
          </w:p>
        </w:tc>
        <w:tc>
          <w:tcPr>
            <w:tcW w:type="dxa" w:w="1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Real-time CDS triggering</w:t>
            </w:r>
          </w:p>
        </w:tc>
        <w:tc>
          <w:tcPr>
            <w:tcW w:type="dxa" w:w="2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Vendor process/subscription engine</w:t>
            </w:r>
          </w:p>
        </w:tc>
        <w:tc>
          <w:tcPr>
            <w:tcW w:type="dxa" w:w="35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CDS Hooks 2.0.1 + FHIR Subscriptions</w:t>
            </w:r>
          </w:p>
        </w:tc>
        <w:tc>
          <w:tcPr>
            <w:tcW w:type="dxa" w:w="1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Open HL7 spec</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EHR</w:t>
            </w:r>
          </w:p>
        </w:tc>
        <w:tc>
          <w:tcPr>
            <w:tcW w:type="dxa" w:w="2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Cerner Millennium (now Oracle Health)</w:t>
            </w:r>
          </w:p>
        </w:tc>
        <w:tc>
          <w:tcPr>
            <w:tcW w:type="dxa" w:w="35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Any US Core EHR via SMART on FHIR + CDS Hooks; OpenMRS for open deployments</w:t>
            </w:r>
          </w:p>
        </w:tc>
        <w:tc>
          <w:tcPr>
            <w:tcW w:type="dxa" w:w="1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Varies / MPL</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Integration / ESB</w:t>
            </w:r>
          </w:p>
        </w:tc>
        <w:tc>
          <w:tcPr>
            <w:tcW w:type="dxa" w:w="2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Red Hat Fuse</w:t>
            </w:r>
          </w:p>
        </w:tc>
        <w:tc>
          <w:tcPr>
            <w:tcW w:type="dxa" w:w="35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 Camel</w:t>
            </w:r>
          </w:p>
        </w:tc>
        <w:tc>
          <w:tcPr>
            <w:tcW w:type="dxa" w:w="1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Screening &amp; worklist UI</w:t>
            </w:r>
          </w:p>
        </w:tc>
        <w:tc>
          <w:tcPr>
            <w:tcW w:type="dxa" w:w="2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Custom vendor UI</w:t>
            </w:r>
          </w:p>
        </w:tc>
        <w:tc>
          <w:tcPr>
            <w:tcW w:type="dxa" w:w="35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SMART on FHIR app (e.g., React) rendering SDC</w:t>
            </w:r>
          </w:p>
        </w:tc>
        <w:tc>
          <w:tcPr>
            <w:tcW w:type="dxa" w:w="1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MIT / Apache-2.0</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Service runtime</w:t>
            </w:r>
          </w:p>
        </w:tc>
        <w:tc>
          <w:tcPr>
            <w:tcW w:type="dxa" w:w="2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w:t>
            </w:r>
          </w:p>
        </w:tc>
        <w:tc>
          <w:tcPr>
            <w:tcW w:type="dxa" w:w="35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Quarkus (hosts the Kogito services)</w:t>
            </w:r>
          </w:p>
        </w:tc>
        <w:tc>
          <w:tcPr>
            <w:tcW w:type="dxa" w:w="1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Relational store</w:t>
            </w:r>
          </w:p>
        </w:tc>
        <w:tc>
          <w:tcPr>
            <w:tcW w:type="dxa" w:w="2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Vendor database</w:t>
            </w:r>
          </w:p>
        </w:tc>
        <w:tc>
          <w:tcPr>
            <w:tcW w:type="dxa" w:w="35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PostgreSQL</w:t>
            </w:r>
          </w:p>
        </w:tc>
        <w:tc>
          <w:tcPr>
            <w:tcW w:type="dxa" w:w="1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PostgreSQL License</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Orchestration platform</w:t>
            </w:r>
          </w:p>
        </w:tc>
        <w:tc>
          <w:tcPr>
            <w:tcW w:type="dxa" w:w="22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Red Hat OpenShift</w:t>
            </w:r>
          </w:p>
        </w:tc>
        <w:tc>
          <w:tcPr>
            <w:tcW w:type="dxa" w:w="35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Kubernetes (any conformant distribution); k3s / MicroShift at the edge</w:t>
            </w:r>
          </w:p>
        </w:tc>
        <w:tc>
          <w:tcPr>
            <w:tcW w:type="dxa" w:w="15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Apache-2.0</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Terminology services</w:t>
            </w:r>
          </w:p>
        </w:tc>
        <w:tc>
          <w:tcPr>
            <w:tcW w:type="dxa" w:w="22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Vendor terminology</w:t>
            </w:r>
          </w:p>
        </w:tc>
        <w:tc>
          <w:tcPr>
            <w:tcW w:type="dxa" w:w="35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HAPI FHIR terminology; Snowstorm (SNOMED CT)</w:t>
            </w:r>
          </w:p>
        </w:tc>
        <w:tc>
          <w:tcPr>
            <w:tcW w:type="dxa" w:w="15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Apache-2.0</w:t>
            </w:r>
          </w:p>
        </w:tc>
      </w:tr>
    </w:tbl>
    <w:p>
      <w:pPr>
        <w:spacing w:after="80"/>
      </w:pPr>
    </w:p>
    <w:p>
      <w:pPr>
        <w:spacing w:after="120" w:before="0" w:line="276"/>
      </w:pPr>
      <w:r>
        <w:rPr>
          <w:b w:val="false"/>
          <w:bCs w:val="false"/>
          <w:i/>
          <w:iCs/>
        </w:rPr>
        <w:t xml:space="preserve">Engine selection: Harper uses Kogito (KIE) — the Apache-2.0, cloud-native successor to jBPM/Drools, aligned with the DMN and BPM+ Health heritage of the original and a natural fit for Quarkus on Kubernetes. Flowable CE and the Camunda 7 fork Operaton remain drop-in open alternatives; Camunda 7 CE itself reached end of life in October 2025 and Camunda 8 is not offered as a free product.</w:t>
      </w:r>
    </w:p>
    <w:p>
      <w:pPr>
        <w:pStyle w:val="Heading2"/>
      </w:pPr>
      <w:r>
        <w:t xml:space="preserve">10.2 Logical architecture</w:t>
      </w:r>
    </w:p>
    <w:p>
      <w:pPr>
        <w:spacing w:after="120" w:before="0" w:line="276"/>
      </w:pPr>
      <w:r>
        <w:rPr>
          <w:b w:val="false"/>
          <w:bCs w:val="false"/>
          <w:i w:val="false"/>
          <w:iCs w:val="false"/>
        </w:rPr>
        <w:t xml:space="preserve">Harper is a set of loosely coupled services communicating only through open standards, so any component can be swapped without touching the others:</w:t>
      </w:r>
    </w:p>
    <w:p>
      <w:pPr>
        <w:pStyle w:val="ListParagraph"/>
        <w:numPr>
          <w:ilvl w:val="0"/>
          <w:numId w:val="2"/>
        </w:numPr>
        <w:spacing w:after="80" w:line="276"/>
      </w:pPr>
      <w:r>
        <w:rPr>
          <w:b/>
          <w:bCs/>
        </w:rPr>
        <w:t xml:space="preserve">EHR (CDS client). </w:t>
      </w:r>
      <w:r>
        <w:t xml:space="preserve">Fires CDS Hooks, launches SMART apps, holds the legal record.</w:t>
      </w:r>
    </w:p>
    <w:p>
      <w:pPr>
        <w:pStyle w:val="ListParagraph"/>
        <w:numPr>
          <w:ilvl w:val="0"/>
          <w:numId w:val="2"/>
        </w:numPr>
        <w:spacing w:after="80" w:line="276"/>
      </w:pPr>
      <w:r>
        <w:rPr>
          <w:b/>
          <w:bCs/>
        </w:rPr>
        <w:t xml:space="preserve">FHIR data platform. </w:t>
      </w:r>
      <w:r>
        <w:t xml:space="preserve">HAPI FHIR as the standards-based store and API for all clinical resources.</w:t>
      </w:r>
    </w:p>
    <w:p>
      <w:pPr>
        <w:pStyle w:val="ListParagraph"/>
        <w:numPr>
          <w:ilvl w:val="0"/>
          <w:numId w:val="2"/>
        </w:numPr>
        <w:spacing w:after="80" w:line="276"/>
      </w:pPr>
      <w:r>
        <w:rPr>
          <w:b/>
          <w:bCs/>
        </w:rPr>
        <w:t xml:space="preserve">Process &amp; decision engine. </w:t>
      </w:r>
      <w:r>
        <w:t xml:space="preserve">Kogito (KIE) on Quarkus executes the BPMN process and its DMN decisions for eligibility and scoring; exposes CDS Hooks services; writes RiskAssessment/Flag/Task. The delivered BPMN/DMN files (§10.4) run here.</w:t>
      </w:r>
    </w:p>
    <w:p>
      <w:pPr>
        <w:pStyle w:val="ListParagraph"/>
        <w:numPr>
          <w:ilvl w:val="0"/>
          <w:numId w:val="2"/>
        </w:numPr>
        <w:spacing w:after="80" w:line="276"/>
      </w:pPr>
      <w:r>
        <w:rPr>
          <w:b/>
          <w:bCs/>
        </w:rPr>
        <w:t xml:space="preserve">Screening app. </w:t>
      </w:r>
      <w:r>
        <w:t xml:space="preserve">SMART on FHIR app rendering the SDC questionnaire and submitting responses.</w:t>
      </w:r>
    </w:p>
    <w:p>
      <w:pPr>
        <w:pStyle w:val="ListParagraph"/>
        <w:numPr>
          <w:ilvl w:val="0"/>
          <w:numId w:val="2"/>
        </w:numPr>
        <w:spacing w:after="80" w:line="276"/>
      </w:pPr>
      <w:r>
        <w:rPr>
          <w:b/>
          <w:bCs/>
        </w:rPr>
        <w:t xml:space="preserve">Social-worker worklist app. </w:t>
      </w:r>
      <w:r>
        <w:t xml:space="preserve">SMART app subscribing to referral Tasks.</w:t>
      </w:r>
    </w:p>
    <w:p>
      <w:pPr>
        <w:pStyle w:val="ListParagraph"/>
        <w:numPr>
          <w:ilvl w:val="0"/>
          <w:numId w:val="2"/>
        </w:numPr>
        <w:spacing w:after="80" w:line="276"/>
      </w:pPr>
      <w:r>
        <w:rPr>
          <w:b/>
          <w:bCs/>
        </w:rPr>
        <w:t xml:space="preserve">Terminology &amp; audit services. </w:t>
      </w:r>
      <w:r>
        <w:t xml:space="preserve">Value-set resolution and immutable AuditEvent/Provenance.</w:t>
      </w:r>
    </w:p>
    <w:p>
      <w:pPr>
        <w:pStyle w:val="ListParagraph"/>
        <w:numPr>
          <w:ilvl w:val="0"/>
          <w:numId w:val="2"/>
        </w:numPr>
        <w:spacing w:after="80" w:line="276"/>
      </w:pPr>
      <w:r>
        <w:rPr>
          <w:b/>
          <w:bCs/>
        </w:rPr>
        <w:t xml:space="preserve">Platform. </w:t>
      </w:r>
      <w:r>
        <w:t xml:space="preserve">Kubernetes orchestrates every service as a container; Apache Camel handles any non-FHIR integration edges; PostgreSQL backs the FHIR store.</w:t>
      </w:r>
    </w:p>
    <w:p>
      <w:pPr>
        <w:pStyle w:val="Heading2"/>
      </w:pPr>
      <w:r>
        <w:t xml:space="preserve">10.3 Deployment on Kubernetes</w:t>
      </w:r>
    </w:p>
    <w:p>
      <w:pPr>
        <w:spacing w:after="120" w:before="0" w:line="276"/>
      </w:pPr>
      <w:r>
        <w:rPr>
          <w:b w:val="false"/>
          <w:bCs w:val="false"/>
          <w:i w:val="false"/>
          <w:iCs w:val="false"/>
        </w:rPr>
        <w:t xml:space="preserve">Harper deploys as a set of containerized microservices onto Kubernetes. Each component ships as an OCI image and runs as a Deployment behind a Service; an Ingress (or Gateway API) exposes the SMART apps and the CDS Hooks endpoint; ConfigMaps and Secrets hold configuration and credentials; PostgreSQL (a StatefulSet or a managed database) backs the FHIR server; and a HorizontalPodAutoscaler scales the stateless decision service to ED peaks. The stack is packaged and installed with Helm (or Kustomize). Kogito services build on Quarkus for fast startup and a small memory footprint, which suits Kubernetes and small edge nodes alike.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2150"/>
        <w:gridCol w:w="2760"/>
        <w:gridCol w:w="2000"/>
      </w:tblGrid>
      <w:tr>
        <w:trPr>
          <w:tblHeader/>
        </w:trPr>
        <w:tc>
          <w:tcPr>
            <w:tcW w:type="dxa" w:w="245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Component</w:t>
            </w:r>
          </w:p>
        </w:tc>
        <w:tc>
          <w:tcPr>
            <w:tcW w:type="dxa" w:w="215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Container image</w:t>
            </w:r>
          </w:p>
        </w:tc>
        <w:tc>
          <w:tcPr>
            <w:tcW w:type="dxa" w:w="27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Kubernetes workload</w:t>
            </w:r>
          </w:p>
        </w:tc>
        <w:tc>
          <w:tcPr>
            <w:tcW w:type="dxa" w:w="20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Notes</w:t>
            </w:r>
          </w:p>
        </w:tc>
      </w:tr>
      <w:tr>
        <w:tc>
          <w:tcPr>
            <w:tcW w:type="dxa" w:w="24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Process &amp; decision service</w:t>
            </w:r>
          </w:p>
        </w:tc>
        <w:tc>
          <w:tcPr>
            <w:tcW w:type="dxa" w:w="21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Kogito on Quarkus</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Deployment + Service; HPA</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Stateless; runs BPMN/DMN; serves CDS Hooks</w:t>
            </w:r>
          </w:p>
        </w:tc>
      </w:tr>
      <w:tr>
        <w:tc>
          <w:tcPr>
            <w:tcW w:type="dxa" w:w="24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FHIR data platform</w:t>
            </w:r>
          </w:p>
        </w:tc>
        <w:tc>
          <w:tcPr>
            <w:tcW w:type="dxa" w:w="21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HAPI FHIR</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Deployment + Service</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Backed by PostgreSQL; US Core profiles</w:t>
            </w:r>
          </w:p>
        </w:tc>
      </w:tr>
      <w:tr>
        <w:tc>
          <w:tcPr>
            <w:tcW w:type="dxa" w:w="24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 database</w:t>
            </w:r>
          </w:p>
        </w:tc>
        <w:tc>
          <w:tcPr>
            <w:tcW w:type="dxa" w:w="21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PostgreSQL</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StatefulSet + PVC (or managed)</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Encrypted at rest; backups</w:t>
            </w:r>
          </w:p>
        </w:tc>
      </w:tr>
      <w:tr>
        <w:tc>
          <w:tcPr>
            <w:tcW w:type="dxa" w:w="24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Screening app</w:t>
            </w:r>
          </w:p>
        </w:tc>
        <w:tc>
          <w:tcPr>
            <w:tcW w:type="dxa" w:w="21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SMART on FHIR app</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Deployment + Service + Ingress</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Renders the SDC questionnaire</w:t>
            </w:r>
          </w:p>
        </w:tc>
      </w:tr>
      <w:tr>
        <w:tc>
          <w:tcPr>
            <w:tcW w:type="dxa" w:w="24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Social-worker worklist app</w:t>
            </w:r>
          </w:p>
        </w:tc>
        <w:tc>
          <w:tcPr>
            <w:tcW w:type="dxa" w:w="21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SMART on FHIR app</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Deployment + Service + Ingress</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Subscribes to referral Tasks</w:t>
            </w:r>
          </w:p>
        </w:tc>
      </w:tr>
      <w:tr>
        <w:tc>
          <w:tcPr>
            <w:tcW w:type="dxa" w:w="24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Terminology service</w:t>
            </w:r>
          </w:p>
        </w:tc>
        <w:tc>
          <w:tcPr>
            <w:tcW w:type="dxa" w:w="21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HAPI terminology / Snowstorm</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Deployment + Service</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ICD-10-CM, LOINC, SNOMED CT</w:t>
            </w:r>
          </w:p>
        </w:tc>
      </w:tr>
      <w:tr>
        <w:tc>
          <w:tcPr>
            <w:tcW w:type="dxa" w:w="24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Config &amp; secrets</w:t>
            </w:r>
          </w:p>
        </w:tc>
        <w:tc>
          <w:tcPr>
            <w:tcW w:type="dxa" w:w="21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w:t>
            </w:r>
          </w:p>
        </w:tc>
        <w:tc>
          <w:tcPr>
            <w:tcW w:type="dxa" w:w="2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ConfigMap / Secret</w:t>
            </w:r>
          </w:p>
        </w:tc>
        <w:tc>
          <w:tcPr>
            <w:tcW w:type="dxa" w:w="20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Thresholds, routing, OAuth credentials</w:t>
            </w:r>
          </w:p>
        </w:tc>
      </w:tr>
      <w:tr>
        <w:tc>
          <w:tcPr>
            <w:tcW w:type="dxa" w:w="24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Ingress / TLS</w:t>
            </w:r>
          </w:p>
        </w:tc>
        <w:tc>
          <w:tcPr>
            <w:tcW w:type="dxa" w:w="21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Ingress controller / Gateway</w:t>
            </w:r>
          </w:p>
        </w:tc>
        <w:tc>
          <w:tcPr>
            <w:tcW w:type="dxa" w:w="2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Ingress / Gateway + cert-manager</w:t>
            </w:r>
          </w:p>
        </w:tc>
        <w:tc>
          <w:tcPr>
            <w:tcW w:type="dxa" w:w="20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TLS termination; external endpoints</w:t>
            </w:r>
          </w:p>
        </w:tc>
      </w:tr>
    </w:tbl>
    <w:p>
      <w:pPr>
        <w:spacing w:after="80"/>
      </w:pPr>
    </w:p>
    <w:p>
      <w:pPr>
        <w:spacing w:after="120" w:before="0" w:line="276"/>
      </w:pPr>
      <w:r>
        <w:rPr>
          <w:b w:val="false"/>
          <w:bCs w:val="false"/>
          <w:i w:val="false"/>
          <w:iCs w:val="false"/>
        </w:rPr>
        <w:t xml:space="preserve">The same manifests run across three cluster options, so a site chooses footprint without changing the application:</w:t>
      </w:r>
    </w:p>
    <w:p>
      <w:pPr>
        <w:pStyle w:val="ListParagraph"/>
        <w:numPr>
          <w:ilvl w:val="0"/>
          <w:numId w:val="2"/>
        </w:numPr>
        <w:spacing w:after="80" w:line="276"/>
      </w:pPr>
      <w:r>
        <w:rPr>
          <w:b/>
          <w:bCs/>
        </w:rPr>
        <w:t xml:space="preserve">Managed cloud Kubernetes. </w:t>
      </w:r>
      <w:r>
        <w:t xml:space="preserve">EKS / AKS / GKE (or equivalent), integrated with the hospital EHR’s SMART / CDS endpoints.</w:t>
      </w:r>
    </w:p>
    <w:p>
      <w:pPr>
        <w:pStyle w:val="ListParagraph"/>
        <w:numPr>
          <w:ilvl w:val="0"/>
          <w:numId w:val="2"/>
        </w:numPr>
        <w:spacing w:after="80" w:line="276"/>
      </w:pPr>
      <w:r>
        <w:rPr>
          <w:b/>
          <w:bCs/>
        </w:rPr>
        <w:t xml:space="preserve">On-premises Kubernetes. </w:t>
      </w:r>
      <w:r>
        <w:t xml:space="preserve">The same cluster inside the hospital data center for institutions that keep PHI in-house.</w:t>
      </w:r>
    </w:p>
    <w:p>
      <w:pPr>
        <w:pStyle w:val="ListParagraph"/>
        <w:numPr>
          <w:ilvl w:val="0"/>
          <w:numId w:val="2"/>
        </w:numPr>
        <w:spacing w:after="80" w:line="276"/>
      </w:pPr>
      <w:r>
        <w:rPr>
          <w:b/>
          <w:bCs/>
        </w:rPr>
        <w:t xml:space="preserve">Edge / disconnected. </w:t>
      </w:r>
      <w:r>
        <w:t xml:space="preserve">A single-node Kubernetes distribution (k3s or MicroShift) with a local FHIR store and decision service for rural or low-connectivity sites; referrals and records reconcile when connectivity returns — preserving the original’s “no environmental IT boundary” ambition.</w:t>
      </w:r>
    </w:p>
    <w:p>
      <w:pPr>
        <w:pStyle w:val="Heading2"/>
      </w:pPr>
      <w:r>
        <w:t xml:space="preserve">10.4 Delivered model artifacts</w:t>
      </w:r>
    </w:p>
    <w:p>
      <w:pPr>
        <w:spacing w:after="120" w:before="0" w:line="276"/>
      </w:pPr>
      <w:r>
        <w:rPr>
          <w:b w:val="false"/>
          <w:bCs w:val="false"/>
          <w:i w:val="false"/>
          <w:iCs w:val="false"/>
        </w:rPr>
        <w:t xml:space="preserve">The following open-standard model files accompany this specification and are executable by Kogito. Together they are the concrete, license-free implementation of the workflow and decision logic described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400"/>
        <w:gridCol w:w="5410"/>
      </w:tblGrid>
      <w:tr>
        <w:trPr>
          <w:tblHeader/>
        </w:trPr>
        <w:tc>
          <w:tcPr>
            <w:tcW w:type="dxa" w:w="255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File</w:t>
            </w:r>
          </w:p>
        </w:tc>
        <w:tc>
          <w:tcPr>
            <w:tcW w:type="dxa" w:w="14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Standard</w:t>
            </w:r>
          </w:p>
        </w:tc>
        <w:tc>
          <w:tcPr>
            <w:tcW w:type="dxa" w:w="541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Contents</w:t>
            </w:r>
          </w:p>
        </w:tc>
      </w:tr>
      <w:tr>
        <w:tc>
          <w:tcPr>
            <w:tcW w:type="dxa" w:w="25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Top-level process (collaboration)</w:t>
            </w:r>
          </w:p>
        </w:tc>
        <w:tc>
          <w:tcPr>
            <w:tcW w:type="dxa" w:w="1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BPMN 2.0</w:t>
            </w:r>
          </w:p>
        </w:tc>
        <w:tc>
          <w:tcPr>
            <w:tcW w:type="dxa" w:w="541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Five pools (Outside Medical Records, Registration, Nurse, LIP, Social Worker); Registrar/Nurse/LIP are call activities invoking the sub-processes. The Practitioner pool starts on the “Referral drafted” signal (the Nurse's at-risk decision); the Social Worker pool starts on the “Suspect sex trafficking” signal.</w:t>
            </w:r>
          </w:p>
        </w:tc>
      </w:tr>
      <w:tr>
        <w:tc>
          <w:tcPr>
            <w:tcW w:type="dxa" w:w="25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Registrar sub-process</w:t>
            </w:r>
          </w:p>
        </w:tc>
        <w:tc>
          <w:tcPr>
            <w:tcW w:type="dxa" w:w="1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BPMN 2.0</w:t>
            </w:r>
          </w:p>
        </w:tc>
        <w:tc>
          <w:tcPr>
            <w:tcW w:type="dxa" w:w="541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Registration → triage → data collection → chief complaint → request/receive outside records → write to EHR.</w:t>
            </w:r>
          </w:p>
        </w:tc>
      </w:tr>
      <w:tr>
        <w:tc>
          <w:tcPr>
            <w:tcW w:type="dxa" w:w="25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Nurse sub-process</w:t>
            </w:r>
          </w:p>
        </w:tc>
        <w:tc>
          <w:tcPr>
            <w:tcW w:type="dxa" w:w="1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BPMN 2.0</w:t>
            </w:r>
          </w:p>
        </w:tc>
        <w:tc>
          <w:tcPr>
            <w:tcW w:type="dxa" w:w="541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Triage data → ED Prescreen (DMN) → Screen? → Greenbaum (DMN) → At risk? → Draft referral → throws the “Referral drafted” signal (starts the Practitioner); executable, with gateway conditions.</w:t>
            </w:r>
          </w:p>
        </w:tc>
      </w:tr>
      <w:tr>
        <w:tc>
          <w:tcPr>
            <w:tcW w:type="dxa" w:w="25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Practitioner sub-process</w:t>
            </w:r>
          </w:p>
        </w:tc>
        <w:tc>
          <w:tcPr>
            <w:tcW w:type="dxa" w:w="1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BPMN 2.0</w:t>
            </w:r>
          </w:p>
        </w:tc>
        <w:tc>
          <w:tcPr>
            <w:tcW w:type="dxa" w:w="541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Starts on “Referral drafted” → Collect data → Alarm Signs (DMN) → exam → Refer? → Finalize referral → throws the single “Suspect sex trafficking” signal → diagnosis, care, discharge; executable.</w:t>
            </w:r>
          </w:p>
        </w:tc>
      </w:tr>
      <w:tr>
        <w:tc>
          <w:tcPr>
            <w:tcW w:type="dxa" w:w="25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ED Prescreen</w:t>
            </w:r>
          </w:p>
        </w:tc>
        <w:tc>
          <w:tcPr>
            <w:tcW w:type="dxa" w:w="1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DMN 1.3</w:t>
            </w:r>
          </w:p>
        </w:tc>
        <w:tc>
          <w:tcPr>
            <w:tcW w:type="dxa" w:w="541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Decision table: should the patient be screened? (standing order, high-risk complaint, age 13–17).</w:t>
            </w:r>
          </w:p>
        </w:tc>
      </w:tr>
      <w:tr>
        <w:tc>
          <w:tcPr>
            <w:tcW w:type="dxa" w:w="255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Greenbaum Screen</w:t>
            </w:r>
          </w:p>
        </w:tc>
        <w:tc>
          <w:tcPr>
            <w:tcW w:type="dxa" w:w="14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DMN 1.3</w:t>
            </w:r>
          </w:p>
        </w:tc>
        <w:tc>
          <w:tcPr>
            <w:tcW w:type="dxa" w:w="541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Literal expression: at risk when ≥ 2 of the six items are positive.</w:t>
            </w:r>
          </w:p>
        </w:tc>
      </w:tr>
      <w:tr>
        <w:tc>
          <w:tcPr>
            <w:tcW w:type="dxa" w:w="255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Alarm Signs</w:t>
            </w:r>
          </w:p>
        </w:tc>
        <w:tc>
          <w:tcPr>
            <w:tcW w:type="dxa" w:w="14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DMN 1.3</w:t>
            </w:r>
          </w:p>
        </w:tc>
        <w:tc>
          <w:tcPr>
            <w:tcW w:type="dxa" w:w="541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Counts alarm signs and flags suspicious findings at a configurable threshold.</w:t>
            </w:r>
          </w:p>
        </w:tc>
      </w:tr>
    </w:tbl>
    <w:p>
      <w:pPr>
        <w:spacing w:after="60"/>
      </w:pPr>
    </w:p>
    <w:p>
      <w:pPr>
        <w:spacing w:after="120" w:before="0" w:line="276"/>
      </w:pPr>
      <w:r>
        <w:rPr>
          <w:b w:val="false"/>
          <w:bCs w:val="false"/>
          <w:i/>
          <w:iCs/>
        </w:rPr>
        <w:t xml:space="preserve">Kogito loads the BPMN and DMN together; each business-rule task binds to its DMN decision (implementation “http://www.jboss.org/drools/dmn”, referencing the decision’s namespace, model, and name), decision outputs drive the gateways, and two signals link the pools — the Nurse's “Referral drafted” signal starts the Practitioner, and the Practitioner's “Suspect sex trafficking” signal starts the Social Worker. Flowable or Operaton can run the same files if a site prefers a different open engine.</w:t>
      </w:r>
    </w:p>
    <w:p>
      <w:pPr>
        <w:pStyle w:val="Heading1"/>
      </w:pPr>
      <w: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Category</w:t>
            </w:r>
          </w:p>
        </w:tc>
        <w:tc>
          <w:tcPr>
            <w:tcW w:type="dxa" w:w="70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Requirement</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Security</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OAuth2 / SMART scopes minimally necessary; encryption in transit and at rest; role-based access; hardened container images; CDS services pre-registered with the authorization server.</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Privacy &amp; confidentiality</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HIPAA compliance; special handling for minor confidentiality and 42 CFR Part 2 (substance-use content); data minimization; no trafficking content visible to bystanders.</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Performance / latency</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Eligibility evaluation and card return fast enough to be non-interruptive (target sub-second to ~2s at the point of care); screen scoring within seconds of submission.</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Availability</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Kubernetes health probes, rolling updates, and multi-replica services; screening degrades gracefully and stays operable at edge sites without cloud connectivity.</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Scalability</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Handle peak ED volumes; stateless Kogito / CDS services scale horizontally via HorizontalPodAutoscaler on Kubernetes.</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Portability</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Runs unchanged on any conformant Kubernetes — managed cloud, on-prem, or single-node edge; no proprietary runtime dependency.</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Interoperability / conformance</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Passes FHIR and US Core validation; CDS Hooks and SMART conformance; logic expressed as portable CQL/DMN.</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Usability / accessibility</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Trauma-informed UI; English and Spanish; usable on a clinical tablet; minimal added clicks for the nurse.</w:t>
            </w:r>
          </w:p>
        </w:tc>
      </w:tr>
      <w:tr>
        <w:tc>
          <w:tcPr>
            <w:tcW w:type="dxa" w:w="23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Safety</w:t>
            </w:r>
          </w:p>
        </w:tc>
        <w:tc>
          <w:tcPr>
            <w:tcW w:type="dxa" w:w="70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Human-in-the-loop for all consequential actions; deterministic, explainable screening decision; no automated law-enforcement notification.</w:t>
            </w:r>
          </w:p>
        </w:tc>
      </w:tr>
      <w:tr>
        <w:tc>
          <w:tcPr>
            <w:tcW w:type="dxa" w:w="23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Maintainability</w:t>
            </w:r>
          </w:p>
        </w:tc>
        <w:tc>
          <w:tcPr>
            <w:tcW w:type="dxa" w:w="70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Versioned decision artifacts; configuration over code; observability and quality dashboards.</w:t>
            </w:r>
          </w:p>
        </w:tc>
      </w:tr>
    </w:tbl>
    <w:p>
      <w:pPr>
        <w:pStyle w:val="Heading1"/>
      </w:pPr>
      <w:r>
        <w:t xml:space="preserve">12. Privacy, Ethics, Legal, and Governance</w:t>
      </w:r>
    </w:p>
    <w:p>
      <w:pPr>
        <w:spacing w:after="120" w:before="0" w:line="276"/>
      </w:pPr>
      <w:r>
        <w:rPr>
          <w:b w:val="false"/>
          <w:bCs w:val="false"/>
          <w:i w:val="false"/>
          <w:iCs w:val="false"/>
        </w:rPr>
        <w:t xml:space="preserve">Because Harper screens minors and can trigger a referral, its non-technical requirements are as important as its technical ones.</w:t>
      </w:r>
    </w:p>
    <w:p>
      <w:pPr>
        <w:pStyle w:val="ListParagraph"/>
        <w:numPr>
          <w:ilvl w:val="0"/>
          <w:numId w:val="2"/>
        </w:numPr>
        <w:spacing w:after="80" w:line="276"/>
      </w:pPr>
      <w:r>
        <w:rPr>
          <w:b/>
          <w:bCs/>
        </w:rPr>
        <w:t xml:space="preserve">Trauma-informed and victim-centered. </w:t>
      </w:r>
      <w:r>
        <w:t xml:space="preserve">Screening is private, confidential, and respectful; it is deferred if the patient cannot be seen alone, and content is never exposed to an accompanying person.</w:t>
      </w:r>
    </w:p>
    <w:p>
      <w:pPr>
        <w:pStyle w:val="ListParagraph"/>
        <w:numPr>
          <w:ilvl w:val="0"/>
          <w:numId w:val="2"/>
        </w:numPr>
        <w:spacing w:after="80" w:line="276"/>
      </w:pPr>
      <w:r>
        <w:rPr>
          <w:b/>
          <w:bCs/>
        </w:rPr>
        <w:t xml:space="preserve">Human-in-the-loop escalation. </w:t>
      </w:r>
      <w:r>
        <w:t xml:space="preserve">The system drafts referrals and surfaces context; people decide. A referral is created as a draft proposal and does not route to social work until a Licensed Independent Practitioner finalizes it. External notification, including any contact with law enforcement, is a separate governed, human-initiated action aligned with federal, state, and local policy — automation complements existing safeguards rather than replacing them.</w:t>
      </w:r>
    </w:p>
    <w:p>
      <w:pPr>
        <w:pStyle w:val="ListParagraph"/>
        <w:numPr>
          <w:ilvl w:val="0"/>
          <w:numId w:val="2"/>
        </w:numPr>
        <w:spacing w:after="80" w:line="276"/>
      </w:pPr>
      <w:r>
        <w:rPr>
          <w:b/>
          <w:bCs/>
        </w:rPr>
        <w:t xml:space="preserve">Mandatory reporting. </w:t>
      </w:r>
      <w:r>
        <w:t xml:space="preserve">Screening of minors intersects with state child-abuse reporting obligations; the system supports, but does not automate, the clinician’s legal duty, and configuration must reflect local law.</w:t>
      </w:r>
    </w:p>
    <w:p>
      <w:pPr>
        <w:pStyle w:val="ListParagraph"/>
        <w:numPr>
          <w:ilvl w:val="0"/>
          <w:numId w:val="2"/>
        </w:numPr>
        <w:spacing w:after="80" w:line="276"/>
      </w:pPr>
      <w:r>
        <w:rPr>
          <w:b/>
          <w:bCs/>
        </w:rPr>
        <w:t xml:space="preserve">Confidentiality constraints. </w:t>
      </w:r>
      <w:r>
        <w:t xml:space="preserve">Adolescent-confidentiality rules and 42 CFR Part 2 (the screen asks about substance use) shape who can see what; access to Flags and screen content is role-restricted.</w:t>
      </w:r>
    </w:p>
    <w:p>
      <w:pPr>
        <w:pStyle w:val="ListParagraph"/>
        <w:numPr>
          <w:ilvl w:val="0"/>
          <w:numId w:val="2"/>
        </w:numPr>
        <w:spacing w:after="80" w:line="276"/>
      </w:pPr>
      <w:r>
        <w:rPr>
          <w:b/>
          <w:bCs/>
        </w:rPr>
        <w:t xml:space="preserve">Equity and bias. </w:t>
      </w:r>
      <w:r>
        <w:t xml:space="preserve">Screening is triggered by clinical criteria (age band, chief complaint), not by demographics or appearance. Any ML triage aid is monitored for disparate impact; the deterministic screen remains the decision of record.</w:t>
      </w:r>
    </w:p>
    <w:p>
      <w:pPr>
        <w:pStyle w:val="ListParagraph"/>
        <w:numPr>
          <w:ilvl w:val="0"/>
          <w:numId w:val="2"/>
        </w:numPr>
        <w:spacing w:after="80" w:line="276"/>
      </w:pPr>
      <w:r>
        <w:rPr>
          <w:b/>
          <w:bCs/>
        </w:rPr>
        <w:t xml:space="preserve">Auditability. </w:t>
      </w:r>
      <w:r>
        <w:t xml:space="preserve">Provenance and AuditEvent make every automated action and access reconstructable, supporting oversight and quality review.</w:t>
      </w:r>
    </w:p>
    <w:p>
      <w:pPr>
        <w:pStyle w:val="ListParagraph"/>
        <w:numPr>
          <w:ilvl w:val="0"/>
          <w:numId w:val="2"/>
        </w:numPr>
        <w:spacing w:after="80" w:line="276"/>
      </w:pPr>
      <w:r>
        <w:rPr>
          <w:b/>
          <w:bCs/>
        </w:rPr>
        <w:t xml:space="preserve">QI vs. research. </w:t>
      </w:r>
      <w:r>
        <w:t xml:space="preserve">Deployments should clarify whether local evaluation constitutes quality improvement or human-subjects research, and engage the IRB accordingly.</w:t>
      </w:r>
    </w:p>
    <w:p>
      <w:pPr>
        <w:pStyle w:val="Heading1"/>
      </w:pPr>
      <w:r>
        <w:t xml:space="preserve">13. Success Metrics and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tblHeader/>
        </w:trPr>
        <w:tc>
          <w:tcPr>
            <w:tcW w:type="dxa" w:w="21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Metric</w:t>
            </w:r>
          </w:p>
        </w:tc>
        <w:tc>
          <w:tcPr>
            <w:tcW w:type="dxa" w:w="41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Definition</w:t>
            </w:r>
          </w:p>
        </w:tc>
        <w:tc>
          <w:tcPr>
            <w:tcW w:type="dxa" w:w="31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Why it matters</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Screening coverage</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 of eligible adolescents actually screened</w:t>
            </w:r>
          </w:p>
        </w:tc>
        <w:tc>
          <w:tcPr>
            <w:tcW w:type="dxa" w:w="3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Primary adoption signal vs. the ~1% baseline</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 completion time</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Median time to complete the SSCST</w:t>
            </w:r>
          </w:p>
        </w:tc>
        <w:tc>
          <w:tcPr>
            <w:tcW w:type="dxa" w:w="3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Feasibility in a busy ED</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Positive-screen rate</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 of screens meeting the ≥ 2 threshold</w:t>
            </w:r>
          </w:p>
        </w:tc>
        <w:tc>
          <w:tcPr>
            <w:tcW w:type="dxa" w:w="3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Calibration and case-finding yield</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Time to referral</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Interval from positive screen to social-work Task</w:t>
            </w:r>
          </w:p>
        </w:tc>
        <w:tc>
          <w:tcPr>
            <w:tcW w:type="dxa" w:w="3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Real-time intervention (target: seconds)</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Referral follow-through</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 of referrals reaching social-work disposition</w:t>
            </w:r>
          </w:p>
        </w:tc>
        <w:tc>
          <w:tcPr>
            <w:tcW w:type="dxa" w:w="3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Whether detection connects to help</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False-positive review burden</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Positives not confirmed on assessment</w:t>
            </w:r>
          </w:p>
        </w:tc>
        <w:tc>
          <w:tcPr>
            <w:tcW w:type="dxa" w:w="3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Operational load; PPV in practice (validation PPV ≈ 51%)</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Sustained performance</w:t>
            </w:r>
          </w:p>
        </w:tc>
        <w:tc>
          <w:tcPr>
            <w:tcW w:type="dxa" w:w="41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Sensitivity / specificity in production</w:t>
            </w:r>
          </w:p>
        </w:tc>
        <w:tc>
          <w:tcPr>
            <w:tcW w:type="dxa" w:w="3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Guards against drift from the validated profile</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Provider experience</w:t>
            </w:r>
          </w:p>
        </w:tc>
        <w:tc>
          <w:tcPr>
            <w:tcW w:type="dxa" w:w="41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Card dismissal reasons, override rates</w:t>
            </w:r>
          </w:p>
        </w:tc>
        <w:tc>
          <w:tcPr>
            <w:tcW w:type="dxa" w:w="3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Non-interruptiveness and trust</w:t>
            </w:r>
          </w:p>
        </w:tc>
      </w:tr>
    </w:tbl>
    <w:p>
      <w:pPr>
        <w:pStyle w:val="Heading1"/>
      </w:pPr>
      <w:r>
        <w:t xml:space="preserve">14. Extensibility and Roadmap</w:t>
      </w:r>
    </w:p>
    <w:p>
      <w:pPr>
        <w:pStyle w:val="ListParagraph"/>
        <w:numPr>
          <w:ilvl w:val="0"/>
          <w:numId w:val="2"/>
        </w:numPr>
        <w:spacing w:after="80" w:line="276"/>
      </w:pPr>
      <w:r>
        <w:rPr>
          <w:b/>
          <w:bCs/>
        </w:rPr>
        <w:t xml:space="preserve">Adult and labor trafficking. </w:t>
      </w:r>
      <w:r>
        <w:t xml:space="preserve">Add the RAFT tool (validated for adult ED patients) and labor-trafficking indicators as additional Questionnaires and decision tables.</w:t>
      </w:r>
    </w:p>
    <w:p>
      <w:pPr>
        <w:pStyle w:val="ListParagraph"/>
        <w:numPr>
          <w:ilvl w:val="0"/>
          <w:numId w:val="2"/>
        </w:numPr>
        <w:spacing w:after="80" w:line="276"/>
      </w:pPr>
      <w:r>
        <w:rPr>
          <w:b/>
          <w:bCs/>
        </w:rPr>
        <w:t xml:space="preserve">Other settings. </w:t>
      </w:r>
      <w:r>
        <w:t xml:space="preserve">The same pattern extends to EMS and skilled-nursing facilities, where elder abuse is often reported.</w:t>
      </w:r>
    </w:p>
    <w:p>
      <w:pPr>
        <w:pStyle w:val="ListParagraph"/>
        <w:numPr>
          <w:ilvl w:val="0"/>
          <w:numId w:val="2"/>
        </w:numPr>
        <w:spacing w:after="80" w:line="276"/>
      </w:pPr>
      <w:r>
        <w:rPr>
          <w:b/>
          <w:bCs/>
        </w:rPr>
        <w:t xml:space="preserve">Explainable ML triage. </w:t>
      </w:r>
      <w:r>
        <w:t xml:space="preserve">Introduce, evaluate, and monitor an advisory model to improve which encounters are prompted — governed by the safeguards in §8.3 and §12.</w:t>
      </w:r>
    </w:p>
    <w:p>
      <w:pPr>
        <w:pStyle w:val="ListParagraph"/>
        <w:numPr>
          <w:ilvl w:val="0"/>
          <w:numId w:val="2"/>
        </w:numPr>
        <w:spacing w:after="80" w:line="276"/>
      </w:pPr>
      <w:r>
        <w:rPr>
          <w:b/>
          <w:bCs/>
        </w:rPr>
        <w:t xml:space="preserve">HIE and registries. </w:t>
      </w:r>
      <w:r>
        <w:t xml:space="preserve">Consult external records at registration and, with governance, contribute de-identified quality metrics.</w:t>
      </w:r>
    </w:p>
    <w:p>
      <w:pPr>
        <w:pStyle w:val="ListParagraph"/>
        <w:numPr>
          <w:ilvl w:val="0"/>
          <w:numId w:val="2"/>
        </w:numPr>
        <w:spacing w:after="80" w:line="276"/>
      </w:pPr>
      <w:r>
        <w:rPr>
          <w:b/>
          <w:bCs/>
        </w:rPr>
        <w:t xml:space="preserve">R6 alignment. </w:t>
      </w:r>
      <w:r>
        <w:t xml:space="preserve">Track US Core’s move to FHIR R6 and migrate profiles when the ecosystem is ready.</w:t>
      </w:r>
    </w:p>
    <w:p>
      <w:pPr>
        <w:pStyle w:val="Heading1"/>
      </w:pPr>
      <w:r>
        <w:t xml:space="preserve">15. Assumptions, Dependencies, Risks, and Open Questions</w:t>
      </w:r>
    </w:p>
    <w:p>
      <w:pPr>
        <w:pStyle w:val="Heading2"/>
      </w:pPr>
      <w:r>
        <w:t xml:space="preserve">15.1 Assumptions &amp; dependencies</w:t>
      </w:r>
    </w:p>
    <w:p>
      <w:pPr>
        <w:pStyle w:val="ListParagraph"/>
        <w:numPr>
          <w:ilvl w:val="0"/>
          <w:numId w:val="2"/>
        </w:numPr>
        <w:spacing w:after="80" w:line="276"/>
      </w:pPr>
      <w:r>
        <w:t xml:space="preserve">The host EHR exposes US Core FHIR, SMART on FHIR launch, and CDS Hooks (true of major commercial EHRs).</w:t>
      </w:r>
    </w:p>
    <w:p>
      <w:pPr>
        <w:pStyle w:val="ListParagraph"/>
        <w:numPr>
          <w:ilvl w:val="0"/>
          <w:numId w:val="2"/>
        </w:numPr>
        <w:spacing w:after="80" w:line="276"/>
      </w:pPr>
      <w:r>
        <w:t xml:space="preserve">The institution has a social-work / case-management function to receive referrals.</w:t>
      </w:r>
    </w:p>
    <w:p>
      <w:pPr>
        <w:pStyle w:val="ListParagraph"/>
        <w:numPr>
          <w:ilvl w:val="0"/>
          <w:numId w:val="2"/>
        </w:numPr>
        <w:spacing w:after="80" w:line="276"/>
      </w:pPr>
      <w:r>
        <w:t xml:space="preserve">A trauma-informed screening policy and staff training exist alongside the software.</w:t>
      </w:r>
    </w:p>
    <w:p>
      <w:pPr>
        <w:pStyle w:val="ListParagraph"/>
        <w:numPr>
          <w:ilvl w:val="0"/>
          <w:numId w:val="2"/>
        </w:numPr>
        <w:spacing w:after="80" w:line="276"/>
      </w:pPr>
      <w:r>
        <w:t xml:space="preserve">Terminology access (SNOMED CT via UMLS) is provisioned.</w:t>
      </w:r>
    </w:p>
    <w:p>
      <w:pPr>
        <w:pStyle w:val="ListParagraph"/>
        <w:numPr>
          <w:ilvl w:val="0"/>
          <w:numId w:val="2"/>
        </w:numPr>
        <w:spacing w:after="80" w:line="276"/>
      </w:pPr>
      <w:r>
        <w:t xml:space="preserve">The 2022 BPMN/DMN models have been reconstructed as open BPMN 2.0 and DMN 1.3 files and wired to Kogito (KIE); they are delivered with this spec (see §10.4).</w:t>
      </w:r>
    </w:p>
    <w:p>
      <w:pPr>
        <w:pStyle w:val="Heading2"/>
      </w:pPr>
      <w:r>
        <w:t xml:space="preserve">15.2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Risk</w:t>
            </w:r>
          </w:p>
        </w:tc>
        <w:tc>
          <w:tcPr>
            <w:tcW w:type="dxa" w:w="57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Mitigation</w:t>
            </w:r>
          </w:p>
        </w:tc>
      </w:tr>
      <w:tr>
        <w:tc>
          <w:tcPr>
            <w:tcW w:type="dxa" w:w="36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Alert fatigue from prompts</w:t>
            </w:r>
          </w:p>
        </w:tc>
        <w:tc>
          <w:tcPr>
            <w:tcW w:type="dxa" w:w="5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Tight eligibility rules; non-interruptive, dismissible cards; monitor dismissal metrics.</w:t>
            </w:r>
          </w:p>
        </w:tc>
      </w:tr>
      <w:tr>
        <w:tc>
          <w:tcPr>
            <w:tcW w:type="dxa" w:w="36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False positives burden social work</w:t>
            </w:r>
          </w:p>
        </w:tc>
        <w:tc>
          <w:tcPr>
            <w:tcW w:type="dxa" w:w="5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High-NPV screen used for case-finding, not accusation; human confirmation; PPV tracked.</w:t>
            </w:r>
          </w:p>
        </w:tc>
      </w:tr>
      <w:tr>
        <w:tc>
          <w:tcPr>
            <w:tcW w:type="dxa" w:w="36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Privacy exposure of sensitive findings</w:t>
            </w:r>
          </w:p>
        </w:tc>
        <w:tc>
          <w:tcPr>
            <w:tcW w:type="dxa" w:w="5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Role-based access, bystander-safe UI, 42 CFR Part 2 handling, audit.</w:t>
            </w:r>
          </w:p>
        </w:tc>
      </w:tr>
      <w:tr>
        <w:tc>
          <w:tcPr>
            <w:tcW w:type="dxa" w:w="36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EHR integration variability</w:t>
            </w:r>
          </w:p>
        </w:tc>
        <w:tc>
          <w:tcPr>
            <w:tcW w:type="dxa" w:w="5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Rely only on standard SMART/CDS Hooks/US Core; avoid proprietary hooks.</w:t>
            </w:r>
          </w:p>
        </w:tc>
      </w:tr>
      <w:tr>
        <w:tc>
          <w:tcPr>
            <w:tcW w:type="dxa" w:w="36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Over-reliance on automation</w:t>
            </w:r>
          </w:p>
        </w:tc>
        <w:tc>
          <w:tcPr>
            <w:tcW w:type="dxa" w:w="57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Human-in-the-loop mandated; deterministic, explainable decision; no automated escalation.</w:t>
            </w:r>
          </w:p>
        </w:tc>
      </w:tr>
      <w:tr>
        <w:tc>
          <w:tcPr>
            <w:tcW w:type="dxa" w:w="36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Screen used outside validated population</w:t>
            </w:r>
          </w:p>
        </w:tc>
        <w:tc>
          <w:tcPr>
            <w:tcW w:type="dxa" w:w="57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Configurable age band and chief-complaint gating; document local validation.</w:t>
            </w:r>
          </w:p>
        </w:tc>
      </w:tr>
    </w:tbl>
    <w:p>
      <w:pPr>
        <w:pStyle w:val="Heading2"/>
      </w:pPr>
      <w:r>
        <w:t xml:space="preserve">15.3 Open questions</w:t>
      </w:r>
    </w:p>
    <w:p>
      <w:pPr>
        <w:pStyle w:val="ListParagraph"/>
        <w:numPr>
          <w:ilvl w:val="0"/>
          <w:numId w:val="2"/>
        </w:numPr>
        <w:spacing w:after="80" w:line="276"/>
      </w:pPr>
      <w:r>
        <w:t xml:space="preserve">Which reference EHR(s) to target first for the prototype (Epic, Oracle Health, or an open EHR such as OpenMRS)?</w:t>
      </w:r>
    </w:p>
    <w:p>
      <w:pPr>
        <w:pStyle w:val="ListParagraph"/>
        <w:numPr>
          <w:ilvl w:val="0"/>
          <w:numId w:val="2"/>
        </w:numPr>
        <w:spacing w:after="80" w:line="276"/>
      </w:pPr>
      <w:r>
        <w:t xml:space="preserve">Kogito DMN invocation style for the first build — bare decision (current) vs. an exposed DMN Decision Service — and the concrete process data model / typing.</w:t>
      </w:r>
    </w:p>
    <w:p>
      <w:pPr>
        <w:pStyle w:val="ListParagraph"/>
        <w:numPr>
          <w:ilvl w:val="0"/>
          <w:numId w:val="2"/>
        </w:numPr>
        <w:spacing w:after="80" w:line="276"/>
      </w:pPr>
      <w:r>
        <w:t xml:space="preserve">Consent model specifics per target jurisdiction and institutional policy?</w:t>
      </w:r>
    </w:p>
    <w:p>
      <w:pPr>
        <w:pStyle w:val="ListParagraph"/>
        <w:numPr>
          <w:ilvl w:val="0"/>
          <w:numId w:val="2"/>
        </w:numPr>
        <w:spacing w:after="80" w:line="276"/>
      </w:pPr>
      <w:r>
        <w:t xml:space="preserve">Scope and governance of the optional ML triage aid for a first release?</w:t>
      </w:r>
    </w:p>
    <w:p>
      <w:pPr>
        <w:pStyle w:val="Heading1"/>
      </w:pPr>
      <w: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Term</w:t>
            </w:r>
          </w:p>
        </w:tc>
        <w:tc>
          <w:tcPr>
            <w:tcW w:type="dxa" w:w="7260"/>
            <w:tcBorders>
              <w:top w:val="single" w:color="BFC9D4" w:sz="1"/>
              <w:left w:val="single" w:color="BFC9D4" w:sz="1"/>
              <w:bottom w:val="single" w:color="BFC9D4" w:sz="1"/>
              <w:right w:val="single" w:color="BFC9D4" w:sz="1"/>
            </w:tcBorders>
            <w:shd w:fill="1F4E79" w:val="clear"/>
            <w:tcMar>
              <w:top w:type="dxa" w:w="60"/>
              <w:left w:type="dxa" w:w="110"/>
              <w:bottom w:type="dxa" w:w="60"/>
              <w:right w:type="dxa" w:w="110"/>
            </w:tcMar>
            <w:vAlign w:val="center"/>
          </w:tcPr>
          <w:p>
            <w:r>
              <w:rPr>
                <w:b/>
                <w:bCs/>
                <w:color w:val="FFFFFF"/>
                <w:sz w:val="19"/>
                <w:szCs w:val="19"/>
              </w:rPr>
              <w:t xml:space="preserve">Definition</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BPMN / DMN</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Business Process Model and Notation / Decision Model and Notation — OMG standards for workflow and decision logic (used by BPM+ Health).</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CDS Hooks</w:t>
            </w:r>
          </w:p>
        </w:tc>
        <w:tc>
          <w:tcPr>
            <w:tcW w:type="dxa" w:w="72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HL7 standard (v2.0.1) for real-time, in-workflow clinical decision support via “cards.”</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CQL</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Clinical Quality Language — a high-level, shareable language for clinical logic and quality measures.</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ED</w:t>
            </w:r>
          </w:p>
        </w:tc>
        <w:tc>
          <w:tcPr>
            <w:tcW w:type="dxa" w:w="72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Emergency Department.</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FHIR</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Fast Healthcare Interoperability Resources — HL7’s modern interoperability standard (R4 used here).</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Kogito (KIE)</w:t>
            </w:r>
          </w:p>
        </w:tc>
        <w:tc>
          <w:tcPr>
            <w:tcW w:type="dxa" w:w="72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Open-source (Apache-2.0), cloud-native business-automation platform that executes BPMN and DMN; the engine selected for Harper.</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Kubernetes</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Open-source container-orchestration platform; Harper’s deployment target.</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Quarkus</w:t>
            </w:r>
          </w:p>
        </w:tc>
        <w:tc>
          <w:tcPr>
            <w:tcW w:type="dxa" w:w="72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Open-source Java runtime optimized for containers and Kubernetes; hosts the Kogito services.</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SDC</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Structured Data Capture — FHIR framework for forms/questionnaires.</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SMART on FHIR</w:t>
            </w:r>
          </w:p>
        </w:tc>
        <w:tc>
          <w:tcPr>
            <w:tcW w:type="dxa" w:w="72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Standard for launching and authorizing third-party clinical apps against an EHR’s FHIR API.</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SSCST</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Short Screen for Child Sex Trafficking (the “Greenbaum” screen).</w:t>
            </w:r>
          </w:p>
        </w:tc>
      </w:tr>
      <w:tr>
        <w:tc>
          <w:tcPr>
            <w:tcW w:type="dxa" w:w="210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US Core</w:t>
            </w:r>
          </w:p>
        </w:tc>
        <w:tc>
          <w:tcPr>
            <w:tcW w:type="dxa" w:w="7260"/>
            <w:tcBorders>
              <w:top w:val="single" w:color="BFC9D4" w:sz="1"/>
              <w:left w:val="single" w:color="BFC9D4" w:sz="1"/>
              <w:bottom w:val="single" w:color="BFC9D4" w:sz="1"/>
              <w:right w:val="single" w:color="BFC9D4" w:sz="1"/>
            </w:tcBorders>
            <w:shd w:fill="EEF3F9" w:val="clear"/>
            <w:tcMar>
              <w:top w:type="dxa" w:w="60"/>
              <w:left w:type="dxa" w:w="110"/>
              <w:bottom w:type="dxa" w:w="60"/>
              <w:right w:type="dxa" w:w="110"/>
            </w:tcMar>
            <w:vAlign w:val="top"/>
          </w:tcPr>
          <w:p>
            <w:pPr>
              <w:spacing w:after="20" w:line="252"/>
            </w:pPr>
            <w:r>
              <w:rPr>
                <w:b w:val="false"/>
                <w:bCs w:val="false"/>
                <w:sz w:val="19"/>
                <w:szCs w:val="19"/>
              </w:rPr>
              <w:t xml:space="preserve">The U.S. FHIR profiles implementing USCDI data elements.</w:t>
            </w:r>
          </w:p>
        </w:tc>
      </w:tr>
      <w:tr>
        <w:tc>
          <w:tcPr>
            <w:tcW w:type="dxa" w:w="210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USCDI</w:t>
            </w:r>
          </w:p>
        </w:tc>
        <w:tc>
          <w:tcPr>
            <w:tcW w:type="dxa" w:w="7260"/>
            <w:tcBorders>
              <w:top w:val="single" w:color="BFC9D4" w:sz="1"/>
              <w:left w:val="single" w:color="BFC9D4" w:sz="1"/>
              <w:bottom w:val="single" w:color="BFC9D4" w:sz="1"/>
              <w:right w:val="single" w:color="BFC9D4" w:sz="1"/>
            </w:tcBorders>
            <w:tcMar>
              <w:top w:type="dxa" w:w="60"/>
              <w:left w:type="dxa" w:w="110"/>
              <w:bottom w:type="dxa" w:w="60"/>
              <w:right w:type="dxa" w:w="110"/>
            </w:tcMar>
            <w:vAlign w:val="top"/>
          </w:tcPr>
          <w:p>
            <w:pPr>
              <w:spacing w:after="20" w:line="252"/>
            </w:pPr>
            <w:r>
              <w:rPr>
                <w:b w:val="false"/>
                <w:bCs w:val="false"/>
                <w:sz w:val="19"/>
                <w:szCs w:val="19"/>
              </w:rPr>
              <w:t xml:space="preserve">United States Core Data for Interoperability — the federal data-element floor.</w:t>
            </w:r>
          </w:p>
        </w:tc>
      </w:tr>
    </w:tbl>
    <w:p>
      <w:pPr>
        <w:pStyle w:val="Heading1"/>
      </w:pPr>
      <w:r>
        <w:t xml:space="preserve">17. References</w:t>
      </w:r>
    </w:p>
    <w:p>
      <w:pPr>
        <w:spacing w:after="60" w:before="0" w:line="276"/>
      </w:pPr>
      <w:r>
        <w:rPr>
          <w:b/>
          <w:bCs/>
          <w:i w:val="false"/>
          <w:iCs w:val="false"/>
        </w:rPr>
        <w:t xml:space="preserve">Source project materials</w:t>
      </w:r>
    </w:p>
    <w:p>
      <w:pPr>
        <w:pStyle w:val="ListParagraph"/>
        <w:numPr>
          <w:ilvl w:val="0"/>
          <w:numId w:val="2"/>
        </w:numPr>
        <w:spacing w:after="80" w:line="276"/>
      </w:pPr>
      <w:r>
        <w:t xml:space="preserve">Red Hat (sponsored), “A Global Issue, A Local Problem: Combating Child Sex Trafficking.” (Project source article featuring K. Ariano, Duke, and B. Cushing, Red Hat.)</w:t>
      </w:r>
    </w:p>
    <w:p>
      <w:pPr>
        <w:pStyle w:val="ListParagraph"/>
        <w:numPr>
          <w:ilvl w:val="0"/>
          <w:numId w:val="2"/>
        </w:numPr>
        <w:spacing w:after="80" w:line="276"/>
      </w:pPr>
      <w:r>
        <w:t xml:space="preserve">HIMSS Interoperability Showcase 2022, “Detecting Human Trafficking” use-case handout (Cerner, Red Hat, Smile CDR, Trisotech, Visible Systems).</w:t>
      </w:r>
    </w:p>
    <w:p>
      <w:pPr>
        <w:spacing w:after="60" w:before="100" w:line="276"/>
      </w:pPr>
      <w:r>
        <w:rPr>
          <w:b/>
          <w:bCs/>
          <w:i w:val="false"/>
          <w:iCs w:val="false"/>
        </w:rPr>
        <w:t xml:space="preserve">Clinical evidence &amp; coding</w:t>
      </w:r>
    </w:p>
    <w:p>
      <w:pPr>
        <w:pStyle w:val="ListParagraph"/>
        <w:numPr>
          <w:ilvl w:val="0"/>
          <w:numId w:val="2"/>
        </w:numPr>
        <w:spacing w:after="80" w:line="276"/>
      </w:pPr>
      <w:hyperlink w:history="1" r:id="rId8taucvenlc3gbyl_r8g6p">
        <w:r>
          <w:rPr>
            <w:rStyle w:val="Hyperlink"/>
          </w:rPr>
          <w:t xml:space="preserve">Kaltiso et al., Evaluation of a Screening Tool for Child Sex Trafficking… (Acad Emerg Med, 2018)</w:t>
        </w:r>
      </w:hyperlink>
    </w:p>
    <w:p>
      <w:pPr>
        <w:pStyle w:val="ListParagraph"/>
        <w:numPr>
          <w:ilvl w:val="0"/>
          <w:numId w:val="2"/>
        </w:numPr>
        <w:spacing w:after="80" w:line="276"/>
      </w:pPr>
      <w:hyperlink w:history="1" r:id="rIdek6xqxp6bqpgj7egmrubx">
        <w:r>
          <w:rPr>
            <w:rStyle w:val="Hyperlink"/>
          </w:rPr>
          <w:t xml:space="preserve">Confidential Screening for Sex Trafficking Among Minors in a Pediatric ED (Pediatrics, 2021)</w:t>
        </w:r>
      </w:hyperlink>
    </w:p>
    <w:p>
      <w:pPr>
        <w:pStyle w:val="ListParagraph"/>
        <w:numPr>
          <w:ilvl w:val="0"/>
          <w:numId w:val="2"/>
        </w:numPr>
        <w:spacing w:after="80" w:line="276"/>
      </w:pPr>
      <w:hyperlink w:history="1" r:id="rIdbmr0x-z7vgw5ajuhewgz7">
        <w:r>
          <w:rPr>
            <w:rStyle w:val="Hyperlink"/>
          </w:rPr>
          <w:t xml:space="preserve">Implementation of a CST screening tool in the ED — QI initiative (PMC)</w:t>
        </w:r>
      </w:hyperlink>
    </w:p>
    <w:p>
      <w:pPr>
        <w:pStyle w:val="ListParagraph"/>
        <w:numPr>
          <w:ilvl w:val="0"/>
          <w:numId w:val="2"/>
        </w:numPr>
        <w:spacing w:after="80" w:line="276"/>
      </w:pPr>
      <w:hyperlink w:history="1" r:id="rIdsz0w2xwqp6qyaxsoqv_h_">
        <w:r>
          <w:rPr>
            <w:rStyle w:val="Hyperlink"/>
          </w:rPr>
          <w:t xml:space="preserve">Sex trafficking screening and intervention in the ED: a scoping review (PMC)</w:t>
        </w:r>
      </w:hyperlink>
    </w:p>
    <w:p>
      <w:pPr>
        <w:pStyle w:val="ListParagraph"/>
        <w:numPr>
          <w:ilvl w:val="0"/>
          <w:numId w:val="2"/>
        </w:numPr>
        <w:spacing w:after="80" w:line="276"/>
      </w:pPr>
      <w:hyperlink w:history="1" r:id="rId9toxxngvbpoh67isiaxec">
        <w:r>
          <w:rPr>
            <w:rStyle w:val="Hyperlink"/>
          </w:rPr>
          <w:t xml:space="preserve">ICD-10-CM Z04.81 — exam/observation following forced sexual exploitation</w:t>
        </w:r>
      </w:hyperlink>
      <w:r>
        <w:rPr>
          <w:b w:val="false"/>
          <w:bCs w:val="false"/>
          <w:i w:val="false"/>
          <w:iCs w:val="false"/>
        </w:rPr>
        <w:t xml:space="preserve">  •  </w:t>
      </w:r>
      <w:hyperlink w:history="1" r:id="rId94ehwbfpd4g3s3m80aq4i">
        <w:r>
          <w:rPr>
            <w:rStyle w:val="Hyperlink"/>
          </w:rPr>
          <w:t xml:space="preserve">AHA fact sheet: ICD-10 human-trafficking codes</w:t>
        </w:r>
      </w:hyperlink>
    </w:p>
    <w:p>
      <w:pPr>
        <w:pStyle w:val="ListParagraph"/>
        <w:numPr>
          <w:ilvl w:val="0"/>
          <w:numId w:val="2"/>
        </w:numPr>
        <w:spacing w:after="80" w:line="276"/>
      </w:pPr>
      <w:hyperlink w:history="1" r:id="rIdmpyjl5wqgpzrngqftsfjm">
        <w:r>
          <w:rPr>
            <w:rStyle w:val="Hyperlink"/>
          </w:rPr>
          <w:t xml:space="preserve">HEAL Trafficking Protocol Toolkit for Healthcare Settings</w:t>
        </w:r>
      </w:hyperlink>
    </w:p>
    <w:p>
      <w:pPr>
        <w:spacing w:after="60" w:before="100" w:line="276"/>
      </w:pPr>
      <w:r>
        <w:rPr>
          <w:b/>
          <w:bCs/>
          <w:i w:val="false"/>
          <w:iCs w:val="false"/>
        </w:rPr>
        <w:t xml:space="preserve">Statistics</w:t>
      </w:r>
    </w:p>
    <w:p>
      <w:pPr>
        <w:pStyle w:val="ListParagraph"/>
        <w:numPr>
          <w:ilvl w:val="0"/>
          <w:numId w:val="2"/>
        </w:numPr>
        <w:spacing w:after="80" w:line="276"/>
      </w:pPr>
      <w:hyperlink w:history="1" r:id="rIdbcnrtinihx7xjc9dxyjpz">
        <w:r>
          <w:rPr>
            <w:rStyle w:val="Hyperlink"/>
          </w:rPr>
          <w:t xml:space="preserve">National Human Trafficking Hotline — statistics</w:t>
        </w:r>
      </w:hyperlink>
      <w:r>
        <w:rPr>
          <w:b w:val="false"/>
          <w:bCs w:val="false"/>
          <w:i w:val="false"/>
          <w:iCs w:val="false"/>
        </w:rPr>
        <w:t xml:space="preserve">  •  </w:t>
      </w:r>
      <w:hyperlink w:history="1" r:id="rIdv6jqxncwtvtszrioojxll">
        <w:r>
          <w:rPr>
            <w:rStyle w:val="Hyperlink"/>
          </w:rPr>
          <w:t xml:space="preserve">NCMEC — first look at 2025 data</w:t>
        </w:r>
      </w:hyperlink>
      <w:r>
        <w:rPr>
          <w:b w:val="false"/>
          <w:bCs w:val="false"/>
          <w:i w:val="false"/>
          <w:iCs w:val="false"/>
        </w:rPr>
        <w:t xml:space="preserve">  •  </w:t>
      </w:r>
      <w:hyperlink w:history="1" r:id="rIdmqeq-_c4ae4q16nk-ace1">
        <w:r>
          <w:rPr>
            <w:rStyle w:val="Hyperlink"/>
          </w:rPr>
          <w:t xml:space="preserve">NCMEC — 2024 in numbers</w:t>
        </w:r>
      </w:hyperlink>
    </w:p>
    <w:p>
      <w:pPr>
        <w:spacing w:after="60" w:before="100" w:line="276"/>
      </w:pPr>
      <w:r>
        <w:rPr>
          <w:b/>
          <w:bCs/>
          <w:i w:val="false"/>
          <w:iCs w:val="false"/>
        </w:rPr>
        <w:t xml:space="preserve">Standards &amp; open-source components</w:t>
      </w:r>
    </w:p>
    <w:p>
      <w:pPr>
        <w:pStyle w:val="ListParagraph"/>
        <w:numPr>
          <w:ilvl w:val="0"/>
          <w:numId w:val="2"/>
        </w:numPr>
        <w:spacing w:after="80" w:line="276"/>
      </w:pPr>
      <w:hyperlink w:history="1" r:id="rId0gnt2qpdy68zffqbc8qvp">
        <w:r>
          <w:rPr>
            <w:rStyle w:val="Hyperlink"/>
          </w:rPr>
          <w:t xml:space="preserve">CDS Hooks 2.0.1 (HL7)</w:t>
        </w:r>
      </w:hyperlink>
      <w:r>
        <w:rPr>
          <w:b w:val="false"/>
          <w:bCs w:val="false"/>
          <w:i w:val="false"/>
          <w:iCs w:val="false"/>
        </w:rPr>
        <w:t xml:space="preserve">  •  </w:t>
      </w:r>
      <w:hyperlink w:history="1" r:id="rId2vadf9vfcwzyun_rv4uwa">
        <w:r>
          <w:rPr>
            <w:rStyle w:val="Hyperlink"/>
          </w:rPr>
          <w:t xml:space="preserve">US Core Implementation Guide</w:t>
        </w:r>
      </w:hyperlink>
      <w:r>
        <w:rPr>
          <w:b w:val="false"/>
          <w:bCs w:val="false"/>
          <w:i w:val="false"/>
          <w:iCs w:val="false"/>
        </w:rPr>
        <w:t xml:space="preserve">  •  </w:t>
      </w:r>
      <w:hyperlink w:history="1" r:id="rIdrhd1xfikvsqprr2eihd_p">
        <w:r>
          <w:rPr>
            <w:rStyle w:val="Hyperlink"/>
          </w:rPr>
          <w:t xml:space="preserve">FHIR Structured Data Capture</w:t>
        </w:r>
      </w:hyperlink>
      <w:r>
        <w:rPr>
          <w:b w:val="false"/>
          <w:bCs w:val="false"/>
          <w:i w:val="false"/>
          <w:iCs w:val="false"/>
        </w:rPr>
        <w:t xml:space="preserve">  •  </w:t>
      </w:r>
      <w:hyperlink w:history="1" r:id="rIdnqxrp8_rkoxmzxd4uc5rv">
        <w:r>
          <w:rPr>
            <w:rStyle w:val="Hyperlink"/>
          </w:rPr>
          <w:t xml:space="preserve">Clinical Quality Language (HL7)</w:t>
        </w:r>
      </w:hyperlink>
    </w:p>
    <w:p>
      <w:pPr>
        <w:pStyle w:val="ListParagraph"/>
        <w:numPr>
          <w:ilvl w:val="0"/>
          <w:numId w:val="2"/>
        </w:numPr>
        <w:spacing w:after="80" w:line="276"/>
      </w:pPr>
      <w:hyperlink w:history="1" r:id="rIdjoh4csifxqubyx5zztvzm">
        <w:r>
          <w:rPr>
            <w:rStyle w:val="Hyperlink"/>
          </w:rPr>
          <w:t xml:space="preserve">HAPI FHIR</w:t>
        </w:r>
      </w:hyperlink>
      <w:r>
        <w:rPr>
          <w:b w:val="false"/>
          <w:bCs w:val="false"/>
          <w:i w:val="false"/>
          <w:iCs w:val="false"/>
        </w:rPr>
        <w:t xml:space="preserve">  •  </w:t>
      </w:r>
      <w:hyperlink w:history="1" r:id="rIdke9mm-zanylmrar4mn3qw">
        <w:r>
          <w:rPr>
            <w:rStyle w:val="Hyperlink"/>
          </w:rPr>
          <w:t xml:space="preserve">Kogito (KIE)</w:t>
        </w:r>
      </w:hyperlink>
      <w:r>
        <w:rPr>
          <w:b w:val="false"/>
          <w:bCs w:val="false"/>
          <w:i w:val="false"/>
          <w:iCs w:val="false"/>
        </w:rPr>
        <w:t xml:space="preserve">  •  </w:t>
      </w:r>
      <w:hyperlink w:history="1" r:id="rIdc9dxvbkefrxgko1xydjrv">
        <w:r>
          <w:rPr>
            <w:rStyle w:val="Hyperlink"/>
          </w:rPr>
          <w:t xml:space="preserve">Quarkus</w:t>
        </w:r>
      </w:hyperlink>
      <w:r>
        <w:rPr>
          <w:b w:val="false"/>
          <w:bCs w:val="false"/>
          <w:i w:val="false"/>
          <w:iCs w:val="false"/>
        </w:rPr>
        <w:t xml:space="preserve">  •  </w:t>
      </w:r>
      <w:hyperlink w:history="1" r:id="rIdtrb1ls0fbd9i9zzpahv-w">
        <w:r>
          <w:rPr>
            <w:rStyle w:val="Hyperlink"/>
          </w:rPr>
          <w:t xml:space="preserve">Kubernetes</w:t>
        </w:r>
      </w:hyperlink>
      <w:r>
        <w:rPr>
          <w:b w:val="false"/>
          <w:bCs w:val="false"/>
          <w:i w:val="false"/>
          <w:iCs w:val="false"/>
        </w:rPr>
        <w:t xml:space="preserve">  •  </w:t>
      </w:r>
      <w:hyperlink w:history="1" r:id="rIdj06_gyucazga9lcltgb41">
        <w:r>
          <w:rPr>
            <w:rStyle w:val="Hyperlink"/>
          </w:rPr>
          <w:t xml:space="preserve">PostgreSQL</w:t>
        </w:r>
      </w:hyperlink>
      <w:r>
        <w:rPr>
          <w:b w:val="false"/>
          <w:bCs w:val="false"/>
          <w:i w:val="false"/>
          <w:iCs w:val="false"/>
        </w:rPr>
        <w:t xml:space="preserve">  •  </w:t>
      </w:r>
      <w:hyperlink w:history="1" r:id="rId5hq-olylwyqylk5piqsk8">
        <w:r>
          <w:rPr>
            <w:rStyle w:val="Hyperlink"/>
          </w:rPr>
          <w:t xml:space="preserve">Flowable</w:t>
        </w:r>
      </w:hyperlink>
      <w:r>
        <w:rPr>
          <w:b w:val="false"/>
          <w:bCs w:val="false"/>
          <w:i w:val="false"/>
          <w:iCs w:val="false"/>
        </w:rPr>
        <w:t xml:space="preserve">  •  </w:t>
      </w:r>
      <w:hyperlink w:history="1" r:id="rIduzrlfbysk6zwlxlnxndw8">
        <w:r>
          <w:rPr>
            <w:rStyle w:val="Hyperlink"/>
          </w:rPr>
          <w:t xml:space="preserve">Operaton</w:t>
        </w:r>
      </w:hyperlink>
    </w:p>
    <w:p>
      <w:pPr>
        <w:spacing w:after="80"/>
      </w:pPr>
    </w:p>
    <w:p>
      <w:pPr>
        <w:spacing w:after="120" w:before="0" w:line="276"/>
      </w:pPr>
      <w:r>
        <w:rPr>
          <w:b w:val="false"/>
          <w:bCs w:val="false"/>
          <w:i/>
          <w:iCs/>
          <w:color w:val="595959"/>
        </w:rPr>
        <w:t xml:space="preserve">Statistics and standards versions cited reflect sources available as of July 2026 and should be re-verified at implementation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2" w:sz="4" w:space="2"/>
      </w:pBdr>
      <w:tabs>
        <w:tab w:val="right" w:pos="9360"/>
      </w:tabs>
      <w:spacing w:before="0"/>
    </w:pPr>
    <w:r>
      <w:rPr>
        <w:color w:val="595959"/>
        <w:sz w:val="16"/>
        <w:szCs w:val="16"/>
      </w:rPr>
      <w:t xml:space="preserve">Version 1.2 — Confidential</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2" w:sz="4" w:space="2"/>
      </w:pBdr>
      <w:spacing w:after="0"/>
      <w:jc w:val="right"/>
    </w:pPr>
    <w:r>
      <w:rPr>
        <w:color w:val="595959"/>
        <w:sz w:val="16"/>
        <w:szCs w:val="16"/>
      </w:rPr>
      <w:t xml:space="preserve">Project Harper — Detecting Human Trafficking in the 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FB6D4" w:sz="6" w:space="4"/>
      </w:pBd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taucvenlc3gbyl_r8g6p" Type="http://schemas.openxmlformats.org/officeDocument/2006/relationships/hyperlink" Target="https://onlinelibrary.wiley.com/doi/10.1111/acem.13497" TargetMode="External"/><Relationship Id="rIdek6xqxp6bqpgj7egmrubx" Type="http://schemas.openxmlformats.org/officeDocument/2006/relationships/hyperlink" Target="https://pmc.ncbi.nlm.nih.gov/articles/PMC7924137/" TargetMode="External"/><Relationship Id="rIdbmr0x-z7vgw5ajuhewgz7" Type="http://schemas.openxmlformats.org/officeDocument/2006/relationships/hyperlink" Target="https://pmc.ncbi.nlm.nih.gov/articles/PMC8862543/" TargetMode="External"/><Relationship Id="rIdsz0w2xwqp6qyaxsoqv_h_" Type="http://schemas.openxmlformats.org/officeDocument/2006/relationships/hyperlink" Target="https://pmc.ncbi.nlm.nih.gov/articles/PMC8760950/" TargetMode="External"/><Relationship Id="rId9toxxngvbpoh67isiaxec" Type="http://schemas.openxmlformats.org/officeDocument/2006/relationships/hyperlink" Target="https://www.icd10data.com/ICD10CM/Codes/Z00-Z99/Z00-Z13/Z04-/Z04.81" TargetMode="External"/><Relationship Id="rId94ehwbfpd4g3s3m80aq4i" Type="http://schemas.openxmlformats.org/officeDocument/2006/relationships/hyperlink" Target="https://www.aha.org/system/files/media/file/2019/04/AHA-Fact-Sheet-icd-10-code-human-trafficking.updated_1.pdf" TargetMode="External"/><Relationship Id="rIdmpyjl5wqgpzrngqftsfjm" Type="http://schemas.openxmlformats.org/officeDocument/2006/relationships/hyperlink" Target="https://www.healtrafficking.org/resources/protocol-toolkit" TargetMode="External"/><Relationship Id="rIdbcnrtinihx7xjc9dxyjpz" Type="http://schemas.openxmlformats.org/officeDocument/2006/relationships/hyperlink" Target="https://humantraffickinghotline.org/en/statistics" TargetMode="External"/><Relationship Id="rIdv6jqxncwtvtszrioojxll" Type="http://schemas.openxmlformats.org/officeDocument/2006/relationships/hyperlink" Target="https://www.missingkids.org/blog/2026/the-work-never-stops-first-look-at-ncmecs-2025-data" TargetMode="External"/><Relationship Id="rIdmqeq-_c4ae4q16nk-ace1" Type="http://schemas.openxmlformats.org/officeDocument/2006/relationships/hyperlink" Target="https://www.missingkids.org/blog/2025/ncmec-releases-new-data-2024-in-numbers" TargetMode="External"/><Relationship Id="rId0gnt2qpdy68zffqbc8qvp" Type="http://schemas.openxmlformats.org/officeDocument/2006/relationships/hyperlink" Target="https://cds-hooks.hl7.org/" TargetMode="External"/><Relationship Id="rId2vadf9vfcwzyun_rv4uwa" Type="http://schemas.openxmlformats.org/officeDocument/2006/relationships/hyperlink" Target="https://hl7.org/fhir/us/core/" TargetMode="External"/><Relationship Id="rIdrhd1xfikvsqprr2eihd_p" Type="http://schemas.openxmlformats.org/officeDocument/2006/relationships/hyperlink" Target="https://build.fhir.org/ig/HL7/sdc/en/intro.html" TargetMode="External"/><Relationship Id="rIdnqxrp8_rkoxmzxd4uc5rv" Type="http://schemas.openxmlformats.org/officeDocument/2006/relationships/hyperlink" Target="https://cql.hl7.org/" TargetMode="External"/><Relationship Id="rIdjoh4csifxqubyx5zztvzm" Type="http://schemas.openxmlformats.org/officeDocument/2006/relationships/hyperlink" Target="https://hapifhir.io/" TargetMode="External"/><Relationship Id="rIdke9mm-zanylmrar4mn3qw" Type="http://schemas.openxmlformats.org/officeDocument/2006/relationships/hyperlink" Target="https://kogito.kie.org/" TargetMode="External"/><Relationship Id="rIdc9dxvbkefrxgko1xydjrv" Type="http://schemas.openxmlformats.org/officeDocument/2006/relationships/hyperlink" Target="https://quarkus.io/" TargetMode="External"/><Relationship Id="rIdtrb1ls0fbd9i9zzpahv-w" Type="http://schemas.openxmlformats.org/officeDocument/2006/relationships/hyperlink" Target="https://kubernetes.io/" TargetMode="External"/><Relationship Id="rIdj06_gyucazga9lcltgb41" Type="http://schemas.openxmlformats.org/officeDocument/2006/relationships/hyperlink" Target="https://www.postgresql.org/" TargetMode="External"/><Relationship Id="rId5hq-olylwyqylk5piqsk8" Type="http://schemas.openxmlformats.org/officeDocument/2006/relationships/hyperlink" Target="https://www.flowable.com/" TargetMode="External"/><Relationship Id="rIduzrlfbysk6zwlxlnxndw8" Type="http://schemas.openxmlformats.org/officeDocument/2006/relationships/hyperlink" Target="https://operaton.org/"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Harper — Detecting Human Trafficking in the ED (Use-Case Specification)</dc:title>
  <dc:creator>Ben Cushing</dc:creator>
  <dc:description>Open-source use-case specification</dc:description>
  <cp:lastModifiedBy>Un-named</cp:lastModifiedBy>
  <cp:revision>1</cp:revision>
  <dcterms:created xsi:type="dcterms:W3CDTF">2026-07-01T20:09:44.986Z</dcterms:created>
  <dcterms:modified xsi:type="dcterms:W3CDTF">2026-07-01T20:09:44.989Z</dcterms:modified>
</cp:coreProperties>
</file>

<file path=docProps/custom.xml><?xml version="1.0" encoding="utf-8"?>
<Properties xmlns="http://schemas.openxmlformats.org/officeDocument/2006/custom-properties" xmlns:vt="http://schemas.openxmlformats.org/officeDocument/2006/docPropsVTypes"/>
</file>