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FC67F" w14:textId="77777777" w:rsidR="00333CBB" w:rsidRDefault="00333CBB" w:rsidP="00333CBB">
      <w:r w:rsidRPr="00333CBB">
        <w:rPr>
          <w:highlight w:val="green"/>
        </w:rPr>
        <w:t>1. O que já foi concluído</w:t>
      </w:r>
    </w:p>
    <w:p w14:paraId="544EF6DD" w14:textId="641CB557" w:rsidR="00333CBB" w:rsidRDefault="00333CBB" w:rsidP="00333CBB">
      <w:r w:rsidRPr="00333CBB">
        <w:rPr>
          <w:b/>
          <w:bCs/>
        </w:rPr>
        <w:t>Definição do Problema</w:t>
      </w:r>
      <w:r>
        <w:t xml:space="preserve">: </w:t>
      </w:r>
      <w:r w:rsidRPr="00333CBB">
        <w:t xml:space="preserve">Classificação supervisionada </w:t>
      </w:r>
      <w:proofErr w:type="spellStart"/>
      <w:r w:rsidRPr="00333CBB">
        <w:t>multitemporal</w:t>
      </w:r>
      <w:proofErr w:type="spellEnd"/>
      <w:r w:rsidRPr="00333CBB">
        <w:t xml:space="preserve"> da cobertura do solo na área da Barragem de Alqueva</w:t>
      </w:r>
      <w:r>
        <w:t xml:space="preserve"> (Bairro da Luz e Mourão)</w:t>
      </w:r>
      <w:r w:rsidRPr="00333CBB">
        <w:t>: análise da transformação territorial induzida pelo empreendimento: Evolução da ocupação do solo (pré e pós-barragem)</w:t>
      </w:r>
    </w:p>
    <w:p w14:paraId="74615885" w14:textId="4E48DC78" w:rsidR="00333CBB" w:rsidRDefault="00333CBB" w:rsidP="00333CBB">
      <w:r w:rsidRPr="00333CBB">
        <w:rPr>
          <w:b/>
          <w:bCs/>
        </w:rPr>
        <w:t>Aquisição de Dados</w:t>
      </w:r>
      <w:r>
        <w:t>: Imagens de satélite obtidas e preparadas (recortadas pela AOI)</w:t>
      </w:r>
      <w:r>
        <w:t>.</w:t>
      </w:r>
    </w:p>
    <w:p w14:paraId="6EA0D038" w14:textId="77777777" w:rsidR="00333CBB" w:rsidRDefault="00333CBB" w:rsidP="00333CBB"/>
    <w:p w14:paraId="558DD728" w14:textId="77777777" w:rsidR="00333CBB" w:rsidRDefault="00333CBB" w:rsidP="00333CBB">
      <w:r w:rsidRPr="00333CBB">
        <w:rPr>
          <w:highlight w:val="yellow"/>
        </w:rPr>
        <w:t>2. Próximos Passos (Plano de Trabalho Atualizado)</w:t>
      </w:r>
    </w:p>
    <w:p w14:paraId="14E92DBC" w14:textId="77777777" w:rsidR="00333CBB" w:rsidRDefault="00333CBB" w:rsidP="00333CBB"/>
    <w:p w14:paraId="3D8408A6" w14:textId="231BC3E8" w:rsidR="00333CBB" w:rsidRDefault="00333CBB" w:rsidP="00333CBB">
      <w:r w:rsidRPr="00333CBB">
        <w:rPr>
          <w:b/>
          <w:bCs/>
        </w:rPr>
        <w:t>Fase 1</w:t>
      </w:r>
      <w:r>
        <w:t xml:space="preserve">: Pré-processamento e Dados de Validação </w:t>
      </w:r>
    </w:p>
    <w:p w14:paraId="0D4CB075" w14:textId="0587B83E" w:rsidR="00333CBB" w:rsidRDefault="00333CBB" w:rsidP="00333CBB">
      <w:r w:rsidRPr="00333CBB">
        <w:rPr>
          <w:b/>
          <w:bCs/>
        </w:rPr>
        <w:t>Correção Radiométrica</w:t>
      </w:r>
      <w:r w:rsidR="00BA1CB3">
        <w:rPr>
          <w:b/>
          <w:bCs/>
        </w:rPr>
        <w:t xml:space="preserve"> (apenas </w:t>
      </w:r>
      <w:proofErr w:type="spellStart"/>
      <w:r w:rsidR="00BA1CB3" w:rsidRPr="00BA1CB3">
        <w:rPr>
          <w:b/>
          <w:bCs/>
        </w:rPr>
        <w:t>Landsat</w:t>
      </w:r>
      <w:proofErr w:type="spellEnd"/>
      <w:r w:rsidR="00BA1CB3" w:rsidRPr="00BA1CB3">
        <w:rPr>
          <w:b/>
          <w:bCs/>
        </w:rPr>
        <w:t xml:space="preserve"> 7</w:t>
      </w:r>
      <w:r w:rsidR="00BA1CB3">
        <w:rPr>
          <w:b/>
          <w:bCs/>
        </w:rPr>
        <w:t>)</w:t>
      </w:r>
      <w:r>
        <w:t xml:space="preserve">: Converter os </w:t>
      </w:r>
      <w:proofErr w:type="spellStart"/>
      <w:r>
        <w:t>NDs</w:t>
      </w:r>
      <w:proofErr w:type="spellEnd"/>
      <w:r>
        <w:t xml:space="preserve"> em </w:t>
      </w:r>
      <w:proofErr w:type="spellStart"/>
      <w:r>
        <w:t>reflectância</w:t>
      </w:r>
      <w:proofErr w:type="spellEnd"/>
      <w:r>
        <w:t xml:space="preserve"> à superfície para permitir a comparação </w:t>
      </w:r>
      <w:proofErr w:type="spellStart"/>
      <w:r>
        <w:t>multitemporal</w:t>
      </w:r>
      <w:proofErr w:type="spellEnd"/>
      <w:r>
        <w:t xml:space="preserve"> fidedigna entre o momento histórico e o atual.</w:t>
      </w:r>
    </w:p>
    <w:p w14:paraId="0919E4AF" w14:textId="36187A54" w:rsidR="00BA1CB3" w:rsidRDefault="00BA1CB3" w:rsidP="00333CBB">
      <w:r>
        <w:t xml:space="preserve">NOTA: </w:t>
      </w:r>
      <w:r w:rsidRPr="00BA1CB3">
        <w:t xml:space="preserve">Como a imagem é </w:t>
      </w:r>
      <w:r w:rsidRPr="00BA1CB3">
        <w:rPr>
          <w:b/>
          <w:bCs/>
        </w:rPr>
        <w:t>Level-1</w:t>
      </w:r>
      <w:r w:rsidRPr="00BA1CB3">
        <w:t xml:space="preserve"> devem</w:t>
      </w:r>
      <w:r>
        <w:t>os</w:t>
      </w:r>
      <w:r w:rsidRPr="00BA1CB3">
        <w:t xml:space="preserve"> usar o ficheiro </w:t>
      </w:r>
      <w:r w:rsidRPr="00BA1CB3">
        <w:rPr>
          <w:b/>
          <w:bCs/>
        </w:rPr>
        <w:t>MTL.txt</w:t>
      </w:r>
      <w:r w:rsidRPr="00BA1CB3">
        <w:t xml:space="preserve"> que </w:t>
      </w:r>
      <w:r>
        <w:t>está na pasta</w:t>
      </w:r>
      <w:r w:rsidRPr="00BA1CB3">
        <w:t xml:space="preserve">. Muitos softwares (como o QGIS com o plugin SCP ou o </w:t>
      </w:r>
      <w:proofErr w:type="spellStart"/>
      <w:r w:rsidRPr="00BA1CB3">
        <w:t>ArcGIS</w:t>
      </w:r>
      <w:proofErr w:type="spellEnd"/>
      <w:r w:rsidRPr="00BA1CB3">
        <w:t xml:space="preserve">) </w:t>
      </w:r>
      <w:proofErr w:type="spellStart"/>
      <w:r w:rsidRPr="00BA1CB3">
        <w:t>lêem</w:t>
      </w:r>
      <w:proofErr w:type="spellEnd"/>
      <w:r w:rsidRPr="00BA1CB3">
        <w:t xml:space="preserve"> esse ficheiro para converter automaticamente os </w:t>
      </w:r>
      <w:r w:rsidRPr="00BA1CB3">
        <w:rPr>
          <w:b/>
          <w:bCs/>
        </w:rPr>
        <w:t>DN</w:t>
      </w:r>
      <w:r w:rsidRPr="00BA1CB3">
        <w:t xml:space="preserve"> (Digital </w:t>
      </w:r>
      <w:proofErr w:type="spellStart"/>
      <w:r w:rsidRPr="00BA1CB3">
        <w:t>Numbers</w:t>
      </w:r>
      <w:proofErr w:type="spellEnd"/>
      <w:r w:rsidRPr="00BA1CB3">
        <w:t xml:space="preserve">) em </w:t>
      </w:r>
      <w:proofErr w:type="spellStart"/>
      <w:r w:rsidRPr="00BA1CB3">
        <w:rPr>
          <w:b/>
          <w:bCs/>
        </w:rPr>
        <w:t>Reflectância</w:t>
      </w:r>
      <w:proofErr w:type="spellEnd"/>
      <w:r w:rsidRPr="00BA1CB3">
        <w:rPr>
          <w:b/>
          <w:bCs/>
        </w:rPr>
        <w:t xml:space="preserve"> de Topo de Atmosfera (TOA)</w:t>
      </w:r>
      <w:r w:rsidRPr="00BA1CB3">
        <w:t>.</w:t>
      </w:r>
    </w:p>
    <w:p w14:paraId="1D370AD6" w14:textId="660F9322" w:rsidR="00BA1CB3" w:rsidRDefault="00BA1CB3" w:rsidP="00333CBB">
      <w:r w:rsidRPr="00BA1CB3">
        <w:t xml:space="preserve">O Sentinel-2 já é </w:t>
      </w:r>
      <w:r w:rsidRPr="00BA1CB3">
        <w:rPr>
          <w:b/>
          <w:bCs/>
        </w:rPr>
        <w:t>Level-2A</w:t>
      </w:r>
      <w:r w:rsidRPr="00BA1CB3">
        <w:t xml:space="preserve">, ou seja, já está em </w:t>
      </w:r>
      <w:proofErr w:type="spellStart"/>
      <w:r w:rsidRPr="00BA1CB3">
        <w:t>reflectância</w:t>
      </w:r>
      <w:proofErr w:type="spellEnd"/>
      <w:r w:rsidRPr="00BA1CB3">
        <w:t xml:space="preserve"> de superfície. Não precisam de lhe fazer nada, apenas ao </w:t>
      </w:r>
      <w:proofErr w:type="spellStart"/>
      <w:r w:rsidRPr="00BA1CB3">
        <w:t>Landsat</w:t>
      </w:r>
      <w:proofErr w:type="spellEnd"/>
      <w:r w:rsidRPr="00BA1CB3">
        <w:t xml:space="preserve"> de 2001 para que os valores fiquem na mesma "escala"</w:t>
      </w:r>
    </w:p>
    <w:p w14:paraId="2CF54A0E" w14:textId="77777777" w:rsidR="00BA1CB3" w:rsidRDefault="00BA1CB3" w:rsidP="00333CBB"/>
    <w:p w14:paraId="53D92E0A" w14:textId="77777777" w:rsidR="00333CBB" w:rsidRDefault="00333CBB" w:rsidP="00333CBB">
      <w:r w:rsidRPr="00BA1CB3">
        <w:rPr>
          <w:b/>
          <w:bCs/>
        </w:rPr>
        <w:t>Fase 2:</w:t>
      </w:r>
      <w:r>
        <w:t xml:space="preserve"> Análise Exploratória e Transformação de Bandas</w:t>
      </w:r>
    </w:p>
    <w:p w14:paraId="608732D6" w14:textId="77777777" w:rsidR="00BA1CB3" w:rsidRDefault="00BA1CB3" w:rsidP="00333CBB"/>
    <w:p w14:paraId="4DC8250D" w14:textId="77777777" w:rsidR="00333CBB" w:rsidRDefault="00333CBB" w:rsidP="00333CBB">
      <w:r w:rsidRPr="00BA1CB3">
        <w:rPr>
          <w:b/>
          <w:bCs/>
        </w:rPr>
        <w:t>Cálculo do NDVI</w:t>
      </w:r>
      <w:r>
        <w:t>: Gerar o índice de vegetação para ambas as datas. Isto será crucial para distinguir a mancha de água (NDVI negativo/baixo) e as novas áreas de regadio da vegetação natural ou solo nu.</w:t>
      </w:r>
    </w:p>
    <w:p w14:paraId="12424163" w14:textId="77777777" w:rsidR="00333CBB" w:rsidRDefault="00333CBB" w:rsidP="00333CBB">
      <w:r w:rsidRPr="00BA1CB3">
        <w:rPr>
          <w:b/>
          <w:bCs/>
        </w:rPr>
        <w:t>Visualização</w:t>
      </w:r>
      <w:r>
        <w:t>: Criar composições coloridas (</w:t>
      </w:r>
      <w:proofErr w:type="spellStart"/>
      <w:r>
        <w:t>ex</w:t>
      </w:r>
      <w:proofErr w:type="spellEnd"/>
      <w:r>
        <w:t>: RGB 432 para Sentinel-2) para identificar visualmente os novos limites da albufeira.</w:t>
      </w:r>
    </w:p>
    <w:p w14:paraId="11211BDE" w14:textId="77777777" w:rsidR="00BA1CB3" w:rsidRDefault="00BA1CB3" w:rsidP="00333CBB"/>
    <w:p w14:paraId="12D32864" w14:textId="77777777" w:rsidR="00333CBB" w:rsidRDefault="00333CBB" w:rsidP="00333CBB">
      <w:r w:rsidRPr="00BA1CB3">
        <w:rPr>
          <w:b/>
          <w:bCs/>
        </w:rPr>
        <w:t>Fase 3</w:t>
      </w:r>
      <w:r>
        <w:t>: Extração de Informação (Classificação)</w:t>
      </w:r>
    </w:p>
    <w:p w14:paraId="49C14B5C" w14:textId="77777777" w:rsidR="00333CBB" w:rsidRDefault="00333CBB" w:rsidP="00333CBB">
      <w:r w:rsidRPr="00BA1CB3">
        <w:rPr>
          <w:b/>
          <w:bCs/>
        </w:rPr>
        <w:t>Definição de Classes</w:t>
      </w:r>
      <w:r>
        <w:t>: Estabelecer a nomenclatura (</w:t>
      </w:r>
      <w:proofErr w:type="spellStart"/>
      <w:r>
        <w:t>ex</w:t>
      </w:r>
      <w:proofErr w:type="spellEnd"/>
      <w:r>
        <w:t>: Água, Floresta, Agricultura de Regadio, Solo Nu).</w:t>
      </w:r>
    </w:p>
    <w:p w14:paraId="585F12D4" w14:textId="77777777" w:rsidR="00BA1CB3" w:rsidRDefault="00BA1CB3" w:rsidP="00333CB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4"/>
        <w:gridCol w:w="1796"/>
        <w:gridCol w:w="2469"/>
        <w:gridCol w:w="2499"/>
      </w:tblGrid>
      <w:tr w:rsidR="00BA1CB3" w:rsidRPr="00BA1CB3" w14:paraId="73E4D8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16CEBE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lastRenderedPageBreak/>
              <w:t>Classe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062C03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t>Prioridade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D33286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t>Descrição / Exemplos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462ACD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t>Objetivo da Análise</w:t>
            </w:r>
          </w:p>
        </w:tc>
      </w:tr>
      <w:tr w:rsidR="00BA1CB3" w:rsidRPr="00BA1CB3" w14:paraId="2F7686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52CB7E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t>Água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5579B6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t>Obrigatória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2B2C42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t>Albufeira do Alqueva, Rio Guadiana e canais.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4DC474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t>Quantificar a área inundada (o "ganho" de espelho de água).</w:t>
            </w:r>
          </w:p>
        </w:tc>
      </w:tr>
      <w:tr w:rsidR="00BA1CB3" w:rsidRPr="00BA1CB3" w14:paraId="7B0B47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087B71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t>Agricultura Intensiva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74A179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t>Regadio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638FE0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t>Olival em sebe, culturas permanentes irrigadas.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935406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t>Identificar a conversão de sequeiro para regadio pós-barragem.</w:t>
            </w:r>
          </w:p>
        </w:tc>
      </w:tr>
      <w:tr w:rsidR="00BA1CB3" w:rsidRPr="00BA1CB3" w14:paraId="27E390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B8DFED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t>Agricultura Extensiva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736F2D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t>Sequeiro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7CD05C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t>Cereais, pastagens sem rega ativa.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525069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t>Monitorizar o recuo das culturas tradicionais da região.</w:t>
            </w:r>
          </w:p>
        </w:tc>
      </w:tr>
      <w:tr w:rsidR="00BA1CB3" w:rsidRPr="00BA1CB3" w14:paraId="74D775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332AF2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t>Vegetação Natural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0372C9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t>Montado/Mato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575FEF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t>Áreas de azinho, sobro e matagais mediterrâneos.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0848A3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t>Avaliar o impacto na biodiversidade e perda de habitat original.</w:t>
            </w:r>
          </w:p>
        </w:tc>
      </w:tr>
      <w:tr w:rsidR="00BA1CB3" w:rsidRPr="00BA1CB3" w14:paraId="5338B8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D4B1DD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t>Solo Exposto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B822F5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t>Opcional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21E945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t>Áreas de construção, pedreiras ou solo nu.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FED4DC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t>Útil para identificar zonas de transição ou obras de engenharia.</w:t>
            </w:r>
          </w:p>
        </w:tc>
      </w:tr>
      <w:tr w:rsidR="00BA1CB3" w:rsidRPr="00BA1CB3" w14:paraId="00E7E9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14FD90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t>Urbano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50464B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t>Opcional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A581F0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t>Aglomerados (Mourão, Luz), infraestruturas.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76B418" w14:textId="77777777" w:rsidR="00BA1CB3" w:rsidRPr="00BA1CB3" w:rsidRDefault="00BA1CB3" w:rsidP="00BA1CB3">
            <w:pPr>
              <w:spacing w:line="240" w:lineRule="auto"/>
              <w:ind w:firstLine="0"/>
              <w:jc w:val="left"/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lang w:eastAsia="pt-PT"/>
                <w14:ligatures w14:val="none"/>
              </w:rPr>
            </w:pPr>
            <w:r w:rsidRPr="00BA1CB3">
              <w:rPr>
                <w:rFonts w:ascii="Google Sans Text" w:eastAsia="Times New Roman" w:hAnsi="Google Sans Text" w:cs="Times New Roman"/>
                <w:color w:val="1F1F1F"/>
                <w:kern w:val="0"/>
                <w:szCs w:val="24"/>
                <w:bdr w:val="none" w:sz="0" w:space="0" w:color="auto" w:frame="1"/>
                <w:lang w:eastAsia="pt-PT"/>
                <w14:ligatures w14:val="none"/>
              </w:rPr>
              <w:t>Analisar o impacto nas sedes de concelho e novas povoações.</w:t>
            </w:r>
          </w:p>
        </w:tc>
      </w:tr>
    </w:tbl>
    <w:p w14:paraId="1BAC20E3" w14:textId="77777777" w:rsidR="00BA1CB3" w:rsidRDefault="00BA1CB3" w:rsidP="00333CBB"/>
    <w:p w14:paraId="1774E9C2" w14:textId="040B1404" w:rsidR="00333CBB" w:rsidRDefault="00333CBB" w:rsidP="00333CBB">
      <w:r w:rsidRPr="00BA1CB3">
        <w:rPr>
          <w:b/>
          <w:bCs/>
        </w:rPr>
        <w:t>Áreas de Treino</w:t>
      </w:r>
      <w:r>
        <w:t>: Delimitar amostras para estas classes em ambos os momentos.</w:t>
      </w:r>
    </w:p>
    <w:p w14:paraId="7B386913" w14:textId="77777777" w:rsidR="00333CBB" w:rsidRDefault="00333CBB" w:rsidP="00333CBB">
      <w:r w:rsidRPr="00BA1CB3">
        <w:rPr>
          <w:b/>
          <w:bCs/>
        </w:rPr>
        <w:t>Classificação Supervisionada</w:t>
      </w:r>
      <w:r>
        <w:t>: Aplicar o algoritmo de Máxima Verosimilhança (ou outro selecionado) para gerar os dois mapas.</w:t>
      </w:r>
    </w:p>
    <w:p w14:paraId="355A6BF6" w14:textId="7FAA5505" w:rsidR="006301C7" w:rsidRDefault="006301C7" w:rsidP="00333CBB">
      <w:r>
        <w:t xml:space="preserve">Classificação Não Supervisionada (sugerida pelo Gabriel): </w:t>
      </w:r>
      <w:r w:rsidRPr="006301C7">
        <w:rPr>
          <w:b/>
          <w:bCs/>
        </w:rPr>
        <w:t>K-</w:t>
      </w:r>
      <w:proofErr w:type="spellStart"/>
      <w:r w:rsidRPr="006301C7">
        <w:rPr>
          <w:b/>
          <w:bCs/>
        </w:rPr>
        <w:t>Means</w:t>
      </w:r>
      <w:proofErr w:type="spellEnd"/>
      <w:r w:rsidRPr="006301C7">
        <w:t xml:space="preserve"> (não </w:t>
      </w:r>
      <w:proofErr w:type="gramStart"/>
      <w:r w:rsidRPr="006301C7">
        <w:t>supervisionada)</w:t>
      </w:r>
      <w:r>
        <w:t>/</w:t>
      </w:r>
      <w:proofErr w:type="gramEnd"/>
      <w:r w:rsidRPr="006301C7">
        <w:t xml:space="preserve"> </w:t>
      </w:r>
      <w:r w:rsidRPr="006301C7">
        <w:t>Análise Comparativa de Métodos</w:t>
      </w:r>
    </w:p>
    <w:p w14:paraId="3E24078C" w14:textId="77777777" w:rsidR="00333CBB" w:rsidRDefault="00333CBB" w:rsidP="00333CBB">
      <w:r w:rsidRPr="00BA1CB3">
        <w:rPr>
          <w:b/>
          <w:bCs/>
        </w:rPr>
        <w:t>Deteção de Alterações</w:t>
      </w:r>
      <w:r>
        <w:t>: Quantificar a área ganha pela albufeira e a transformação do uso do solo envolvente.</w:t>
      </w:r>
    </w:p>
    <w:p w14:paraId="5A5B7DC5" w14:textId="77777777" w:rsidR="00BA1CB3" w:rsidRDefault="00BA1CB3" w:rsidP="00333CBB"/>
    <w:p w14:paraId="078D435B" w14:textId="77777777" w:rsidR="00BA1CB3" w:rsidRDefault="00BA1CB3" w:rsidP="00333CBB"/>
    <w:p w14:paraId="13E551C5" w14:textId="77777777" w:rsidR="00BA1CB3" w:rsidRDefault="00BA1CB3" w:rsidP="00333CBB"/>
    <w:p w14:paraId="07425344" w14:textId="77777777" w:rsidR="00333CBB" w:rsidRDefault="00333CBB" w:rsidP="00333CBB">
      <w:r w:rsidRPr="00BA1CB3">
        <w:rPr>
          <w:b/>
          <w:bCs/>
        </w:rPr>
        <w:t>Fase 4</w:t>
      </w:r>
      <w:r>
        <w:t>: Finalização e Validação</w:t>
      </w:r>
    </w:p>
    <w:p w14:paraId="1CB417A1" w14:textId="77777777" w:rsidR="00BA1CB3" w:rsidRDefault="00BA1CB3" w:rsidP="00333CBB"/>
    <w:p w14:paraId="1680FD2C" w14:textId="77777777" w:rsidR="00333CBB" w:rsidRDefault="00333CBB" w:rsidP="00333CBB">
      <w:r w:rsidRPr="00BA1CB3">
        <w:rPr>
          <w:b/>
          <w:bCs/>
        </w:rPr>
        <w:t>Avaliação da Exatidão</w:t>
      </w:r>
      <w:r>
        <w:t xml:space="preserve">: Construir a matriz de confusão para validar os resultados, calculando a exatidão global e o índice </w:t>
      </w:r>
      <w:proofErr w:type="spellStart"/>
      <w:r>
        <w:t>Kappa</w:t>
      </w:r>
      <w:proofErr w:type="spellEnd"/>
      <w:r>
        <w:t>.</w:t>
      </w:r>
    </w:p>
    <w:p w14:paraId="6D7D2D90" w14:textId="77777777" w:rsidR="00333CBB" w:rsidRDefault="00333CBB" w:rsidP="00333CBB">
      <w:r w:rsidRPr="00BA1CB3">
        <w:rPr>
          <w:b/>
          <w:bCs/>
        </w:rPr>
        <w:t>Relatório Final</w:t>
      </w:r>
      <w:r>
        <w:t>: Redigir o artigo científico (entrega até 24 de maio) focando na discussão da transformação territorial do Alqueva.</w:t>
      </w:r>
    </w:p>
    <w:p w14:paraId="39F51DE6" w14:textId="77777777" w:rsidR="00EA5D8F" w:rsidRDefault="00EA5D8F"/>
    <w:sectPr w:rsidR="00EA5D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BD0"/>
    <w:multiLevelType w:val="multilevel"/>
    <w:tmpl w:val="71C0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E4935"/>
    <w:multiLevelType w:val="multilevel"/>
    <w:tmpl w:val="76AAD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E1C72"/>
    <w:multiLevelType w:val="multilevel"/>
    <w:tmpl w:val="0FC2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22436"/>
    <w:multiLevelType w:val="multilevel"/>
    <w:tmpl w:val="C81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65466"/>
    <w:multiLevelType w:val="multilevel"/>
    <w:tmpl w:val="3BA6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D5340"/>
    <w:multiLevelType w:val="multilevel"/>
    <w:tmpl w:val="2824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63ED5"/>
    <w:multiLevelType w:val="multilevel"/>
    <w:tmpl w:val="69DE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26DEF"/>
    <w:multiLevelType w:val="multilevel"/>
    <w:tmpl w:val="59B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B4D82"/>
    <w:multiLevelType w:val="multilevel"/>
    <w:tmpl w:val="7614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A47DF"/>
    <w:multiLevelType w:val="multilevel"/>
    <w:tmpl w:val="07FC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962C3"/>
    <w:multiLevelType w:val="multilevel"/>
    <w:tmpl w:val="1AB8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F2231F"/>
    <w:multiLevelType w:val="multilevel"/>
    <w:tmpl w:val="228C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44904"/>
    <w:multiLevelType w:val="multilevel"/>
    <w:tmpl w:val="A148C3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7FC75228"/>
    <w:multiLevelType w:val="multilevel"/>
    <w:tmpl w:val="11D46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5072348">
    <w:abstractNumId w:val="12"/>
  </w:num>
  <w:num w:numId="2" w16cid:durableId="1516193529">
    <w:abstractNumId w:val="13"/>
  </w:num>
  <w:num w:numId="3" w16cid:durableId="2011441093">
    <w:abstractNumId w:val="6"/>
  </w:num>
  <w:num w:numId="4" w16cid:durableId="375198641">
    <w:abstractNumId w:val="10"/>
  </w:num>
  <w:num w:numId="5" w16cid:durableId="1029255840">
    <w:abstractNumId w:val="4"/>
  </w:num>
  <w:num w:numId="6" w16cid:durableId="1156188362">
    <w:abstractNumId w:val="8"/>
  </w:num>
  <w:num w:numId="7" w16cid:durableId="1644581372">
    <w:abstractNumId w:val="11"/>
  </w:num>
  <w:num w:numId="8" w16cid:durableId="896821816">
    <w:abstractNumId w:val="1"/>
  </w:num>
  <w:num w:numId="9" w16cid:durableId="1077239718">
    <w:abstractNumId w:val="2"/>
  </w:num>
  <w:num w:numId="10" w16cid:durableId="267280475">
    <w:abstractNumId w:val="5"/>
  </w:num>
  <w:num w:numId="11" w16cid:durableId="51346533">
    <w:abstractNumId w:val="7"/>
  </w:num>
  <w:num w:numId="12" w16cid:durableId="1286931942">
    <w:abstractNumId w:val="3"/>
  </w:num>
  <w:num w:numId="13" w16cid:durableId="192965548">
    <w:abstractNumId w:val="9"/>
  </w:num>
  <w:num w:numId="14" w16cid:durableId="1924876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BB"/>
    <w:rsid w:val="00333CBB"/>
    <w:rsid w:val="00497D43"/>
    <w:rsid w:val="005B34A5"/>
    <w:rsid w:val="006301C7"/>
    <w:rsid w:val="00940B43"/>
    <w:rsid w:val="00BA1CB3"/>
    <w:rsid w:val="00E01594"/>
    <w:rsid w:val="00EA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E2417E"/>
  <w15:chartTrackingRefBased/>
  <w15:docId w15:val="{3B185541-35C6-427A-BA51-A5BF5A0B1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4A5"/>
    <w:pPr>
      <w:spacing w:after="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333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PargrafodaLista"/>
    <w:next w:val="Normal"/>
    <w:link w:val="Ttulo2Carter"/>
    <w:uiPriority w:val="9"/>
    <w:unhideWhenUsed/>
    <w:qFormat/>
    <w:rsid w:val="005B34A5"/>
    <w:pPr>
      <w:numPr>
        <w:ilvl w:val="1"/>
        <w:numId w:val="2"/>
      </w:numPr>
      <w:ind w:left="1080" w:hanging="360"/>
      <w:outlineLvl w:val="1"/>
    </w:pPr>
    <w:rPr>
      <w:rFonts w:cs="Arial"/>
      <w:sz w:val="26"/>
      <w:szCs w:val="24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33C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33C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33C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33CB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33CB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33CB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33CB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arter">
    <w:name w:val="Título 2 Caráter"/>
    <w:basedOn w:val="Tipodeletrapredefinidodopargrafo"/>
    <w:link w:val="Ttulo2"/>
    <w:uiPriority w:val="9"/>
    <w:rsid w:val="005B34A5"/>
    <w:rPr>
      <w:rFonts w:ascii="Arial" w:hAnsi="Arial" w:cs="Arial"/>
      <w:sz w:val="26"/>
      <w:szCs w:val="24"/>
    </w:rPr>
  </w:style>
  <w:style w:type="paragraph" w:styleId="PargrafodaLista">
    <w:name w:val="List Paragraph"/>
    <w:basedOn w:val="Normal"/>
    <w:uiPriority w:val="34"/>
    <w:qFormat/>
    <w:rsid w:val="005B34A5"/>
    <w:pPr>
      <w:ind w:left="720"/>
      <w:contextualSpacing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333CB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33CB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33CBB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33CBB"/>
    <w:rPr>
      <w:rFonts w:eastAsiaTheme="majorEastAsia" w:cstheme="majorBidi"/>
      <w:color w:val="2E74B5" w:themeColor="accent1" w:themeShade="BF"/>
      <w:sz w:val="24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33CBB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33CBB"/>
    <w:rPr>
      <w:rFonts w:eastAsiaTheme="majorEastAsia" w:cstheme="majorBidi"/>
      <w:color w:val="595959" w:themeColor="text1" w:themeTint="A6"/>
      <w:sz w:val="24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33CBB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33CBB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ter"/>
    <w:uiPriority w:val="10"/>
    <w:qFormat/>
    <w:rsid w:val="00333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33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33CB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33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33C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33CBB"/>
    <w:rPr>
      <w:rFonts w:ascii="Arial" w:hAnsi="Arial"/>
      <w:i/>
      <w:iCs/>
      <w:color w:val="404040" w:themeColor="text1" w:themeTint="BF"/>
      <w:sz w:val="24"/>
    </w:rPr>
  </w:style>
  <w:style w:type="character" w:styleId="nfaseIntensa">
    <w:name w:val="Intense Emphasis"/>
    <w:basedOn w:val="Tipodeletrapredefinidodopargrafo"/>
    <w:uiPriority w:val="21"/>
    <w:qFormat/>
    <w:rsid w:val="00333CBB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33C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33CBB"/>
    <w:rPr>
      <w:rFonts w:ascii="Arial" w:hAnsi="Arial"/>
      <w:i/>
      <w:iCs/>
      <w:color w:val="2E74B5" w:themeColor="accent1" w:themeShade="BF"/>
      <w:sz w:val="24"/>
    </w:rPr>
  </w:style>
  <w:style w:type="character" w:styleId="RefernciaIntensa">
    <w:name w:val="Intense Reference"/>
    <w:basedOn w:val="Tipodeletrapredefinidodopargrafo"/>
    <w:uiPriority w:val="32"/>
    <w:qFormat/>
    <w:rsid w:val="00333CB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500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2026-05-12T12:53:00Z</dcterms:created>
  <dcterms:modified xsi:type="dcterms:W3CDTF">2026-05-12T13:16:00Z</dcterms:modified>
</cp:coreProperties>
</file>