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2"/>
        </w:rPr>
        <w:t>DR. SHERINE MARINA D'SOUZA BRAGANZA</w:t>
      </w:r>
    </w:p>
    <w:p>
      <w:pPr>
        <w:spacing w:after="40"/>
        <w:jc w:val="center"/>
      </w:pPr>
      <w:r>
        <w:rPr>
          <w:b w:val="0"/>
          <w:sz w:val="18"/>
        </w:rPr>
        <w:t>Clinical Product Strategist | Diagnostic Platform Development | Retinal Innovation</w:t>
      </w:r>
    </w:p>
    <w:p>
      <w:pPr>
        <w:spacing w:after="120"/>
        <w:jc w:val="center"/>
      </w:pPr>
      <w:r>
        <w:rPr>
          <w:b w:val="0"/>
          <w:sz w:val="16"/>
        </w:rPr>
        <w:t>drsherine@gmail.com | +91 98453 66008 | MS Ophthalmology (Gold Medal) | Bangalore, India</w:t>
      </w:r>
    </w:p>
    <w:p>
      <w:pPr>
        <w:spacing w:after="120"/>
        <w:jc w:val="center"/>
      </w:pPr>
      <w:hyperlink r:id="rId9">
        <w:r>
          <w:rPr>
            <w:rStyle w:val="Hyperlink"/>
            <w:color w:val="0563C1"/>
            <w:u w:val="single"/>
            <w:b/>
          </w:rPr>
          <w:t xml:space="preserve">Full Online Corporate Resume</w:t>
        </w:r>
      </w:hyperlink>
    </w:p>
    <w:p>
      <w:pPr>
        <w:pStyle w:val="Heading2"/>
        <w:spacing w:after="40"/>
      </w:pPr>
      <w:r>
        <w:rPr>
          <w:sz w:val="20"/>
        </w:rPr>
        <w:t>PROFESSIONAL SUMMARY</w:t>
      </w:r>
    </w:p>
    <w:p>
      <w:pPr>
        <w:spacing w:after="80"/>
      </w:pPr>
      <w:r>
        <w:rPr>
          <w:b w:val="0"/>
          <w:sz w:val="18"/>
        </w:rPr>
        <w:t>Clinical Product Strategist with 25+ years in retinal disease diagnosis and clinical validation. Developed diagnostic platforms serving 50+ centers and 10,000+ patients. Expert in clinical validation frameworks, product lifecycle management, KOL engagement, regulatory strategy (FDA, CE Mark, NMPA), and clinical evidence generation. Proven ability to translate complex clinical problems into scalable diagnostic solutions and guide cross-functional product teams through validation and market adoption.</w:t>
      </w:r>
    </w:p>
    <w:p>
      <w:pPr>
        <w:pStyle w:val="Heading2"/>
        <w:spacing w:after="40"/>
      </w:pPr>
      <w:r>
        <w:rPr>
          <w:sz w:val="20"/>
        </w:rPr>
        <w:t>CORE EXPERTISE</w:t>
      </w:r>
    </w:p>
    <w:p>
      <w:pPr>
        <w:pStyle w:val="ListBullet"/>
        <w:spacing w:after="20"/>
      </w:pPr>
      <w:r>
        <w:rPr>
          <w:b w:val="0"/>
          <w:sz w:val="17"/>
        </w:rPr>
        <w:t>Diagnostic Platform Strategy • Product Lifecycle Management • Clinical Market Adoption</w:t>
      </w:r>
    </w:p>
    <w:p>
      <w:pPr>
        <w:pStyle w:val="ListBullet"/>
        <w:spacing w:after="20"/>
      </w:pPr>
      <w:r>
        <w:rPr>
          <w:b w:val="0"/>
          <w:sz w:val="17"/>
        </w:rPr>
        <w:t>Clinical Validation Frameworks • Diagnostic Accuracy Assessment • IRB/Ethics Protocol Design</w:t>
      </w:r>
    </w:p>
    <w:p>
      <w:pPr>
        <w:pStyle w:val="ListBullet"/>
        <w:spacing w:after="20"/>
      </w:pPr>
      <w:r>
        <w:rPr>
          <w:b w:val="0"/>
          <w:sz w:val="17"/>
        </w:rPr>
        <w:t>Regulatory Strategy (FDA, CE Mark, NMPA) • Clinical Evidence Generation • Reimbursement</w:t>
      </w:r>
    </w:p>
    <w:p>
      <w:pPr>
        <w:pStyle w:val="ListBullet"/>
        <w:spacing w:after="20"/>
      </w:pPr>
      <w:r>
        <w:rPr>
          <w:b w:val="0"/>
          <w:sz w:val="17"/>
        </w:rPr>
        <w:t>KOL Management &amp; Clinical Advisory Boards • Cross-Functional Product Leadership</w:t>
      </w:r>
    </w:p>
    <w:p>
      <w:pPr>
        <w:pStyle w:val="ListBullet"/>
        <w:spacing w:after="20"/>
      </w:pPr>
      <w:r>
        <w:rPr>
          <w:b w:val="0"/>
          <w:sz w:val="17"/>
        </w:rPr>
        <w:t>Oculomics &amp; Biomarker Research • OCT/OCTA Imaging • Retinal Disease Diagnostics</w:t>
      </w:r>
    </w:p>
    <w:p>
      <w:pPr>
        <w:pStyle w:val="ListBullet"/>
        <w:spacing w:after="20"/>
      </w:pPr>
      <w:r>
        <w:rPr>
          <w:b w:val="0"/>
          <w:sz w:val="17"/>
        </w:rPr>
        <w:t>Healthcare Systems Integration • EMR/EHR Design • NABH, HIPAA, Clinical Audit Standards</w:t>
      </w:r>
    </w:p>
    <w:p>
      <w:pPr>
        <w:pStyle w:val="Heading2"/>
        <w:spacing w:after="40"/>
      </w:pPr>
      <w:r>
        <w:rPr>
          <w:sz w:val="20"/>
        </w:rPr>
        <w:t>PROFESSIONAL EXPERIENCE</w:t>
      </w:r>
    </w:p>
    <w:p>
      <w:pPr>
        <w:spacing w:after="20"/>
      </w:pPr>
      <w:r>
        <w:rPr>
          <w:b/>
          <w:sz w:val="18"/>
        </w:rPr>
        <w:t>Narayana Nethralaya II — Senior Consultant, Clinical Product Strategy</w:t>
      </w:r>
      <w:r>
        <w:rPr>
          <w:sz w:val="16"/>
        </w:rPr>
        <w:t xml:space="preserve">  (Nov 2006 – Present)</w:t>
      </w:r>
      <w:r>
        <w:rPr>
          <w:sz w:val="17"/>
        </w:rPr>
        <w:br/>
        <w:t>Lead clinical strategy and product development for diagnostic platforms in retinal disease detection. Guide platform lifecycle from problem identification through validation, regulatory strategy, and market adoption. Build clinical advisory boards and manage KOL engagement.</w:t>
      </w:r>
    </w:p>
    <w:p>
      <w:pPr>
        <w:spacing w:after="20"/>
      </w:pPr>
      <w:r>
        <w:rPr>
          <w:b/>
          <w:sz w:val="18"/>
        </w:rPr>
        <w:t>KIDROP Initiative — Chief Clinical Officer &amp; Platform Lead</w:t>
      </w:r>
      <w:r>
        <w:rPr>
          <w:sz w:val="16"/>
        </w:rPr>
        <w:t xml:space="preserve">  (2015 – Present)</w:t>
      </w:r>
      <w:r>
        <w:rPr>
          <w:sz w:val="17"/>
        </w:rPr>
        <w:br/>
        <w:t>Architected and scaled a diagnostic platform serving 50+ primary care centers and 10,000+ patients. Designed clinical workflows, diagnostic protocols, and algorithm requirements for ROP risk stratification. Authored clinical evidence publications supporting reimbursement.</w:t>
      </w:r>
    </w:p>
    <w:p>
      <w:pPr>
        <w:spacing w:after="20"/>
      </w:pPr>
      <w:r>
        <w:rPr>
          <w:b/>
          <w:sz w:val="18"/>
        </w:rPr>
        <w:t>Lion's Eye Hospital — Clinical Operations &amp; Research Lead</w:t>
      </w:r>
      <w:r>
        <w:rPr>
          <w:sz w:val="16"/>
        </w:rPr>
        <w:t xml:space="preserve">  (Dec 2003 – Nov 2006)</w:t>
      </w:r>
      <w:r>
        <w:rPr>
          <w:sz w:val="17"/>
        </w:rPr>
        <w:br/>
        <w:t>Established retinal imaging protocols and led clinical research initiatives. Collaborated on EMR design for research data collection and clinical workflows.</w:t>
      </w:r>
    </w:p>
    <w:p>
      <w:pPr>
        <w:spacing w:after="20"/>
      </w:pPr>
      <w:r>
        <w:rPr>
          <w:b/>
          <w:sz w:val="18"/>
        </w:rPr>
        <w:t>Prathima Institute of Medical Sciences — Assistant Professor</w:t>
      </w:r>
      <w:r>
        <w:rPr>
          <w:sz w:val="16"/>
        </w:rPr>
        <w:t xml:space="preserve">  (Feb 2002 – Present)</w:t>
      </w:r>
      <w:r>
        <w:rPr>
          <w:sz w:val="17"/>
        </w:rPr>
        <w:br/>
        <w:t>Teaching clinical methodology, research design, and emerging diagnostic technologies.</w:t>
      </w:r>
    </w:p>
    <w:p>
      <w:pPr>
        <w:spacing w:after="60"/>
      </w:pPr>
      <w:hyperlink r:id="rId10">
        <w:r>
          <w:rPr>
            <w:rStyle w:val="Hyperlink"/>
            <w:color w:val="0563C1"/>
            <w:u w:val="single"/>
          </w:rPr>
          <w:t xml:space="preserve">View full professional experience</w:t>
        </w:r>
      </w:hyperlink>
    </w:p>
    <w:p>
      <w:pPr>
        <w:pStyle w:val="Heading2"/>
        <w:spacing w:after="20"/>
      </w:pPr>
      <w:r>
        <w:rPr>
          <w:sz w:val="20"/>
        </w:rPr>
        <w:t>EDUCATION &amp; CREDENTIALS</w:t>
      </w:r>
    </w:p>
    <w:p>
      <w:pPr>
        <w:pStyle w:val="ListBullet"/>
        <w:spacing w:after="20"/>
      </w:pPr>
      <w:r>
        <w:rPr>
          <w:b w:val="0"/>
          <w:sz w:val="17"/>
        </w:rPr>
        <w:t>MS Ophthalmology — Gold Medal (Rajiv Gandhi Univ. of Health Sciences, 1999)</w:t>
      </w:r>
    </w:p>
    <w:p>
      <w:pPr>
        <w:pStyle w:val="ListBullet"/>
        <w:spacing w:after="20"/>
      </w:pPr>
      <w:r>
        <w:rPr>
          <w:b w:val="0"/>
          <w:sz w:val="17"/>
        </w:rPr>
        <w:t>DNB Ophthalmology • Medical Council: KMC 37,292 • NABH Internal Auditor</w:t>
      </w:r>
    </w:p>
    <w:p>
      <w:pPr>
        <w:pStyle w:val="ListBullet"/>
        <w:spacing w:after="20"/>
      </w:pPr>
      <w:r>
        <w:rPr>
          <w:b w:val="0"/>
          <w:sz w:val="17"/>
        </w:rPr>
        <w:t>25,000+ clinical cases: ROP, diabetic retinopathy, RVO, macular edema</w:t>
      </w:r>
    </w:p>
    <w:p>
      <w:pPr>
        <w:pStyle w:val="ListBullet"/>
        <w:spacing w:after="20"/>
      </w:pPr>
      <w:r>
        <w:rPr>
          <w:b w:val="0"/>
          <w:sz w:val="17"/>
        </w:rPr>
        <w:t>Languages: English, Hindi, Konkani, Kannada, Telugu, Tamil</w:t>
      </w:r>
    </w:p>
    <w:p>
      <w:pPr>
        <w:pStyle w:val="Heading2"/>
        <w:spacing w:after="20"/>
      </w:pPr>
      <w:r>
        <w:rPr>
          <w:sz w:val="20"/>
        </w:rPr>
        <w:t>PUBLICATIONS &amp; RESEARCH</w:t>
      </w:r>
    </w:p>
    <w:p>
      <w:pPr>
        <w:spacing w:after="40"/>
      </w:pPr>
      <w:r>
        <w:rPr>
          <w:b w:val="0"/>
          <w:sz w:val="17"/>
        </w:rPr>
        <w:t>15+ peer-reviewed publications in IOVS, Ophthalmology, AJO, RETINA, Graefe's Archive, and IJO. Focus areas: diagnostic platform impact (KIDROP), clinical validation, imaging biomarkers (OCTA in DR/RVO/AMD/CKD), healthcare systems (REDROP), and genomic data integration.</w:t>
      </w:r>
    </w:p>
    <w:p>
      <w:pPr>
        <w:spacing w:after="60"/>
      </w:pPr>
      <w:hyperlink r:id="rId11">
        <w:r>
          <w:rPr>
            <w:rStyle w:val="Hyperlink"/>
            <w:color w:val="0563C1"/>
            <w:u w:val="single"/>
          </w:rPr>
          <w:t xml:space="preserve">View all peer-reviewed publications</w:t>
        </w:r>
      </w:hyperlink>
    </w:p>
    <w:p>
      <w:pPr>
        <w:pStyle w:val="Heading2"/>
        <w:spacing w:after="20"/>
      </w:pPr>
      <w:r>
        <w:rPr>
          <w:sz w:val="20"/>
        </w:rPr>
        <w:t>CONFERENCE PRESENTATIONS (Selected)</w:t>
      </w:r>
    </w:p>
    <w:p>
      <w:pPr>
        <w:pStyle w:val="ListBullet"/>
        <w:spacing w:after="20"/>
      </w:pPr>
      <w:r>
        <w:rPr>
          <w:b w:val="0"/>
          <w:sz w:val="17"/>
        </w:rPr>
        <w:t>AAO Chicago (2010): Safety net for ROP in India — platform scaling &amp; clinical outcomes</w:t>
      </w:r>
    </w:p>
    <w:p>
      <w:pPr>
        <w:pStyle w:val="ListBullet"/>
        <w:spacing w:after="20"/>
      </w:pPr>
      <w:r>
        <w:rPr>
          <w:b w:val="0"/>
          <w:sz w:val="17"/>
        </w:rPr>
        <w:t>WOC Berlin (2010): Tele-ROP — The India Experience (diagnostic infrastructure)</w:t>
      </w:r>
    </w:p>
    <w:p>
      <w:pPr>
        <w:pStyle w:val="ListBullet"/>
        <w:spacing w:after="20"/>
      </w:pPr>
      <w:r>
        <w:rPr>
          <w:b w:val="0"/>
          <w:sz w:val="17"/>
        </w:rPr>
        <w:t>APAO (2021): OCTA microvascular changes in RVO — biomarker identification</w:t>
      </w:r>
    </w:p>
    <w:p>
      <w:pPr>
        <w:pStyle w:val="ListBullet"/>
        <w:spacing w:after="20"/>
      </w:pPr>
      <w:r>
        <w:rPr>
          <w:b w:val="0"/>
          <w:sz w:val="17"/>
        </w:rPr>
        <w:t>Retina Summit Goa (2024): Speaker — advances in retinal imaging &amp; diagnostic innovation</w:t>
      </w:r>
    </w:p>
    <w:p>
      <w:pPr>
        <w:pStyle w:val="ListBullet"/>
        <w:spacing w:after="20"/>
      </w:pPr>
      <w:r>
        <w:rPr>
          <w:b w:val="0"/>
          <w:sz w:val="17"/>
        </w:rPr>
        <w:t>AIOS New Delhi (2025): Hodgkin's lymphoma causing CRAO — diagnostic case study</w:t>
      </w:r>
    </w:p>
    <w:p>
      <w:pPr>
        <w:pStyle w:val="ListBullet"/>
        <w:spacing w:after="20"/>
      </w:pPr>
      <w:r>
        <w:rPr>
          <w:b w:val="0"/>
          <w:sz w:val="17"/>
        </w:rPr>
        <w:t>AIOC Jaipur (2026): Instructor — SSTC/DSTC courses</w:t>
      </w:r>
    </w:p>
    <w:p>
      <w:pPr>
        <w:spacing w:after="60"/>
      </w:pPr>
      <w:hyperlink r:id="rId12">
        <w:r>
          <w:rPr>
            <w:rStyle w:val="Hyperlink"/>
            <w:color w:val="0563C1"/>
            <w:u w:val="single"/>
          </w:rPr>
          <w:t xml:space="preserve">View all 120+ conference presentations</w:t>
        </w:r>
      </w:hyperlink>
    </w:p>
    <w:p>
      <w:pPr>
        <w:pStyle w:val="Heading2"/>
        <w:spacing w:after="20"/>
      </w:pPr>
      <w:r>
        <w:rPr>
          <w:sz w:val="20"/>
        </w:rPr>
        <w:t>LEADERSHIP &amp; DIAGNOSTIC PLATFORM INNOVATION</w:t>
      </w:r>
    </w:p>
    <w:p>
      <w:pPr>
        <w:pStyle w:val="Heading3"/>
      </w:pPr>
      <w:r>
        <w:t>Platform Development &amp; Clinical Validation</w:t>
      </w:r>
    </w:p>
    <w:p>
      <w:pPr>
        <w:pStyle w:val="ListBullet"/>
        <w:spacing w:after="10"/>
      </w:pPr>
      <w:r>
        <w:rPr>
          <w:b w:val="0"/>
          <w:sz w:val="17"/>
        </w:rPr>
        <w:t>End-to-end diagnostic platform development — from clinical problem to market launch</w:t>
      </w:r>
    </w:p>
    <w:p>
      <w:pPr>
        <w:pStyle w:val="ListBullet"/>
        <w:spacing w:after="10"/>
      </w:pPr>
      <w:r>
        <w:rPr>
          <w:b w:val="0"/>
          <w:sz w:val="17"/>
        </w:rPr>
        <w:t>Clinical validation study design (IRB/ethics, diagnostic accuracy, clinical utility)</w:t>
      </w:r>
    </w:p>
    <w:p>
      <w:pPr>
        <w:pStyle w:val="ListBullet"/>
        <w:spacing w:after="10"/>
      </w:pPr>
      <w:r>
        <w:rPr>
          <w:b w:val="0"/>
          <w:sz w:val="17"/>
        </w:rPr>
        <w:t>Regulatory pathway strategy (FDA, CE Mark, NMPA) for diagnostic devices</w:t>
      </w:r>
    </w:p>
    <w:p>
      <w:pPr>
        <w:pStyle w:val="ListBullet"/>
        <w:spacing w:after="10"/>
      </w:pPr>
      <w:r>
        <w:rPr>
          <w:b w:val="0"/>
          <w:sz w:val="17"/>
        </w:rPr>
        <w:t>Clinical evidence generation for market launch and reimbursement</w:t>
      </w:r>
    </w:p>
    <w:p>
      <w:pPr>
        <w:pStyle w:val="Heading3"/>
      </w:pPr>
      <w:r>
        <w:t>KOL, Advisory &amp; Healthcare Systems</w:t>
      </w:r>
    </w:p>
    <w:p>
      <w:pPr>
        <w:pStyle w:val="ListBullet"/>
        <w:spacing w:after="10"/>
      </w:pPr>
      <w:r>
        <w:rPr>
          <w:b w:val="0"/>
          <w:sz w:val="17"/>
        </w:rPr>
        <w:t>KOL network development and clinical advisory board management</w:t>
      </w:r>
    </w:p>
    <w:p>
      <w:pPr>
        <w:pStyle w:val="ListBullet"/>
        <w:spacing w:after="10"/>
      </w:pPr>
      <w:r>
        <w:rPr>
          <w:b w:val="0"/>
          <w:sz w:val="17"/>
        </w:rPr>
        <w:t>Healthcare compliance (NABH 5th edition auditor; HIPAA, clinical audit standards)</w:t>
      </w:r>
    </w:p>
    <w:p>
      <w:pPr>
        <w:pStyle w:val="ListBullet"/>
        <w:spacing w:after="10"/>
      </w:pPr>
      <w:r>
        <w:rPr>
          <w:b w:val="0"/>
          <w:sz w:val="17"/>
        </w:rPr>
        <w:t>Secretary, Hospital Infection Control committee</w:t>
      </w:r>
    </w:p>
    <w:p>
      <w:pPr>
        <w:pStyle w:val="ListBullet"/>
        <w:spacing w:after="10"/>
      </w:pPr>
      <w:r>
        <w:rPr>
          <w:b w:val="0"/>
          <w:sz w:val="17"/>
        </w:rPr>
        <w:t>DNB/NBE examiner; fellow mentoring; registered for AI in Medical Education (NBE, Jan 2026)</w:t>
      </w:r>
    </w:p>
    <w:p>
      <w:pPr>
        <w:pStyle w:val="Heading2"/>
        <w:spacing w:after="20"/>
      </w:pPr>
      <w:r>
        <w:rPr>
          <w:sz w:val="20"/>
        </w:rPr>
        <w:t>AWARDS &amp; RECOGNITION</w:t>
      </w:r>
    </w:p>
    <w:p>
      <w:pPr>
        <w:pStyle w:val="ListBullet"/>
        <w:spacing w:after="10"/>
      </w:pPr>
      <w:r>
        <w:rPr>
          <w:b w:val="0"/>
          <w:sz w:val="17"/>
        </w:rPr>
        <w:t>Gold Medal in MS Ophthalmology (Rajiv Gandhi Univ., 1999)</w:t>
      </w:r>
    </w:p>
    <w:p>
      <w:pPr>
        <w:pStyle w:val="ListBullet"/>
        <w:spacing w:after="10"/>
      </w:pPr>
      <w:r>
        <w:rPr>
          <w:b w:val="0"/>
          <w:sz w:val="17"/>
        </w:rPr>
        <w:t>Innovative Healthcare through PPP — KIDROP (2012)</w:t>
      </w:r>
    </w:p>
    <w:p>
      <w:pPr>
        <w:pStyle w:val="ListBullet"/>
        <w:spacing w:after="10"/>
      </w:pPr>
      <w:r>
        <w:rPr>
          <w:b w:val="0"/>
          <w:sz w:val="17"/>
        </w:rPr>
        <w:t>Best Pediatric Ophthalmology paper — APROP study</w:t>
      </w:r>
    </w:p>
    <w:p>
      <w:pPr>
        <w:pStyle w:val="ListBullet"/>
        <w:spacing w:after="10"/>
      </w:pPr>
      <w:r>
        <w:rPr>
          <w:b w:val="0"/>
          <w:sz w:val="17"/>
        </w:rPr>
        <w:t>Best ROP paper — BOS (2022); H.J. Mehta Award for best research work</w:t>
      </w:r>
    </w:p>
    <w:p>
      <w:pPr>
        <w:pStyle w:val="ListBullet"/>
        <w:spacing w:after="10"/>
      </w:pPr>
      <w:r>
        <w:rPr>
          <w:b w:val="0"/>
          <w:sz w:val="17"/>
        </w:rPr>
        <w:t>11+ awards for research, innovation, and clinical excellence</w:t>
      </w:r>
    </w:p>
    <w:p>
      <w:pPr>
        <w:pStyle w:val="Heading2"/>
        <w:spacing w:after="20"/>
      </w:pPr>
      <w:r>
        <w:rPr>
          <w:sz w:val="20"/>
        </w:rPr>
        <w:t>THESIS SUPERVISION (Selected)</w:t>
      </w:r>
    </w:p>
    <w:p>
      <w:pPr>
        <w:pStyle w:val="ListBullet"/>
        <w:spacing w:after="10"/>
      </w:pPr>
      <w:r>
        <w:rPr>
          <w:b w:val="0"/>
          <w:sz w:val="17"/>
        </w:rPr>
        <w:t>Dexamethasone implant effect on macular perfusion (OCTA) in RVO — DNB (2021)</w:t>
      </w:r>
    </w:p>
    <w:p>
      <w:pPr>
        <w:pStyle w:val="ListBullet"/>
        <w:spacing w:after="10"/>
      </w:pPr>
      <w:r>
        <w:rPr>
          <w:b w:val="0"/>
          <w:sz w:val="17"/>
        </w:rPr>
        <w:t>Retinal microvasculature abnormalities in CKD on dialysis — DNB (2021)</w:t>
      </w:r>
    </w:p>
    <w:p>
      <w:pPr>
        <w:pStyle w:val="ListBullet"/>
        <w:spacing w:after="10"/>
      </w:pPr>
      <w:r>
        <w:rPr>
          <w:b w:val="0"/>
          <w:sz w:val="17"/>
        </w:rPr>
        <w:t>ROP trends: rural vs. urban in Karnataka — DNB (2021)</w:t>
      </w:r>
    </w:p>
    <w:p>
      <w:pPr>
        <w:pStyle w:val="ListBullet"/>
        <w:spacing w:after="10"/>
      </w:pPr>
      <w:r>
        <w:rPr>
          <w:b w:val="0"/>
          <w:sz w:val="17"/>
        </w:rPr>
        <w:t>OCTA changes in sleep apnea syndrome — DNB (2025)</w:t>
      </w:r>
    </w:p>
    <w:p>
      <w:pPr>
        <w:pStyle w:val="ListBullet"/>
        <w:spacing w:after="10"/>
      </w:pPr>
      <w:r>
        <w:rPr>
          <w:b w:val="0"/>
          <w:sz w:val="17"/>
        </w:rPr>
        <w:t>Retinal vessel diameter in OCTA and stereoscopic imaging in hypertensive retinopathy — DNB (2024)</w:t>
      </w:r>
    </w:p>
    <w:p>
      <w:pPr>
        <w:spacing w:after="60"/>
      </w:pPr>
      <w:hyperlink r:id="rId13">
        <w:r>
          <w:rPr>
            <w:rStyle w:val="Hyperlink"/>
            <w:color w:val="0563C1"/>
            <w:u w:val="single"/>
          </w:rPr>
          <w:t xml:space="preserve">View all 16 theses supervised</w:t>
        </w:r>
      </w:hyperlink>
    </w:p>
    <w:p>
      <w:pPr>
        <w:spacing w:after="40" w:before="120"/>
        <w:jc w:val="center"/>
      </w:pPr>
      <w:r>
        <w:rPr>
          <w:sz w:val="16"/>
        </w:rPr>
        <w:t xml:space="preserve">For comprehensive details: </w:t>
      </w:r>
      <w:hyperlink r:id="rId9">
        <w:r>
          <w:rPr>
            <w:rStyle w:val="Hyperlink"/>
            <w:color w:val="0563C1"/>
            <w:u w:val="single"/>
            <w:b/>
          </w:rPr>
          <w:t xml:space="preserve">Full Online Corporate Resume</w:t>
        </w:r>
      </w:hyperlink>
    </w:p>
    <w:p>
      <w:pPr>
        <w:spacing w:after="0"/>
        <w:jc w:val="center"/>
      </w:pPr>
      <w:r>
        <w:rPr>
          <w:sz w:val="16"/>
        </w:rPr>
        <w:t xml:space="preserve">drsherine@gmail.com | +91 98453 66008 | </w:t>
      </w:r>
      <w:hyperlink r:id="rId14">
        <w:r>
          <w:rPr>
            <w:rStyle w:val="Hyperlink"/>
            <w:color w:val="0563C1"/>
            <w:u w:val="single"/>
          </w:rPr>
          <w:t xml:space="preserve">Contact</w:t>
        </w:r>
      </w:hyperlink>
    </w:p>
    <w:sectPr w:rsidR="00FC693F" w:rsidRPr="0006063C" w:rsidSect="00034616">
      <w:pgSz w:w="12240" w:h="15840"/>
      <w:pgMar w:top="576"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ustomercaresolutions.github.io/dr-sherine/versions/corporate/" TargetMode="External"/><Relationship Id="rId10" Type="http://schemas.openxmlformats.org/officeDocument/2006/relationships/hyperlink" Target="https://customercaresolutions.github.io/dr-sherine/versions/corporate/experience.html" TargetMode="External"/><Relationship Id="rId11" Type="http://schemas.openxmlformats.org/officeDocument/2006/relationships/hyperlink" Target="https://customercaresolutions.github.io/dr-sherine/versions/corporate/publications.html" TargetMode="External"/><Relationship Id="rId12" Type="http://schemas.openxmlformats.org/officeDocument/2006/relationships/hyperlink" Target="https://customercaresolutions.github.io/dr-sherine/versions/corporate/presentations.html" TargetMode="External"/><Relationship Id="rId13" Type="http://schemas.openxmlformats.org/officeDocument/2006/relationships/hyperlink" Target="https://customercaresolutions.github.io/dr-sherine/versions/corporate/theses.html" TargetMode="External"/><Relationship Id="rId14" Type="http://schemas.openxmlformats.org/officeDocument/2006/relationships/hyperlink" Target="https://customercaresolutions.github.io/dr-sherine/versions/corporate/cont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